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PixTech,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72583K 10 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W.G. Stover, Jr.</w:t>
      </w:r>
    </w:p>
    <w:p>
      <w:pPr>
        <w:ind w:left="2000"/>
        <w:spacing w:after="0" w:line="238" w:lineRule="auto"/>
        <w:rPr>
          <w:sz w:val="20"/>
          <w:szCs w:val="20"/>
          <w:color w:val="auto"/>
        </w:rPr>
      </w:pPr>
      <w:r>
        <w:rPr>
          <w:rFonts w:ascii="Courier New" w:cs="Courier New" w:eastAsia="Courier New" w:hAnsi="Courier New"/>
          <w:sz w:val="18"/>
          <w:szCs w:val="18"/>
          <w:color w:val="auto"/>
        </w:rPr>
        <w:t>V.P of Finance and Chief Financial Officer</w:t>
      </w:r>
    </w:p>
    <w:p>
      <w:pPr>
        <w:ind w:left="2960"/>
        <w:spacing w:after="0"/>
        <w:rPr>
          <w:sz w:val="20"/>
          <w:szCs w:val="20"/>
          <w:color w:val="auto"/>
        </w:rPr>
      </w:pPr>
      <w:r>
        <w:rPr>
          <w:rFonts w:ascii="Courier New" w:cs="Courier New" w:eastAsia="Courier New" w:hAnsi="Courier New"/>
          <w:sz w:val="18"/>
          <w:szCs w:val="18"/>
          <w:color w:val="auto"/>
        </w:rPr>
        <w:t>Micron Technology, Inc.</w:t>
      </w:r>
    </w:p>
    <w:p>
      <w:pPr>
        <w:ind w:left="3060"/>
        <w:spacing w:after="0" w:line="237" w:lineRule="auto"/>
        <w:rPr>
          <w:sz w:val="20"/>
          <w:szCs w:val="20"/>
          <w:color w:val="auto"/>
        </w:rPr>
      </w:pPr>
      <w:r>
        <w:rPr>
          <w:rFonts w:ascii="Courier New" w:cs="Courier New" w:eastAsia="Courier New" w:hAnsi="Courier New"/>
          <w:sz w:val="18"/>
          <w:szCs w:val="18"/>
          <w:color w:val="auto"/>
        </w:rPr>
        <w:t>8000 South Federal Way</w:t>
      </w:r>
    </w:p>
    <w:p>
      <w:pPr>
        <w:ind w:left="2960"/>
        <w:spacing w:after="0" w:line="238" w:lineRule="auto"/>
        <w:rPr>
          <w:sz w:val="20"/>
          <w:szCs w:val="20"/>
          <w:color w:val="auto"/>
        </w:rPr>
      </w:pPr>
      <w:r>
        <w:rPr>
          <w:rFonts w:ascii="Courier New" w:cs="Courier New" w:eastAsia="Courier New" w:hAnsi="Courier New"/>
          <w:sz w:val="18"/>
          <w:szCs w:val="18"/>
          <w:color w:val="auto"/>
        </w:rPr>
        <w:t>Boise, Idaho 83716-9632</w:t>
      </w: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Telephone:</w:t>
        <w:tab/>
        <w:t>(208) 368-4000</w:t>
      </w:r>
    </w:p>
    <w:p>
      <w:pPr>
        <w:jc w:val="center"/>
        <w:ind w:right="2099"/>
        <w:spacing w:after="0" w:line="237" w:lineRule="auto"/>
        <w:rPr>
          <w:sz w:val="20"/>
          <w:szCs w:val="20"/>
          <w:color w:val="auto"/>
        </w:rPr>
      </w:pPr>
      <w:r>
        <w:rPr>
          <w:rFonts w:ascii="Courier New" w:cs="Courier New" w:eastAsia="Courier New" w:hAnsi="Courier New"/>
          <w:sz w:val="18"/>
          <w:szCs w:val="18"/>
          <w:color w:val="auto"/>
        </w:rPr>
        <w:t>(Name, Address and Telephone Number of Person Authorized to Receive</w:t>
      </w:r>
    </w:p>
    <w:p>
      <w:pPr>
        <w:jc w:val="center"/>
        <w:ind w:right="1879"/>
        <w:spacing w:after="0"/>
        <w:rPr>
          <w:sz w:val="20"/>
          <w:szCs w:val="20"/>
          <w:color w:val="auto"/>
        </w:rPr>
      </w:pPr>
      <w:r>
        <w:rPr>
          <w:rFonts w:ascii="Courier New" w:cs="Courier New" w:eastAsia="Courier New" w:hAnsi="Courier New"/>
          <w:sz w:val="18"/>
          <w:szCs w:val="18"/>
          <w:color w:val="auto"/>
        </w:rPr>
        <w:t>Notices and Communications)</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May 19, 1999</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 240.13d-1(e), 240.13d-1(f) or 240.13d-1(g), check the following box. [ ]</w:t>
      </w:r>
    </w:p>
    <w:p>
      <w:pPr>
        <w:spacing w:after="0" w:line="20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Company's initial</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CUSIP NO. 72583K 10 9</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2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CUSIP NO. 72583K 10 9</w:t>
            </w:r>
          </w:p>
        </w:tc>
        <w:tc>
          <w:tcPr>
            <w:tcW w:w="290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680" w:type="dxa"/>
            <w:vAlign w:val="bottom"/>
          </w:tcPr>
          <w:p>
            <w:pPr>
              <w:ind w:left="40"/>
              <w:spacing w:after="0"/>
              <w:rPr>
                <w:sz w:val="20"/>
                <w:szCs w:val="20"/>
                <w:color w:val="auto"/>
              </w:rPr>
            </w:pPr>
            <w:r>
              <w:rPr>
                <w:rFonts w:ascii="Courier New" w:cs="Courier New" w:eastAsia="Courier New" w:hAnsi="Courier New"/>
                <w:sz w:val="18"/>
                <w:szCs w:val="18"/>
                <w:color w:val="auto"/>
              </w:rPr>
              <w:t>Names of Reporting Persons:</w:t>
            </w:r>
          </w:p>
        </w:tc>
        <w:tc>
          <w:tcPr>
            <w:tcW w:w="2900" w:type="dxa"/>
            <w:vAlign w:val="bottom"/>
          </w:tcPr>
          <w:p>
            <w:pPr>
              <w:ind w:left="480"/>
              <w:spacing w:after="0"/>
              <w:rPr>
                <w:sz w:val="20"/>
                <w:szCs w:val="20"/>
                <w:color w:val="auto"/>
              </w:rPr>
            </w:pPr>
            <w:r>
              <w:rPr>
                <w:rFonts w:ascii="Courier New" w:cs="Courier New" w:eastAsia="Courier New" w:hAnsi="Courier New"/>
                <w:sz w:val="18"/>
                <w:szCs w:val="18"/>
                <w:color w:val="auto"/>
                <w:w w:val="96"/>
              </w:rPr>
              <w:t>Micron Technology, Inc.</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I.R.S. Identification Nos. of above persons (entities</w:t>
            </w:r>
          </w:p>
        </w:tc>
        <w:tc>
          <w:tcPr>
            <w:tcW w:w="2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751618004</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only):</w:t>
            </w:r>
          </w:p>
        </w:tc>
        <w:tc>
          <w:tcPr>
            <w:tcW w:w="290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5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2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(see instructions)</w:t>
            </w:r>
          </w:p>
        </w:tc>
        <w:tc>
          <w:tcPr>
            <w:tcW w:w="2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5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 use only</w:t>
            </w:r>
          </w:p>
        </w:tc>
        <w:tc>
          <w:tcPr>
            <w:tcW w:w="290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5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Source of funds (see instructions):</w:t>
            </w:r>
          </w:p>
        </w:tc>
        <w:tc>
          <w:tcPr>
            <w:tcW w:w="2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OO</w:t>
            </w:r>
          </w:p>
        </w:tc>
      </w:tr>
    </w:tbl>
    <w:p>
      <w:pPr>
        <w:spacing w:after="0" w:line="4" w:lineRule="exact"/>
        <w:rPr>
          <w:sz w:val="20"/>
          <w:szCs w:val="20"/>
          <w:color w:val="auto"/>
        </w:rPr>
      </w:pPr>
    </w:p>
    <w:p>
      <w:pPr>
        <w:ind w:left="220" w:right="5259" w:hanging="212"/>
        <w:spacing w:after="0" w:line="235" w:lineRule="auto"/>
        <w:tabs>
          <w:tab w:leader="none" w:pos="43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680" w:type="dxa"/>
            <w:vAlign w:val="bottom"/>
          </w:tcPr>
          <w:p>
            <w:pPr>
              <w:ind w:left="4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ind w:left="48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shares beneficially owned by each Reporting</w:t>
            </w:r>
          </w:p>
        </w:tc>
        <w:tc>
          <w:tcPr>
            <w:tcW w:w="1420" w:type="dxa"/>
            <w:vAlign w:val="bottom"/>
          </w:tcPr>
          <w:p>
            <w:pPr>
              <w:spacing w:after="0"/>
              <w:rPr>
                <w:sz w:val="17"/>
                <w:szCs w:val="17"/>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Person with:</w:t>
            </w:r>
          </w:p>
        </w:tc>
        <w:tc>
          <w:tcPr>
            <w:tcW w:w="142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5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7,443,562</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5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5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7,443,562</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 Shared dispositive power</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(11) Aggregate amount beneficially owned by each</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7,443,562</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420" w:type="dxa"/>
            <w:vAlign w:val="bottom"/>
          </w:tcPr>
          <w:p>
            <w:pPr>
              <w:spacing w:after="0"/>
              <w:rPr>
                <w:sz w:val="17"/>
                <w:szCs w:val="17"/>
                <w:color w:val="auto"/>
              </w:rPr>
            </w:pPr>
          </w:p>
        </w:tc>
      </w:tr>
    </w:tbl>
    <w:p>
      <w:pPr>
        <w:spacing w:after="0" w:line="4" w:lineRule="exact"/>
        <w:rPr>
          <w:sz w:val="20"/>
          <w:szCs w:val="20"/>
          <w:color w:val="auto"/>
        </w:rPr>
      </w:pPr>
    </w:p>
    <w:p>
      <w:pPr>
        <w:ind w:left="220" w:right="5359" w:hanging="212"/>
        <w:spacing w:after="0" w:line="268" w:lineRule="auto"/>
        <w:tabs>
          <w:tab w:leader="none" w:pos="53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 (see instructions).</w:t>
      </w:r>
    </w:p>
    <w:tbl>
      <w:tblPr>
        <w:tblLayout w:type="fixed"/>
        <w:tblInd w:w="0" w:type="dxa"/>
        <w:tblCellMar>
          <w:top w:w="0" w:type="dxa"/>
          <w:left w:w="0" w:type="dxa"/>
          <w:bottom w:w="0" w:type="dxa"/>
          <w:right w:w="0" w:type="dxa"/>
        </w:tblCellMar>
      </w:tblPr>
      <w:tr>
        <w:trPr>
          <w:trHeight w:val="199"/>
        </w:trPr>
        <w:tc>
          <w:tcPr>
            <w:tcW w:w="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(13)</w:t>
            </w:r>
          </w:p>
        </w:tc>
        <w:tc>
          <w:tcPr>
            <w:tcW w:w="8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Percent</w:t>
            </w:r>
          </w:p>
        </w:tc>
        <w:tc>
          <w:tcPr>
            <w:tcW w:w="486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of class represented by amount in Row (11)</w:t>
            </w:r>
          </w:p>
        </w:tc>
        <w:tc>
          <w:tcPr>
            <w:tcW w:w="880" w:type="dxa"/>
            <w:vAlign w:val="bottom"/>
          </w:tcPr>
          <w:p>
            <w:pPr>
              <w:ind w:left="360"/>
              <w:spacing w:after="0" w:line="198" w:lineRule="exact"/>
              <w:rPr>
                <w:sz w:val="20"/>
                <w:szCs w:val="20"/>
                <w:color w:val="auto"/>
              </w:rPr>
            </w:pPr>
            <w:r>
              <w:rPr>
                <w:rFonts w:ascii="Courier New" w:cs="Courier New" w:eastAsia="Courier New" w:hAnsi="Courier New"/>
                <w:sz w:val="18"/>
                <w:szCs w:val="18"/>
                <w:color w:val="auto"/>
                <w:w w:val="92"/>
              </w:rPr>
              <w:t>32.9%</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Type of</w:t>
            </w:r>
          </w:p>
        </w:tc>
        <w:tc>
          <w:tcPr>
            <w:tcW w:w="4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(see instructions)</w:t>
            </w: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w:t>
            </w:r>
          </w:p>
        </w:tc>
      </w:tr>
    </w:tbl>
    <w:p>
      <w:pPr>
        <w:sectPr>
          <w:pgSz w:w="11900" w:h="16838" w:orient="portrait"/>
          <w:cols w:equalWidth="0" w:num="1">
            <w:col w:w="10219"/>
          </w:cols>
          <w:pgMar w:left="240" w:top="717"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CUSIP NO. 72583K 10 9</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3 of 9</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left="540" w:right="177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class of equity securities to which this statement relates is Common Stock.</w:t>
      </w:r>
    </w:p>
    <w:p>
      <w:pPr>
        <w:spacing w:after="0" w:line="5"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address of the principal executive offices of the issuer of such securities is: PixTech, Inc. ("PixTech"), Avenue Olivier Perroy, 13790 Rousset, France.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Micron Technology, Inc. ("Micron")</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8000 South Federal Way, Boise, Idaho 83716-9632.</w:t>
      </w:r>
    </w:p>
    <w:p>
      <w:pPr>
        <w:spacing w:after="0" w:line="5"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Design, development, manufacture and marketing of semiconductor memory products and personal computer systems.</w:t>
      </w:r>
    </w:p>
    <w:p>
      <w:pPr>
        <w:spacing w:after="0" w:line="5"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Proceedings: During the last five years, neither Micron nor any executive officer or director of Micron has been convicted in any criminal proceeding.</w:t>
      </w:r>
    </w:p>
    <w:p>
      <w:pPr>
        <w:spacing w:after="0" w:line="6"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Proceedings: During the last five years, neither Micron nor any executive officer or director of Micron has been party to any civil proceeding of a judicial or administrative body of competent jurisdiction as a result of which such person was or is subject to any judgment, decree or final order enjoining future violations of, or prohibiting or mandating activities subject to, Federal or State securities laws or finding any violation with respect to such laws.</w:t>
      </w:r>
    </w:p>
    <w:p>
      <w:pPr>
        <w:spacing w:after="0" w:line="4"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Delaware.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Attached hereto as Appendix A is information required by this Item 2 with respect to the executive officers and directors of Micron.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exchange for the transfer of certain assets (including manufacturing equipment and $4.35 million in cash) and liabilities to PixTech, Micron received 7,133,562 shares of PixTech's Common Stock (the "Acquired Stock") and warrants to purchase an additional 310,000 shares of PixTech's Common Stock (the "Warrant") at an exercise price of $2.25313 per share. The Warrant and the Acquired Stock are collectively referred to herein as the "Securities."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Micron sold certain assets (including manufacturing equipment and $4.35 million in cash) and liabilities of its Display Division to PixTech. Micron no longer operates its Display Division.</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Micron presently holds the Securities as an investment. Depending upon Micron's evaluation of market conditions, market price, alternative investment opportunities, liquidity needs and other factors, Micron will from time to time explore opportunities for liquidating all or a portion of the Securities, through one or more sales pursuant to public or private offerings or otherwise. Micron may determine to retain some portion of the Securities as an investment.</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long as Micron holds at least the number of shares of PixTech's Common Stock equal to ten (10%) of the number of shares of PixTech's Common Stock outstanding, Micron will have the right to appoint a non-voting observer (the "Observer") to PixTech's Board of Directors (the "Board") or to designate a representative (the "Representative") for appointment or election to the Board. Upon written request of Micron, PixTech shall use its best efforts to cause the Representative designated by Micron to be elected to the Board, including recommending to the stockholders of the Company that they vote for the election of the Representative to the Board at the next regularly scheduled meeting of the stockholders of the Company.</w:t>
      </w:r>
    </w:p>
    <w:p>
      <w:pPr>
        <w:sectPr>
          <w:pgSz w:w="11900" w:h="16838" w:orient="portrait"/>
          <w:cols w:equalWidth="0" w:num="1">
            <w:col w:w="10219"/>
          </w:cols>
          <w:pgMar w:left="24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CUSIP NO. 72583K 10 9</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4 of 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PixTech.</w:t>
      </w:r>
    </w:p>
    <w:p>
      <w:pPr>
        <w:spacing w:after="0" w:line="207" w:lineRule="exact"/>
        <w:rPr>
          <w:sz w:val="20"/>
          <w:szCs w:val="20"/>
          <w:color w:val="auto"/>
        </w:rPr>
      </w:pPr>
    </w:p>
    <w:p>
      <w:pPr>
        <w:ind w:left="540" w:right="20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7,443,562 (includes 310,000 shares issuable upon exercise of the Warrant) of PixTech Common Stock.</w:t>
      </w:r>
    </w:p>
    <w:p>
      <w:pPr>
        <w:spacing w:after="0" w:line="208"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32.9% (based upon 22,593,891 shares outstanding, which was calculated by adding the number of shares beneficially owned by Micron to 15,150,329, the number of shares of PixTech Common Stock Outstanding reported as of May 13, 1999 in PixTech's Form 10-Q for the quarterly period ending March 31, 1999).</w:t>
      </w:r>
    </w:p>
    <w:p>
      <w:pPr>
        <w:spacing w:after="0" w:line="208"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there is sole power to vote or to direct the vote, sole power to dispose or to direct the disposition, or shared power to dispose or to direct the disposition: 7,443,562.</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transaction described herein, Micron has not effected any transactions in the class of securities reported on during the past sixty days.</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person has the right to receive or the power to direct the receipt of dividends from, or the proceeds from the sale of, the Securities.</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PixTech.</w:t>
      </w:r>
    </w:p>
    <w:p>
      <w:pPr>
        <w:spacing w:after="0" w:line="208"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Pursuant to the Investor Rights Agreement (as defined in Item 7), Micron has, under certain circumstances, various rights including: (a) registration of the Acquired Stock and the PixTech Common Stock issuable upon exercise of the Warrant, pursuant to certain shelf, demand and piggyback registration rights;</w:t>
      </w:r>
    </w:p>
    <w:p>
      <w:pPr>
        <w:spacing w:after="0" w:line="1" w:lineRule="exact"/>
        <w:rPr>
          <w:sz w:val="20"/>
          <w:szCs w:val="20"/>
          <w:color w:val="auto"/>
        </w:rPr>
      </w:pPr>
    </w:p>
    <w:p>
      <w:pPr>
        <w:ind w:right="18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the Micron Observer to the Board (prior to the date of this filing, an Observer had been appointed by Micron) and, upon request of Micron, PixTech has agreed to use its reasonable efforts to appoint or elect the Micron Representative to the Board (no request has been made as of the date of this filing). Pursuant to the Investor Rights Agreement, Micron has certain standstill obligations relating to its acquisition of the Securities. In addition, the PixTech Warrant Agreement (as defined in Item 7) places certain restrictions on the transfer of the Securities. See the Investor Rights Agreement and the PixTech Warrant Agreement for a further description of these and other provisions.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left="1280" w:right="219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Exhibit 1:</w:t>
        <w:tab/>
        <w:t>Acquisition Agreement dated as of March 19, 1999 between Micron Technology, Inc. and PixTech, Inc., as amended (the "Acquisition Agreement"). Confidential Treatment has been requested for a portion of this document.</w:t>
      </w:r>
    </w:p>
    <w:p>
      <w:pPr>
        <w:spacing w:after="0" w:line="207" w:lineRule="exact"/>
        <w:rPr>
          <w:sz w:val="20"/>
          <w:szCs w:val="20"/>
          <w:color w:val="auto"/>
        </w:rPr>
      </w:pPr>
    </w:p>
    <w:p>
      <w:pPr>
        <w:ind w:left="1280" w:right="20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Exhibit 2:</w:t>
        <w:tab/>
        <w:t>Investor Rights Agreement dated as of May 19, 1999 between Micron Technology, Inc. and PixTech, Inc. (the "Investor Rights Agreement").</w:t>
      </w:r>
    </w:p>
    <w:p>
      <w:pPr>
        <w:spacing w:after="0" w:line="209" w:lineRule="exact"/>
        <w:rPr>
          <w:sz w:val="20"/>
          <w:szCs w:val="20"/>
          <w:color w:val="auto"/>
        </w:rPr>
      </w:pPr>
    </w:p>
    <w:p>
      <w:pPr>
        <w:ind w:left="1280" w:right="27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Exhibit 3:</w:t>
        <w:tab/>
        <w:t>Common Stock Warrant dated as of May 19, 1999 (the "Warrant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Press Release dated March 19, 1999.</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CUSIP NO. 72583K 10 9</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5 of 9</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28, 1999</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W. G. Stover, Jr.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W. G. Stover, Jr., Vice President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of Finance and Chief Financial Officer</w:t>
      </w:r>
    </w:p>
    <w:p>
      <w:pPr>
        <w:sectPr>
          <w:pgSz w:w="11900" w:h="16838" w:orient="portrait"/>
          <w:cols w:equalWidth="0" w:num="1">
            <w:col w:w="10219"/>
          </w:cols>
          <w:pgMar w:left="240" w:top="717"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CUSIP NO. 72583K 10 9</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6 of 9</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following is a list of all members of the Board of Directors of Micron Technology, Inc. All directors are United States citizens.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Steven R. Appleton</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8000 South</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Federal Way</w:t>
            </w:r>
          </w:p>
        </w:tc>
      </w:tr>
      <w:tr>
        <w:trPr>
          <w:trHeight w:val="203"/>
        </w:trPr>
        <w:tc>
          <w:tcPr>
            <w:tcW w:w="28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Boise, ID</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83716-9632</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Chairman, Chief Executive Officer and President of</w:t>
            </w:r>
          </w:p>
        </w:tc>
      </w:tr>
      <w:tr>
        <w:trPr>
          <w:trHeight w:val="203"/>
        </w:trPr>
        <w:tc>
          <w:tcPr>
            <w:tcW w:w="2800" w:type="dxa"/>
            <w:vAlign w:val="bottom"/>
          </w:tcPr>
          <w:p>
            <w:pPr>
              <w:spacing w:after="0"/>
              <w:rPr>
                <w:sz w:val="17"/>
                <w:szCs w:val="17"/>
                <w:color w:val="auto"/>
              </w:rPr>
            </w:pP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Micron Technology, Inc.</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Micron Technology, Inc., a manufacturer of</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address of</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semiconductor memory products</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 other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8000 South</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Way</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on which</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Boise, ID</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83716-9632</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employment is conducted:</w:t>
            </w:r>
          </w:p>
        </w:tc>
        <w:tc>
          <w:tcPr>
            <w:tcW w:w="1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James W. Bagley</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4650 Cushing Parkway</w:t>
            </w:r>
          </w:p>
        </w:tc>
      </w:tr>
      <w:tr>
        <w:trPr>
          <w:trHeight w:val="203"/>
        </w:trPr>
        <w:tc>
          <w:tcPr>
            <w:tcW w:w="28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Fremont, CA</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94538</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Chairman and Chief Executive Officer of Lam Research</w:t>
            </w:r>
          </w:p>
        </w:tc>
      </w:tr>
      <w:tr>
        <w:trPr>
          <w:trHeight w:val="203"/>
        </w:trPr>
        <w:tc>
          <w:tcPr>
            <w:tcW w:w="28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Corporation</w:t>
            </w:r>
          </w:p>
        </w:tc>
        <w:tc>
          <w:tcPr>
            <w:tcW w:w="432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Lam Research Corporation, a manufacturer of</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address of corporation</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semiconductor processing equipment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or other organization on</w:t>
            </w: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4650 Cushing Parkway</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Fremont, CA</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94538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Robert A. Lothrop</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3308 Catalina</w:t>
            </w:r>
          </w:p>
        </w:tc>
      </w:tr>
      <w:tr>
        <w:trPr>
          <w:trHeight w:val="203"/>
        </w:trPr>
        <w:tc>
          <w:tcPr>
            <w:tcW w:w="28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Boise, ID</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83705</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Retired, former Senior Vice President of J. R.</w:t>
            </w:r>
          </w:p>
        </w:tc>
      </w:tr>
      <w:tr>
        <w:trPr>
          <w:trHeight w:val="203"/>
        </w:trPr>
        <w:tc>
          <w:tcPr>
            <w:tcW w:w="2800" w:type="dxa"/>
            <w:vAlign w:val="bottom"/>
          </w:tcPr>
          <w:p>
            <w:pPr>
              <w:spacing w:after="0"/>
              <w:rPr>
                <w:sz w:val="17"/>
                <w:szCs w:val="17"/>
                <w:color w:val="auto"/>
              </w:rPr>
            </w:pP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Simplot Company</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122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address of corporation</w:t>
            </w:r>
          </w:p>
        </w:tc>
        <w:tc>
          <w:tcPr>
            <w:tcW w:w="1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or other organization on</w:t>
            </w:r>
          </w:p>
        </w:tc>
        <w:tc>
          <w:tcPr>
            <w:tcW w:w="1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2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Thomas T. Nicholson</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1015 Olive Way</w:t>
            </w:r>
          </w:p>
        </w:tc>
      </w:tr>
      <w:tr>
        <w:trPr>
          <w:trHeight w:val="203"/>
        </w:trPr>
        <w:tc>
          <w:tcPr>
            <w:tcW w:w="28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Seattle, WA</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98101-1894</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Vice President and member of the Board of Directors</w:t>
            </w:r>
          </w:p>
        </w:tc>
      </w:tr>
      <w:tr>
        <w:trPr>
          <w:trHeight w:val="203"/>
        </w:trPr>
        <w:tc>
          <w:tcPr>
            <w:tcW w:w="2800" w:type="dxa"/>
            <w:vAlign w:val="bottom"/>
          </w:tcPr>
          <w:p>
            <w:pPr>
              <w:spacing w:after="0"/>
              <w:rPr>
                <w:sz w:val="17"/>
                <w:szCs w:val="17"/>
                <w:color w:val="auto"/>
              </w:rPr>
            </w:pPr>
          </w:p>
        </w:tc>
        <w:tc>
          <w:tcPr>
            <w:tcW w:w="5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Honda of Seattle</w:t>
            </w: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jc w:val="right"/>
              <w:spacing w:after="0"/>
              <w:rPr>
                <w:sz w:val="20"/>
                <w:szCs w:val="20"/>
                <w:color w:val="auto"/>
              </w:rPr>
            </w:pPr>
            <w:r>
              <w:rPr>
                <w:rFonts w:ascii="Courier New" w:cs="Courier New" w:eastAsia="Courier New" w:hAnsi="Courier New"/>
                <w:sz w:val="18"/>
                <w:szCs w:val="18"/>
                <w:color w:val="auto"/>
              </w:rPr>
              <w:t>CUSIP NO. 72583K 10 9</w:t>
            </w:r>
          </w:p>
        </w:tc>
      </w:tr>
      <w:tr>
        <w:trPr>
          <w:trHeight w:val="203"/>
        </w:trPr>
        <w:tc>
          <w:tcPr>
            <w:tcW w:w="2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7 of 9</w:t>
            </w: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56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Honda of Seattle, a car dealership</w:t>
            </w:r>
          </w:p>
        </w:tc>
      </w:tr>
      <w:tr>
        <w:trPr>
          <w:trHeight w:val="203"/>
        </w:trPr>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address of corporation 1015 Olive Way</w:t>
            </w:r>
          </w:p>
        </w:tc>
        <w:tc>
          <w:tcPr>
            <w:tcW w:w="38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or other organization 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Seattle, WA</w:t>
            </w:r>
          </w:p>
        </w:tc>
        <w:tc>
          <w:tcPr>
            <w:tcW w:w="4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98101-1894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8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Don J. Simplot</w:t>
            </w:r>
          </w:p>
        </w:tc>
        <w:tc>
          <w:tcPr>
            <w:tcW w:w="380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w w:val="95"/>
              </w:rPr>
              <w:t>P.O. Box 27</w:t>
            </w:r>
          </w:p>
        </w:tc>
        <w:tc>
          <w:tcPr>
            <w:tcW w:w="5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3"/>
        </w:trPr>
        <w:tc>
          <w:tcPr>
            <w:tcW w:w="28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w:t>
            </w:r>
          </w:p>
        </w:tc>
        <w:tc>
          <w:tcPr>
            <w:tcW w:w="4320" w:type="dxa"/>
            <w:vAlign w:val="bottom"/>
            <w:gridSpan w:val="2"/>
          </w:tcPr>
          <w:p>
            <w:pPr>
              <w:jc w:val="right"/>
              <w:ind w:right="3192"/>
              <w:spacing w:after="0" w:line="203" w:lineRule="exact"/>
              <w:rPr>
                <w:sz w:val="20"/>
                <w:szCs w:val="20"/>
                <w:color w:val="auto"/>
              </w:rPr>
            </w:pPr>
            <w:r>
              <w:rPr>
                <w:rFonts w:ascii="Courier New" w:cs="Courier New" w:eastAsia="Courier New" w:hAnsi="Courier New"/>
                <w:sz w:val="18"/>
                <w:szCs w:val="18"/>
                <w:color w:val="auto"/>
                <w:w w:val="94"/>
              </w:rPr>
              <w:t>83707-0027</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Corporate Vice President and member of the</w:t>
            </w:r>
          </w:p>
        </w:tc>
      </w:tr>
      <w:tr>
        <w:trPr>
          <w:trHeight w:val="203"/>
        </w:trPr>
        <w:tc>
          <w:tcPr>
            <w:tcW w:w="2800" w:type="dxa"/>
            <w:vAlign w:val="bottom"/>
          </w:tcPr>
          <w:p>
            <w:pPr>
              <w:spacing w:after="0"/>
              <w:rPr>
                <w:sz w:val="17"/>
                <w:szCs w:val="17"/>
                <w:color w:val="auto"/>
              </w:rPr>
            </w:pPr>
          </w:p>
        </w:tc>
        <w:tc>
          <w:tcPr>
            <w:tcW w:w="5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Office of the Chairman of J. R. Simplot Company</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J. R. Simplot Company, an agribusiness</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address of corporation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P.O. Box 27</w:t>
            </w: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or other organization on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w:t>
            </w:r>
          </w:p>
        </w:tc>
        <w:tc>
          <w:tcPr>
            <w:tcW w:w="4320" w:type="dxa"/>
            <w:vAlign w:val="bottom"/>
            <w:gridSpan w:val="2"/>
          </w:tcPr>
          <w:p>
            <w:pPr>
              <w:jc w:val="right"/>
              <w:ind w:right="3192"/>
              <w:spacing w:after="0" w:line="203" w:lineRule="exact"/>
              <w:rPr>
                <w:sz w:val="20"/>
                <w:szCs w:val="20"/>
                <w:color w:val="auto"/>
              </w:rPr>
            </w:pPr>
            <w:r>
              <w:rPr>
                <w:rFonts w:ascii="Courier New" w:cs="Courier New" w:eastAsia="Courier New" w:hAnsi="Courier New"/>
                <w:sz w:val="18"/>
                <w:szCs w:val="18"/>
                <w:color w:val="auto"/>
                <w:w w:val="94"/>
              </w:rPr>
              <w:t>83707-0027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8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John R. Simplot</w:t>
            </w:r>
          </w:p>
        </w:tc>
        <w:tc>
          <w:tcPr>
            <w:tcW w:w="380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w w:val="95"/>
              </w:rPr>
              <w:t>P.O. Box 27</w:t>
            </w:r>
          </w:p>
        </w:tc>
        <w:tc>
          <w:tcPr>
            <w:tcW w:w="5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3"/>
        </w:trPr>
        <w:tc>
          <w:tcPr>
            <w:tcW w:w="28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w:t>
            </w:r>
          </w:p>
        </w:tc>
        <w:tc>
          <w:tcPr>
            <w:tcW w:w="4320" w:type="dxa"/>
            <w:vAlign w:val="bottom"/>
            <w:gridSpan w:val="2"/>
          </w:tcPr>
          <w:p>
            <w:pPr>
              <w:jc w:val="right"/>
              <w:ind w:right="3192"/>
              <w:spacing w:after="0" w:line="203" w:lineRule="exact"/>
              <w:rPr>
                <w:sz w:val="20"/>
                <w:szCs w:val="20"/>
                <w:color w:val="auto"/>
              </w:rPr>
            </w:pPr>
            <w:r>
              <w:rPr>
                <w:rFonts w:ascii="Courier New" w:cs="Courier New" w:eastAsia="Courier New" w:hAnsi="Courier New"/>
                <w:sz w:val="18"/>
                <w:szCs w:val="18"/>
                <w:color w:val="auto"/>
                <w:w w:val="94"/>
              </w:rPr>
              <w:t>83707-0027</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Chairman Emeritus of J. R. Simplot Company</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J. R. Simplot Company, an agribusiness</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address of corporation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P.O. Box 27</w:t>
            </w: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or other organization on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w:t>
            </w:r>
          </w:p>
        </w:tc>
        <w:tc>
          <w:tcPr>
            <w:tcW w:w="4320" w:type="dxa"/>
            <w:vAlign w:val="bottom"/>
            <w:gridSpan w:val="2"/>
          </w:tcPr>
          <w:p>
            <w:pPr>
              <w:jc w:val="right"/>
              <w:ind w:right="3192"/>
              <w:spacing w:after="0" w:line="203" w:lineRule="exact"/>
              <w:rPr>
                <w:sz w:val="20"/>
                <w:szCs w:val="20"/>
                <w:color w:val="auto"/>
              </w:rPr>
            </w:pPr>
            <w:r>
              <w:rPr>
                <w:rFonts w:ascii="Courier New" w:cs="Courier New" w:eastAsia="Courier New" w:hAnsi="Courier New"/>
                <w:sz w:val="18"/>
                <w:szCs w:val="18"/>
                <w:color w:val="auto"/>
                <w:w w:val="94"/>
              </w:rPr>
              <w:t>83707-0027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8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Gordon C. Smith</w:t>
            </w:r>
          </w:p>
        </w:tc>
        <w:tc>
          <w:tcPr>
            <w:tcW w:w="380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42874 Old Wingville Road</w:t>
            </w:r>
          </w:p>
        </w:tc>
      </w:tr>
      <w:tr>
        <w:trPr>
          <w:trHeight w:val="203"/>
        </w:trPr>
        <w:tc>
          <w:tcPr>
            <w:tcW w:w="2800" w:type="dxa"/>
            <w:vAlign w:val="bottom"/>
          </w:tcPr>
          <w:p>
            <w:pPr>
              <w:spacing w:after="0"/>
              <w:rPr>
                <w:sz w:val="17"/>
                <w:szCs w:val="17"/>
                <w:color w:val="auto"/>
              </w:rPr>
            </w:pP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Baker City, OR</w:t>
            </w:r>
          </w:p>
        </w:tc>
        <w:tc>
          <w:tcPr>
            <w:tcW w:w="380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w w:val="92"/>
              </w:rPr>
              <w:t>97814</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President of Wesmar, Inc.</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 principal business</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Wesmar, Inc., a franchise of Wendy's Restaurants</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address of corporation</w:t>
            </w:r>
          </w:p>
        </w:tc>
        <w:tc>
          <w:tcPr>
            <w:tcW w:w="5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42874 Old Wingville Road</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or other organization on</w:t>
            </w: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Baker City, OR</w:t>
            </w:r>
          </w:p>
        </w:tc>
        <w:tc>
          <w:tcPr>
            <w:tcW w:w="380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w w:val="92"/>
              </w:rPr>
              <w:t>97814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 is</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conducted:</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8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William P. Weber</w:t>
            </w:r>
          </w:p>
        </w:tc>
        <w:tc>
          <w:tcPr>
            <w:tcW w:w="380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3921 Euclid Avenue</w:t>
            </w:r>
          </w:p>
        </w:tc>
      </w:tr>
      <w:tr>
        <w:trPr>
          <w:trHeight w:val="203"/>
        </w:trPr>
        <w:tc>
          <w:tcPr>
            <w:tcW w:w="28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Dallas, TX</w:t>
            </w:r>
          </w:p>
        </w:tc>
        <w:tc>
          <w:tcPr>
            <w:tcW w:w="4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75205</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Principal Occupation:</w:t>
            </w:r>
          </w:p>
        </w:tc>
        <w:tc>
          <w:tcPr>
            <w:tcW w:w="56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Retired, former Vice Chairman of Texas Instruments</w:t>
            </w:r>
          </w:p>
        </w:tc>
      </w:tr>
      <w:tr>
        <w:trPr>
          <w:trHeight w:val="203"/>
        </w:trPr>
        <w:tc>
          <w:tcPr>
            <w:tcW w:w="2800" w:type="dxa"/>
            <w:vAlign w:val="bottom"/>
          </w:tcPr>
          <w:p>
            <w:pPr>
              <w:spacing w:after="0"/>
              <w:rPr>
                <w:sz w:val="17"/>
                <w:szCs w:val="17"/>
                <w:color w:val="auto"/>
              </w:rPr>
            </w:pP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Incorporated</w:t>
            </w:r>
          </w:p>
        </w:tc>
        <w:tc>
          <w:tcPr>
            <w:tcW w:w="380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CUSIP NO. 72583K 10 9</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8 of 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principal business</w:t>
      </w:r>
    </w:p>
    <w:p>
      <w:pPr>
        <w:spacing w:after="0" w:line="238" w:lineRule="auto"/>
        <w:rPr>
          <w:sz w:val="20"/>
          <w:szCs w:val="20"/>
          <w:color w:val="auto"/>
        </w:rPr>
      </w:pPr>
      <w:r>
        <w:rPr>
          <w:rFonts w:ascii="Courier New" w:cs="Courier New" w:eastAsia="Courier New" w:hAnsi="Courier New"/>
          <w:sz w:val="18"/>
          <w:szCs w:val="18"/>
          <w:color w:val="auto"/>
        </w:rPr>
        <w:t>and address of corporation</w:t>
      </w:r>
    </w:p>
    <w:p>
      <w:pPr>
        <w:spacing w:after="0"/>
        <w:rPr>
          <w:sz w:val="20"/>
          <w:szCs w:val="20"/>
          <w:color w:val="auto"/>
        </w:rPr>
      </w:pPr>
      <w:r>
        <w:rPr>
          <w:rFonts w:ascii="Courier New" w:cs="Courier New" w:eastAsia="Courier New" w:hAnsi="Courier New"/>
          <w:sz w:val="18"/>
          <w:szCs w:val="18"/>
          <w:color w:val="auto"/>
        </w:rPr>
        <w:t>or other organization on</w:t>
      </w:r>
    </w:p>
    <w:p>
      <w:pPr>
        <w:spacing w:after="0" w:line="237" w:lineRule="auto"/>
        <w:rPr>
          <w:sz w:val="20"/>
          <w:szCs w:val="20"/>
          <w:color w:val="auto"/>
        </w:rPr>
      </w:pPr>
      <w:r>
        <w:rPr>
          <w:rFonts w:ascii="Courier New" w:cs="Courier New" w:eastAsia="Courier New" w:hAnsi="Courier New"/>
          <w:sz w:val="18"/>
          <w:szCs w:val="18"/>
          <w:color w:val="auto"/>
        </w:rPr>
        <w:t>which employment is</w:t>
      </w:r>
    </w:p>
    <w:p>
      <w:pPr>
        <w:spacing w:after="0" w:line="238" w:lineRule="auto"/>
        <w:rPr>
          <w:sz w:val="20"/>
          <w:szCs w:val="20"/>
          <w:color w:val="auto"/>
        </w:rPr>
      </w:pPr>
      <w:r>
        <w:rPr>
          <w:rFonts w:ascii="Courier New" w:cs="Courier New" w:eastAsia="Courier New" w:hAnsi="Courier New"/>
          <w:sz w:val="18"/>
          <w:szCs w:val="18"/>
          <w:color w:val="auto"/>
        </w:rPr>
        <w:t>conducted:</w:t>
      </w:r>
    </w:p>
    <w:p>
      <w:pPr>
        <w:sectPr>
          <w:pgSz w:w="11900" w:h="16838" w:orient="portrait"/>
          <w:cols w:equalWidth="0" w:num="1">
            <w:col w:w="10219"/>
          </w:cols>
          <w:pgMar w:left="240" w:top="717"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CUSIP NO. 72583K 10 9</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9 of 9</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is a list of all executive officers of the Micron Technology, Inc. excluding executive officers who are also directors. Unless otherwise indicated, each officer's business address is 8000 South Federal Way, Boise, ID 83716-9632, which address is Micron's business address. All executive officers are United States citizens.</w:t>
      </w:r>
    </w:p>
    <w:p>
      <w:pPr>
        <w:spacing w:after="0" w:line="200" w:lineRule="exact"/>
        <w:rPr>
          <w:sz w:val="20"/>
          <w:szCs w:val="20"/>
          <w:color w:val="auto"/>
        </w:rPr>
      </w:pPr>
    </w:p>
    <w:p>
      <w:pPr>
        <w:spacing w:after="0" w:line="206"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Position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Donald D. Baldwin</w:t>
            </w:r>
          </w:p>
        </w:tc>
        <w:tc>
          <w:tcPr>
            <w:tcW w:w="30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 of Sales and</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Marketing</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Kipp A. Bedard</w:t>
            </w:r>
          </w:p>
        </w:tc>
        <w:tc>
          <w:tcPr>
            <w:tcW w:w="30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 of Corporate</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Affairs</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Robert M. Donnelly</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Vice President of Memory Products</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 Mark Durcan</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w w:val="98"/>
              </w:rPr>
              <w:t>Chief Technical</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Officer and</w:t>
            </w:r>
          </w:p>
        </w:tc>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Vice President of Research</w:t>
            </w:r>
          </w:p>
        </w:tc>
      </w:tr>
      <w:tr>
        <w:trPr>
          <w:trHeight w:val="203"/>
        </w:trPr>
        <w:tc>
          <w:tcPr>
            <w:tcW w:w="2320" w:type="dxa"/>
            <w:vAlign w:val="bottom"/>
          </w:tcPr>
          <w:p>
            <w:pPr>
              <w:spacing w:after="0"/>
              <w:rPr>
                <w:sz w:val="17"/>
                <w:szCs w:val="17"/>
                <w:color w:val="auto"/>
              </w:rPr>
            </w:pPr>
          </w:p>
        </w:tc>
        <w:tc>
          <w:tcPr>
            <w:tcW w:w="1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&amp; Development</w:t>
            </w:r>
          </w:p>
        </w:tc>
        <w:tc>
          <w:tcPr>
            <w:tcW w:w="13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Jay L. Hawkins</w:t>
            </w:r>
          </w:p>
        </w:tc>
        <w:tc>
          <w:tcPr>
            <w:tcW w:w="3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Vice President of Operations</w:t>
            </w:r>
          </w:p>
        </w:tc>
        <w:tc>
          <w:tcPr>
            <w:tcW w:w="2740" w:type="dxa"/>
            <w:vAlign w:val="bottom"/>
          </w:tcPr>
          <w:p>
            <w:pPr>
              <w:spacing w:after="0"/>
              <w:rPr>
                <w:sz w:val="24"/>
                <w:szCs w:val="24"/>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Joel J. Kocher</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w w:val="98"/>
              </w:rPr>
              <w:t>Chairman, Chief</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Executive Officer and President of</w:t>
            </w:r>
          </w:p>
        </w:tc>
      </w:tr>
      <w:tr>
        <w:trPr>
          <w:trHeight w:val="203"/>
        </w:trPr>
        <w:tc>
          <w:tcPr>
            <w:tcW w:w="2320" w:type="dxa"/>
            <w:vAlign w:val="bottom"/>
          </w:tcPr>
          <w:p>
            <w:pPr>
              <w:spacing w:after="0"/>
              <w:rPr>
                <w:sz w:val="17"/>
                <w:szCs w:val="17"/>
                <w:color w:val="auto"/>
              </w:rPr>
            </w:pPr>
          </w:p>
        </w:tc>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Micron Electronics, Inc.</w:t>
            </w:r>
          </w:p>
        </w:tc>
        <w:tc>
          <w:tcPr>
            <w:tcW w:w="2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Roderic W. Lewis</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Vice President of Legal Affairs, General Counsel and</w:t>
            </w:r>
          </w:p>
        </w:tc>
      </w:tr>
      <w:tr>
        <w:trPr>
          <w:trHeight w:val="203"/>
        </w:trPr>
        <w:tc>
          <w:tcPr>
            <w:tcW w:w="2320" w:type="dxa"/>
            <w:vAlign w:val="bottom"/>
          </w:tcPr>
          <w:p>
            <w:pPr>
              <w:spacing w:after="0"/>
              <w:rPr>
                <w:sz w:val="17"/>
                <w:szCs w:val="17"/>
                <w:color w:val="auto"/>
              </w:rPr>
            </w:pPr>
          </w:p>
        </w:tc>
        <w:tc>
          <w:tcPr>
            <w:tcW w:w="3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Corporate  Secretary</w:t>
            </w:r>
          </w:p>
        </w:tc>
        <w:tc>
          <w:tcPr>
            <w:tcW w:w="274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w w:val="98"/>
              </w:rPr>
              <w:t>Chief Financial</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Officer and</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Vice President of Finance</w:t>
            </w:r>
          </w:p>
        </w:tc>
      </w:tr>
    </w:tbl>
    <w:p>
      <w:pPr>
        <w:sectPr>
          <w:pgSz w:w="11900" w:h="16838" w:orient="portrait"/>
          <w:cols w:equalWidth="0" w:num="1">
            <w:col w:w="10219"/>
          </w:cols>
          <w:pgMar w:left="240" w:top="717"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ACQUISITION AGREEMENT*</w:t>
      </w:r>
    </w:p>
    <w:p>
      <w:pPr>
        <w:spacing w:after="0" w:line="200" w:lineRule="exact"/>
        <w:rPr>
          <w:sz w:val="20"/>
          <w:szCs w:val="20"/>
          <w:color w:val="auto"/>
        </w:rPr>
      </w:pPr>
    </w:p>
    <w:p>
      <w:pPr>
        <w:spacing w:after="0" w:line="20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March 19, 1999</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PIXTECH, INC.</w:t>
      </w:r>
    </w:p>
    <w:p>
      <w:pPr>
        <w:spacing w:after="0" w:line="200" w:lineRule="exact"/>
        <w:rPr>
          <w:sz w:val="20"/>
          <w:szCs w:val="20"/>
          <w:color w:val="auto"/>
        </w:rPr>
      </w:pPr>
    </w:p>
    <w:p>
      <w:pPr>
        <w:spacing w:after="0" w:line="20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relating to the purchase and sale</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1240"/>
        <w:spacing w:after="0"/>
        <w:rPr>
          <w:sz w:val="20"/>
          <w:szCs w:val="20"/>
          <w:color w:val="auto"/>
        </w:rPr>
      </w:pPr>
      <w:r>
        <w:rPr>
          <w:rFonts w:ascii="Courier New" w:cs="Courier New" w:eastAsia="Courier New" w:hAnsi="Courier New"/>
          <w:sz w:val="18"/>
          <w:szCs w:val="18"/>
          <w:color w:val="auto"/>
        </w:rPr>
        <w:t>Micron's Display Division Business</w:t>
      </w:r>
    </w:p>
    <w:p>
      <w:pPr>
        <w:spacing w:after="0" w:line="200" w:lineRule="exact"/>
        <w:rPr>
          <w:sz w:val="20"/>
          <w:szCs w:val="20"/>
          <w:color w:val="auto"/>
        </w:rPr>
      </w:pPr>
    </w:p>
    <w:p>
      <w:pPr>
        <w:spacing w:after="0" w:line="209" w:lineRule="exact"/>
        <w:rPr>
          <w:sz w:val="20"/>
          <w:szCs w:val="20"/>
          <w:color w:val="auto"/>
        </w:rPr>
      </w:pPr>
    </w:p>
    <w:p>
      <w:pPr>
        <w:ind w:left="1020" w:right="4199"/>
        <w:spacing w:after="0" w:line="536" w:lineRule="auto"/>
        <w:tabs>
          <w:tab w:leader="none" w:pos="133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CONFIDENTIAL INFORMATION IN THIS EXHIBIT HAS BEEN OMITTED AND</w:t>
      </w:r>
    </w:p>
    <w:p>
      <w:pPr>
        <w:ind w:left="1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SEPARATELY FILED WITH</w:t>
      </w:r>
    </w:p>
    <w:p>
      <w:pPr>
        <w:spacing w:after="0" w:line="206" w:lineRule="exact"/>
        <w:rPr>
          <w:rFonts w:ascii="Courier New" w:cs="Courier New" w:eastAsia="Courier New" w:hAnsi="Courier New"/>
          <w:sz w:val="16"/>
          <w:szCs w:val="16"/>
          <w:color w:val="auto"/>
        </w:rPr>
      </w:pPr>
    </w:p>
    <w:p>
      <w:pPr>
        <w:ind w:left="1240" w:right="4419" w:firstLine="211"/>
        <w:spacing w:after="0" w:line="5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COMMISSION. CONFIDENTIAL TREATMENT REQUESTED WITH RESPECT TO THE OMITTED PORTIONS.</w:t>
      </w:r>
    </w:p>
    <w:p>
      <w:pPr>
        <w:sectPr>
          <w:pgSz w:w="11900" w:h="16838" w:orient="portrait"/>
          <w:cols w:equalWidth="0" w:num="1">
            <w:col w:w="9019"/>
          </w:cols>
          <w:pgMar w:left="1440" w:top="541" w:right="1440" w:bottom="1440" w:gutter="0" w:footer="0" w:header="0"/>
        </w:sectPr>
      </w:pPr>
    </w:p>
    <w:bookmarkStart w:id="10" w:name="page11"/>
    <w:bookmarkEnd w:id="10"/>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Page</w:t>
      </w:r>
    </w:p>
    <w:p>
      <w:pPr>
        <w:jc w:val="right"/>
        <w:ind w:right="261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ARTICLE I DEFINITIONS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220"/>
        <w:spacing w:after="0"/>
        <w:tabs>
          <w:tab w:leader="dot" w:pos="7360" w:val="left"/>
        </w:tabs>
        <w:rPr>
          <w:sz w:val="20"/>
          <w:szCs w:val="20"/>
          <w:color w:val="auto"/>
        </w:rPr>
      </w:pPr>
      <w:r>
        <w:rPr>
          <w:rFonts w:ascii="Courier New" w:cs="Courier New" w:eastAsia="Courier New" w:hAnsi="Courier New"/>
          <w:sz w:val="18"/>
          <w:szCs w:val="18"/>
          <w:color w:val="auto"/>
        </w:rPr>
        <w:t>SECTION 1.1. Definitions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ARTICLE II PURCHASE AND SALE OF DISPLAY DIVISION BUSINESS</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2.1.</w:t>
        <w:tab/>
        <w:t>Purchase and Sale</w:t>
      </w:r>
      <w:r>
        <w:rPr>
          <w:sz w:val="20"/>
          <w:szCs w:val="20"/>
          <w:color w:val="auto"/>
        </w:rPr>
        <w:tab/>
      </w:r>
      <w:r>
        <w:rPr>
          <w:rFonts w:ascii="Courier New" w:cs="Courier New" w:eastAsia="Courier New" w:hAnsi="Courier New"/>
          <w:sz w:val="16"/>
          <w:szCs w:val="16"/>
          <w:color w:val="auto"/>
        </w:rPr>
        <w:t>7</w:t>
      </w: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2.2.</w:t>
        <w:tab/>
        <w:t>Excluded Assets</w:t>
      </w:r>
      <w:r>
        <w:rPr>
          <w:sz w:val="20"/>
          <w:szCs w:val="20"/>
          <w:color w:val="auto"/>
        </w:rPr>
        <w:tab/>
      </w:r>
      <w:r>
        <w:rPr>
          <w:rFonts w:ascii="Courier New" w:cs="Courier New" w:eastAsia="Courier New" w:hAnsi="Courier New"/>
          <w:sz w:val="16"/>
          <w:szCs w:val="16"/>
          <w:color w:val="auto"/>
        </w:rPr>
        <w:t>7</w:t>
      </w: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2.3.</w:t>
        <w:tab/>
        <w:t>Assumed Liabilities</w:t>
      </w:r>
      <w:r>
        <w:rPr>
          <w:sz w:val="20"/>
          <w:szCs w:val="20"/>
          <w:color w:val="auto"/>
        </w:rPr>
        <w:tab/>
      </w:r>
      <w:r>
        <w:rPr>
          <w:rFonts w:ascii="Courier New" w:cs="Courier New" w:eastAsia="Courier New" w:hAnsi="Courier New"/>
          <w:sz w:val="16"/>
          <w:szCs w:val="16"/>
          <w:color w:val="auto"/>
        </w:rPr>
        <w:t>7</w:t>
      </w: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2.4.</w:t>
        <w:tab/>
        <w:t>Excluded Liabilities</w:t>
      </w:r>
      <w:r>
        <w:rPr>
          <w:sz w:val="20"/>
          <w:szCs w:val="20"/>
          <w:color w:val="auto"/>
        </w:rPr>
        <w:tab/>
      </w:r>
      <w:r>
        <w:rPr>
          <w:rFonts w:ascii="Courier New" w:cs="Courier New" w:eastAsia="Courier New" w:hAnsi="Courier New"/>
          <w:sz w:val="16"/>
          <w:szCs w:val="16"/>
          <w:color w:val="auto"/>
        </w:rPr>
        <w:t>7</w:t>
      </w: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2.5.</w:t>
        <w:tab/>
        <w:t>Display Division Purchase Consideration</w:t>
      </w:r>
      <w:r>
        <w:rPr>
          <w:sz w:val="20"/>
          <w:szCs w:val="20"/>
          <w:color w:val="auto"/>
        </w:rPr>
        <w:tab/>
      </w:r>
      <w:r>
        <w:rPr>
          <w:rFonts w:ascii="Courier New" w:cs="Courier New" w:eastAsia="Courier New" w:hAnsi="Courier New"/>
          <w:sz w:val="16"/>
          <w:szCs w:val="16"/>
          <w:color w:val="auto"/>
        </w:rPr>
        <w:t>7</w:t>
      </w: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2.6.</w:t>
        <w:tab/>
        <w:t>Assignment of Contracts and Rights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ARTICLE III</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ARTICLE IV CLOSING</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4.1.</w:t>
        <w:tab/>
        <w:t>Closing</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ARTICLE V REPRESENTATIONS AND WARRANTIES OF MICRON</w:t>
      </w:r>
      <w:r>
        <w:rPr>
          <w:sz w:val="20"/>
          <w:szCs w:val="20"/>
          <w:color w:val="auto"/>
        </w:rPr>
        <w:tab/>
      </w:r>
      <w:r>
        <w:rPr>
          <w:rFonts w:ascii="Courier New" w:cs="Courier New" w:eastAsia="Courier New" w:hAnsi="Courier New"/>
          <w:sz w:val="16"/>
          <w:szCs w:val="16"/>
          <w:color w:val="auto"/>
        </w:rPr>
        <w:t>9</w:t>
      </w:r>
    </w:p>
    <w:p>
      <w:pPr>
        <w:spacing w:after="0" w:line="201" w:lineRule="exact"/>
        <w:rPr>
          <w:sz w:val="20"/>
          <w:szCs w:val="20"/>
          <w:color w:val="auto"/>
        </w:rPr>
      </w:pP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5.1.</w:t>
        <w:tab/>
        <w:t>Corporate Existence and Power</w:t>
      </w:r>
      <w:r>
        <w:rPr>
          <w:sz w:val="20"/>
          <w:szCs w:val="20"/>
          <w:color w:val="auto"/>
        </w:rPr>
        <w:tab/>
      </w:r>
      <w:r>
        <w:rPr>
          <w:rFonts w:ascii="Courier New" w:cs="Courier New" w:eastAsia="Courier New" w:hAnsi="Courier New"/>
          <w:sz w:val="16"/>
          <w:szCs w:val="16"/>
          <w:color w:val="auto"/>
        </w:rPr>
        <w:t>9</w:t>
      </w:r>
    </w:p>
    <w:p>
      <w:pPr>
        <w:ind w:left="220"/>
        <w:spacing w:after="0"/>
        <w:tabs>
          <w:tab w:leader="none" w:pos="1680" w:val="left"/>
          <w:tab w:leader="dot" w:pos="7360" w:val="left"/>
        </w:tabs>
        <w:rPr>
          <w:sz w:val="20"/>
          <w:szCs w:val="20"/>
          <w:color w:val="auto"/>
        </w:rPr>
      </w:pPr>
      <w:r>
        <w:rPr>
          <w:rFonts w:ascii="Courier New" w:cs="Courier New" w:eastAsia="Courier New" w:hAnsi="Courier New"/>
          <w:sz w:val="18"/>
          <w:szCs w:val="18"/>
          <w:color w:val="auto"/>
        </w:rPr>
        <w:t>SECTION 5.2.</w:t>
        <w:tab/>
        <w:t>Corporate Authorization</w:t>
      </w:r>
      <w:r>
        <w:rPr>
          <w:sz w:val="20"/>
          <w:szCs w:val="20"/>
          <w:color w:val="auto"/>
        </w:rPr>
        <w:tab/>
      </w:r>
      <w:r>
        <w:rPr>
          <w:rFonts w:ascii="Courier New" w:cs="Courier New" w:eastAsia="Courier New" w:hAnsi="Courier New"/>
          <w:sz w:val="16"/>
          <w:szCs w:val="16"/>
          <w:color w:val="auto"/>
        </w:rPr>
        <w:t>9</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5.3.</w:t>
        <w:tab/>
        <w:t>Governmental Authorization</w:t>
      </w:r>
      <w:r>
        <w:rPr>
          <w:sz w:val="20"/>
          <w:szCs w:val="20"/>
          <w:color w:val="auto"/>
        </w:rPr>
        <w:tab/>
      </w:r>
      <w:r>
        <w:rPr>
          <w:rFonts w:ascii="Courier New" w:cs="Courier New" w:eastAsia="Courier New" w:hAnsi="Courier New"/>
          <w:sz w:val="16"/>
          <w:szCs w:val="16"/>
          <w:color w:val="auto"/>
        </w:rPr>
        <w:t>10</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5.4.</w:t>
        <w:tab/>
        <w:t>Noncontravention</w:t>
      </w:r>
      <w:r>
        <w:rPr>
          <w:sz w:val="20"/>
          <w:szCs w:val="20"/>
          <w:color w:val="auto"/>
        </w:rPr>
        <w:tab/>
      </w:r>
      <w:r>
        <w:rPr>
          <w:rFonts w:ascii="Courier New" w:cs="Courier New" w:eastAsia="Courier New" w:hAnsi="Courier New"/>
          <w:sz w:val="16"/>
          <w:szCs w:val="16"/>
          <w:color w:val="auto"/>
        </w:rPr>
        <w:t>10</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5.5.</w:t>
        <w:tab/>
        <w:t>Required Consents</w:t>
      </w:r>
      <w:r>
        <w:rPr>
          <w:sz w:val="20"/>
          <w:szCs w:val="20"/>
          <w:color w:val="auto"/>
        </w:rPr>
        <w:tab/>
      </w:r>
      <w:r>
        <w:rPr>
          <w:rFonts w:ascii="Courier New" w:cs="Courier New" w:eastAsia="Courier New" w:hAnsi="Courier New"/>
          <w:sz w:val="16"/>
          <w:szCs w:val="16"/>
          <w:color w:val="auto"/>
        </w:rPr>
        <w:t>10</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5.6.</w:t>
        <w:tab/>
        <w:t>Absence of Certain Changes</w:t>
      </w:r>
      <w:r>
        <w:rPr>
          <w:sz w:val="20"/>
          <w:szCs w:val="20"/>
          <w:color w:val="auto"/>
        </w:rPr>
        <w:tab/>
      </w:r>
      <w:r>
        <w:rPr>
          <w:rFonts w:ascii="Courier New" w:cs="Courier New" w:eastAsia="Courier New" w:hAnsi="Courier New"/>
          <w:sz w:val="16"/>
          <w:szCs w:val="16"/>
          <w:color w:val="auto"/>
        </w:rPr>
        <w:t>10</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5.7.</w:t>
        <w:tab/>
        <w:t>Material Contracts</w:t>
      </w:r>
      <w:r>
        <w:rPr>
          <w:sz w:val="20"/>
          <w:szCs w:val="20"/>
          <w:color w:val="auto"/>
        </w:rPr>
        <w:tab/>
      </w:r>
      <w:r>
        <w:rPr>
          <w:rFonts w:ascii="Courier New" w:cs="Courier New" w:eastAsia="Courier New" w:hAnsi="Courier New"/>
          <w:sz w:val="16"/>
          <w:szCs w:val="16"/>
          <w:color w:val="auto"/>
        </w:rPr>
        <w:t>11</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5.8.</w:t>
        <w:tab/>
        <w:t>Licenses and Permits</w:t>
      </w:r>
      <w:r>
        <w:rPr>
          <w:sz w:val="20"/>
          <w:szCs w:val="20"/>
          <w:color w:val="auto"/>
        </w:rPr>
        <w:tab/>
      </w:r>
      <w:r>
        <w:rPr>
          <w:rFonts w:ascii="Courier New" w:cs="Courier New" w:eastAsia="Courier New" w:hAnsi="Courier New"/>
          <w:sz w:val="16"/>
          <w:szCs w:val="16"/>
          <w:color w:val="auto"/>
        </w:rPr>
        <w:t>12</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5.9.</w:t>
        <w:tab/>
        <w:t>Litigation</w:t>
      </w:r>
      <w:r>
        <w:rPr>
          <w:sz w:val="20"/>
          <w:szCs w:val="20"/>
          <w:color w:val="auto"/>
        </w:rPr>
        <w:tab/>
      </w:r>
      <w:r>
        <w:rPr>
          <w:rFonts w:ascii="Courier New" w:cs="Courier New" w:eastAsia="Courier New" w:hAnsi="Courier New"/>
          <w:sz w:val="16"/>
          <w:szCs w:val="16"/>
          <w:color w:val="auto"/>
        </w:rPr>
        <w:t>13</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5.10.</w:t>
        <w:tab/>
        <w:t>Properties</w:t>
      </w:r>
      <w:r>
        <w:rPr>
          <w:sz w:val="20"/>
          <w:szCs w:val="20"/>
          <w:color w:val="auto"/>
        </w:rPr>
        <w:tab/>
      </w:r>
      <w:r>
        <w:rPr>
          <w:rFonts w:ascii="Courier New" w:cs="Courier New" w:eastAsia="Courier New" w:hAnsi="Courier New"/>
          <w:sz w:val="16"/>
          <w:szCs w:val="16"/>
          <w:color w:val="auto"/>
        </w:rPr>
        <w:t>13</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5.11.</w:t>
        <w:tab/>
        <w:t>Environmental Matters</w:t>
      </w:r>
      <w:r>
        <w:rPr>
          <w:sz w:val="20"/>
          <w:szCs w:val="20"/>
          <w:color w:val="auto"/>
        </w:rPr>
        <w:tab/>
      </w:r>
      <w:r>
        <w:rPr>
          <w:rFonts w:ascii="Courier New" w:cs="Courier New" w:eastAsia="Courier New" w:hAnsi="Courier New"/>
          <w:sz w:val="16"/>
          <w:szCs w:val="16"/>
          <w:color w:val="auto"/>
        </w:rPr>
        <w:t>13</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5.12.</w:t>
        <w:tab/>
        <w:t>Purchase for Investment</w:t>
      </w:r>
      <w:r>
        <w:rPr>
          <w:sz w:val="20"/>
          <w:szCs w:val="20"/>
          <w:color w:val="auto"/>
        </w:rPr>
        <w:tab/>
      </w:r>
      <w:r>
        <w:rPr>
          <w:rFonts w:ascii="Courier New" w:cs="Courier New" w:eastAsia="Courier New" w:hAnsi="Courier New"/>
          <w:sz w:val="16"/>
          <w:szCs w:val="16"/>
          <w:color w:val="auto"/>
        </w:rPr>
        <w:t>14</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5.13.</w:t>
        <w:tab/>
        <w:t>Accredited Investor</w:t>
      </w:r>
      <w:r>
        <w:rPr>
          <w:sz w:val="20"/>
          <w:szCs w:val="20"/>
          <w:color w:val="auto"/>
        </w:rPr>
        <w:tab/>
      </w:r>
      <w:r>
        <w:rPr>
          <w:rFonts w:ascii="Courier New" w:cs="Courier New" w:eastAsia="Courier New" w:hAnsi="Courier New"/>
          <w:sz w:val="16"/>
          <w:szCs w:val="16"/>
          <w:color w:val="auto"/>
        </w:rPr>
        <w:t>14</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5.14.</w:t>
        <w:tab/>
        <w:t>Exempt from Registration; Restricted Securities</w:t>
      </w:r>
      <w:r>
        <w:rPr>
          <w:sz w:val="20"/>
          <w:szCs w:val="20"/>
          <w:color w:val="auto"/>
        </w:rPr>
        <w:tab/>
      </w:r>
      <w:r>
        <w:rPr>
          <w:rFonts w:ascii="Courier New" w:cs="Courier New" w:eastAsia="Courier New" w:hAnsi="Courier New"/>
          <w:sz w:val="16"/>
          <w:szCs w:val="16"/>
          <w:color w:val="auto"/>
        </w:rPr>
        <w:t>14</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5.15.</w:t>
        <w:tab/>
        <w:t>Legends</w:t>
      </w:r>
      <w:r>
        <w:rPr>
          <w:sz w:val="20"/>
          <w:szCs w:val="20"/>
          <w:color w:val="auto"/>
        </w:rPr>
        <w:tab/>
      </w:r>
      <w:r>
        <w:rPr>
          <w:rFonts w:ascii="Courier New" w:cs="Courier New" w:eastAsia="Courier New" w:hAnsi="Courier New"/>
          <w:sz w:val="16"/>
          <w:szCs w:val="16"/>
          <w:color w:val="auto"/>
        </w:rPr>
        <w:t>14</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5.16.</w:t>
        <w:tab/>
        <w:t>Employees</w:t>
      </w:r>
      <w:r>
        <w:rPr>
          <w:sz w:val="20"/>
          <w:szCs w:val="20"/>
          <w:color w:val="auto"/>
        </w:rPr>
        <w:tab/>
      </w:r>
      <w:r>
        <w:rPr>
          <w:rFonts w:ascii="Courier New" w:cs="Courier New" w:eastAsia="Courier New" w:hAnsi="Courier New"/>
          <w:sz w:val="16"/>
          <w:szCs w:val="16"/>
          <w:color w:val="auto"/>
        </w:rPr>
        <w:t>15</w:t>
      </w:r>
    </w:p>
    <w:p>
      <w:pPr>
        <w:spacing w:after="0" w:line="202"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8"/>
          <w:szCs w:val="18"/>
          <w:color w:val="auto"/>
        </w:rPr>
        <w:t>ARTICLE VI REPRESENTATIONS AND WARRANTIES OF PIXTECH</w:t>
      </w:r>
      <w:r>
        <w:rPr>
          <w:sz w:val="20"/>
          <w:szCs w:val="20"/>
          <w:color w:val="auto"/>
        </w:rPr>
        <w:tab/>
      </w:r>
      <w:r>
        <w:rPr>
          <w:rFonts w:ascii="Courier New" w:cs="Courier New" w:eastAsia="Courier New" w:hAnsi="Courier New"/>
          <w:sz w:val="16"/>
          <w:szCs w:val="16"/>
          <w:color w:val="auto"/>
        </w:rPr>
        <w:t>15</w:t>
      </w:r>
    </w:p>
    <w:p>
      <w:pPr>
        <w:spacing w:after="0" w:line="201" w:lineRule="exact"/>
        <w:rPr>
          <w:sz w:val="20"/>
          <w:szCs w:val="20"/>
          <w:color w:val="auto"/>
        </w:rPr>
      </w:pP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6.1.</w:t>
        <w:tab/>
        <w:t>Corporate Existence and Power</w:t>
      </w:r>
      <w:r>
        <w:rPr>
          <w:sz w:val="20"/>
          <w:szCs w:val="20"/>
          <w:color w:val="auto"/>
        </w:rPr>
        <w:tab/>
      </w:r>
      <w:r>
        <w:rPr>
          <w:rFonts w:ascii="Courier New" w:cs="Courier New" w:eastAsia="Courier New" w:hAnsi="Courier New"/>
          <w:sz w:val="16"/>
          <w:szCs w:val="16"/>
          <w:color w:val="auto"/>
        </w:rPr>
        <w:t>15</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6.2.</w:t>
        <w:tab/>
        <w:t>Corporate Authorization</w:t>
      </w:r>
      <w:r>
        <w:rPr>
          <w:sz w:val="20"/>
          <w:szCs w:val="20"/>
          <w:color w:val="auto"/>
        </w:rPr>
        <w:tab/>
      </w:r>
      <w:r>
        <w:rPr>
          <w:rFonts w:ascii="Courier New" w:cs="Courier New" w:eastAsia="Courier New" w:hAnsi="Courier New"/>
          <w:sz w:val="16"/>
          <w:szCs w:val="16"/>
          <w:color w:val="auto"/>
        </w:rPr>
        <w:t>15</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6.3.</w:t>
        <w:tab/>
        <w:t>Governmental Authorization</w:t>
      </w:r>
      <w:r>
        <w:rPr>
          <w:sz w:val="20"/>
          <w:szCs w:val="20"/>
          <w:color w:val="auto"/>
        </w:rPr>
        <w:tab/>
      </w:r>
      <w:r>
        <w:rPr>
          <w:rFonts w:ascii="Courier New" w:cs="Courier New" w:eastAsia="Courier New" w:hAnsi="Courier New"/>
          <w:sz w:val="16"/>
          <w:szCs w:val="16"/>
          <w:color w:val="auto"/>
        </w:rPr>
        <w:t>15</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6.4.</w:t>
        <w:tab/>
        <w:t>Noncontravention</w:t>
      </w:r>
      <w:r>
        <w:rPr>
          <w:sz w:val="20"/>
          <w:szCs w:val="20"/>
          <w:color w:val="auto"/>
        </w:rPr>
        <w:tab/>
      </w: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11" w:name="page12"/>
    <w:bookmarkEnd w:id="11"/>
    <w:p>
      <w:pPr>
        <w:ind w:left="3280"/>
        <w:spacing w:after="0"/>
        <w:rPr>
          <w:sz w:val="20"/>
          <w:szCs w:val="20"/>
          <w:color w:val="auto"/>
        </w:rPr>
      </w:pPr>
      <w:r>
        <w:rPr>
          <w:rFonts w:ascii="Courier New" w:cs="Courier New" w:eastAsia="Courier New" w:hAnsi="Courier New"/>
          <w:sz w:val="18"/>
          <w:szCs w:val="18"/>
          <w:color w:val="auto"/>
        </w:rPr>
        <w:t>TABLE OF CONTENTS</w:t>
      </w:r>
    </w:p>
    <w:p>
      <w:pPr>
        <w:ind w:left="358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Page</w:t>
      </w:r>
    </w:p>
    <w:p>
      <w:pPr>
        <w:jc w:val="right"/>
        <w:ind w:right="261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6.5.</w:t>
        <w:tab/>
        <w:t>Required Consents</w:t>
      </w:r>
      <w:r>
        <w:rPr>
          <w:sz w:val="20"/>
          <w:szCs w:val="20"/>
          <w:color w:val="auto"/>
        </w:rPr>
        <w:tab/>
      </w:r>
      <w:r>
        <w:rPr>
          <w:rFonts w:ascii="Courier New" w:cs="Courier New" w:eastAsia="Courier New" w:hAnsi="Courier New"/>
          <w:sz w:val="16"/>
          <w:szCs w:val="16"/>
          <w:color w:val="auto"/>
        </w:rPr>
        <w:t>16</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6.6.</w:t>
        <w:tab/>
        <w:t>SEC Filings</w:t>
      </w:r>
      <w:r>
        <w:rPr>
          <w:sz w:val="20"/>
          <w:szCs w:val="20"/>
          <w:color w:val="auto"/>
        </w:rPr>
        <w:tab/>
      </w:r>
      <w:r>
        <w:rPr>
          <w:rFonts w:ascii="Courier New" w:cs="Courier New" w:eastAsia="Courier New" w:hAnsi="Courier New"/>
          <w:sz w:val="16"/>
          <w:szCs w:val="16"/>
          <w:color w:val="auto"/>
        </w:rPr>
        <w:t>16</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6.7.</w:t>
        <w:tab/>
        <w:t>Capitalization</w:t>
      </w:r>
      <w:r>
        <w:rPr>
          <w:sz w:val="20"/>
          <w:szCs w:val="20"/>
          <w:color w:val="auto"/>
        </w:rPr>
        <w:tab/>
      </w:r>
      <w:r>
        <w:rPr>
          <w:rFonts w:ascii="Courier New" w:cs="Courier New" w:eastAsia="Courier New" w:hAnsi="Courier New"/>
          <w:sz w:val="16"/>
          <w:szCs w:val="16"/>
          <w:color w:val="auto"/>
        </w:rPr>
        <w:t>18</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6.8.</w:t>
        <w:tab/>
        <w:t>Valid Issuance of Securities</w:t>
      </w:r>
      <w:r>
        <w:rPr>
          <w:sz w:val="20"/>
          <w:szCs w:val="20"/>
          <w:color w:val="auto"/>
        </w:rPr>
        <w:tab/>
      </w:r>
      <w:r>
        <w:rPr>
          <w:rFonts w:ascii="Courier New" w:cs="Courier New" w:eastAsia="Courier New" w:hAnsi="Courier New"/>
          <w:sz w:val="16"/>
          <w:szCs w:val="16"/>
          <w:color w:val="auto"/>
        </w:rPr>
        <w:t>18</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6.9.</w:t>
        <w:tab/>
        <w:t>Compliance with Securities Laws</w:t>
      </w:r>
      <w:r>
        <w:rPr>
          <w:sz w:val="20"/>
          <w:szCs w:val="20"/>
          <w:color w:val="auto"/>
        </w:rPr>
        <w:tab/>
      </w:r>
      <w:r>
        <w:rPr>
          <w:rFonts w:ascii="Courier New" w:cs="Courier New" w:eastAsia="Courier New" w:hAnsi="Courier New"/>
          <w:sz w:val="16"/>
          <w:szCs w:val="16"/>
          <w:color w:val="auto"/>
        </w:rPr>
        <w:t>18</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6.10.</w:t>
        <w:tab/>
        <w:t>Litigation</w:t>
      </w:r>
      <w:r>
        <w:rPr>
          <w:sz w:val="20"/>
          <w:szCs w:val="20"/>
          <w:color w:val="auto"/>
        </w:rPr>
        <w:tab/>
      </w:r>
      <w:r>
        <w:rPr>
          <w:rFonts w:ascii="Courier New" w:cs="Courier New" w:eastAsia="Courier New" w:hAnsi="Courier New"/>
          <w:sz w:val="16"/>
          <w:szCs w:val="16"/>
          <w:color w:val="auto"/>
        </w:rPr>
        <w:t>18</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6.11.</w:t>
        <w:tab/>
        <w:t>Finders' Fees</w:t>
      </w:r>
      <w:r>
        <w:rPr>
          <w:sz w:val="20"/>
          <w:szCs w:val="20"/>
          <w:color w:val="auto"/>
        </w:rPr>
        <w:tab/>
      </w:r>
      <w:r>
        <w:rPr>
          <w:rFonts w:ascii="Courier New" w:cs="Courier New" w:eastAsia="Courier New" w:hAnsi="Courier New"/>
          <w:sz w:val="16"/>
          <w:szCs w:val="16"/>
          <w:color w:val="auto"/>
        </w:rPr>
        <w:t>19</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6.12.</w:t>
        <w:tab/>
        <w:t>Full Disclosure</w:t>
      </w:r>
      <w:r>
        <w:rPr>
          <w:sz w:val="20"/>
          <w:szCs w:val="20"/>
          <w:color w:val="auto"/>
        </w:rPr>
        <w:tab/>
      </w:r>
      <w:r>
        <w:rPr>
          <w:rFonts w:ascii="Courier New" w:cs="Courier New" w:eastAsia="Courier New" w:hAnsi="Courier New"/>
          <w:sz w:val="16"/>
          <w:szCs w:val="16"/>
          <w:color w:val="auto"/>
        </w:rPr>
        <w:t>19</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6.13.</w:t>
        <w:tab/>
        <w:t>Investment Company Act</w:t>
      </w:r>
      <w:r>
        <w:rPr>
          <w:sz w:val="20"/>
          <w:szCs w:val="20"/>
          <w:color w:val="auto"/>
        </w:rPr>
        <w:tab/>
      </w:r>
      <w:r>
        <w:rPr>
          <w:rFonts w:ascii="Courier New" w:cs="Courier New" w:eastAsia="Courier New" w:hAnsi="Courier New"/>
          <w:sz w:val="16"/>
          <w:szCs w:val="16"/>
          <w:color w:val="auto"/>
        </w:rPr>
        <w:t>19</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6.14.</w:t>
        <w:tab/>
        <w:t>No Investment Advisor Affiliation</w:t>
      </w:r>
      <w:r>
        <w:rPr>
          <w:sz w:val="20"/>
          <w:szCs w:val="20"/>
          <w:color w:val="auto"/>
        </w:rPr>
        <w:tab/>
      </w:r>
      <w:r>
        <w:rPr>
          <w:rFonts w:ascii="Courier New" w:cs="Courier New" w:eastAsia="Courier New" w:hAnsi="Courier New"/>
          <w:sz w:val="16"/>
          <w:szCs w:val="16"/>
          <w:color w:val="auto"/>
        </w:rPr>
        <w:t>19</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6.15.</w:t>
        <w:tab/>
        <w:t>Possession of Intellectual Property</w:t>
      </w:r>
      <w:r>
        <w:rPr>
          <w:sz w:val="20"/>
          <w:szCs w:val="20"/>
          <w:color w:val="auto"/>
        </w:rPr>
        <w:tab/>
      </w:r>
      <w:r>
        <w:rPr>
          <w:rFonts w:ascii="Courier New" w:cs="Courier New" w:eastAsia="Courier New" w:hAnsi="Courier New"/>
          <w:sz w:val="16"/>
          <w:szCs w:val="16"/>
          <w:color w:val="auto"/>
        </w:rPr>
        <w:t>19</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6.16.</w:t>
        <w:tab/>
        <w:t>Possession of Licenses and Permits</w:t>
      </w:r>
      <w:r>
        <w:rPr>
          <w:sz w:val="20"/>
          <w:szCs w:val="20"/>
          <w:color w:val="auto"/>
        </w:rPr>
        <w:tab/>
      </w:r>
      <w:r>
        <w:rPr>
          <w:rFonts w:ascii="Courier New" w:cs="Courier New" w:eastAsia="Courier New" w:hAnsi="Courier New"/>
          <w:sz w:val="16"/>
          <w:szCs w:val="16"/>
          <w:color w:val="auto"/>
        </w:rPr>
        <w:t>19</w:t>
      </w: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6.17.</w:t>
        <w:tab/>
        <w:t>Taxes</w:t>
      </w:r>
      <w:r>
        <w:rPr>
          <w:sz w:val="20"/>
          <w:szCs w:val="20"/>
          <w:color w:val="auto"/>
        </w:rPr>
        <w:tab/>
      </w:r>
      <w:r>
        <w:rPr>
          <w:rFonts w:ascii="Courier New" w:cs="Courier New" w:eastAsia="Courier New" w:hAnsi="Courier New"/>
          <w:sz w:val="16"/>
          <w:szCs w:val="16"/>
          <w:color w:val="auto"/>
        </w:rPr>
        <w:t>20</w:t>
      </w:r>
    </w:p>
    <w:p>
      <w:pPr>
        <w:spacing w:after="0" w:line="201"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8"/>
          <w:szCs w:val="18"/>
          <w:color w:val="auto"/>
        </w:rPr>
        <w:t>ARTICLE VII COVENANTS OF MICRON WITH RESPECT TO ACQUIRED BUSINESS</w:t>
      </w:r>
      <w:r>
        <w:rPr>
          <w:sz w:val="20"/>
          <w:szCs w:val="20"/>
          <w:color w:val="auto"/>
        </w:rPr>
        <w:tab/>
      </w:r>
      <w:r>
        <w:rPr>
          <w:rFonts w:ascii="Courier New" w:cs="Courier New" w:eastAsia="Courier New" w:hAnsi="Courier New"/>
          <w:sz w:val="16"/>
          <w:szCs w:val="16"/>
          <w:color w:val="auto"/>
        </w:rPr>
        <w:t>20</w:t>
      </w:r>
    </w:p>
    <w:p>
      <w:pPr>
        <w:spacing w:after="0" w:line="201" w:lineRule="exact"/>
        <w:rPr>
          <w:sz w:val="20"/>
          <w:szCs w:val="20"/>
          <w:color w:val="auto"/>
        </w:rPr>
      </w:pP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7.1.</w:t>
        <w:tab/>
        <w:t>Conduct of the Acquired Business</w:t>
      </w:r>
      <w:r>
        <w:rPr>
          <w:sz w:val="20"/>
          <w:szCs w:val="20"/>
          <w:color w:val="auto"/>
        </w:rPr>
        <w:tab/>
      </w:r>
      <w:r>
        <w:rPr>
          <w:rFonts w:ascii="Courier New" w:cs="Courier New" w:eastAsia="Courier New" w:hAnsi="Courier New"/>
          <w:sz w:val="16"/>
          <w:szCs w:val="16"/>
          <w:color w:val="auto"/>
        </w:rPr>
        <w:t>20</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7.2.</w:t>
        <w:tab/>
        <w:t>Access to Information, Confidentiality</w:t>
      </w:r>
      <w:r>
        <w:rPr>
          <w:sz w:val="20"/>
          <w:szCs w:val="20"/>
          <w:color w:val="auto"/>
        </w:rPr>
        <w:tab/>
      </w:r>
      <w:r>
        <w:rPr>
          <w:rFonts w:ascii="Courier New" w:cs="Courier New" w:eastAsia="Courier New" w:hAnsi="Courier New"/>
          <w:sz w:val="16"/>
          <w:szCs w:val="16"/>
          <w:color w:val="auto"/>
        </w:rPr>
        <w:t>21</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7.3.</w:t>
        <w:tab/>
        <w:t>Notices of Certain Events</w:t>
      </w:r>
      <w:r>
        <w:rPr>
          <w:sz w:val="20"/>
          <w:szCs w:val="20"/>
          <w:color w:val="auto"/>
        </w:rPr>
        <w:tab/>
      </w:r>
      <w:r>
        <w:rPr>
          <w:rFonts w:ascii="Courier New" w:cs="Courier New" w:eastAsia="Courier New" w:hAnsi="Courier New"/>
          <w:sz w:val="16"/>
          <w:szCs w:val="16"/>
          <w:color w:val="auto"/>
        </w:rPr>
        <w:t>21</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7.4.</w:t>
        <w:tab/>
        <w:t>Covenant Not to Compete</w:t>
      </w:r>
      <w:r>
        <w:rPr>
          <w:sz w:val="20"/>
          <w:szCs w:val="20"/>
          <w:color w:val="auto"/>
        </w:rPr>
        <w:tab/>
      </w:r>
      <w:r>
        <w:rPr>
          <w:rFonts w:ascii="Courier New" w:cs="Courier New" w:eastAsia="Courier New" w:hAnsi="Courier New"/>
          <w:sz w:val="16"/>
          <w:szCs w:val="16"/>
          <w:color w:val="auto"/>
        </w:rPr>
        <w:t>22</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7.5.</w:t>
        <w:tab/>
        <w:t>Transferred Employees</w:t>
      </w:r>
      <w:r>
        <w:rPr>
          <w:sz w:val="20"/>
          <w:szCs w:val="20"/>
          <w:color w:val="auto"/>
        </w:rPr>
        <w:tab/>
      </w:r>
      <w:r>
        <w:rPr>
          <w:rFonts w:ascii="Courier New" w:cs="Courier New" w:eastAsia="Courier New" w:hAnsi="Courier New"/>
          <w:sz w:val="16"/>
          <w:szCs w:val="16"/>
          <w:color w:val="auto"/>
        </w:rPr>
        <w:t>22</w:t>
      </w:r>
    </w:p>
    <w:p>
      <w:pPr>
        <w:spacing w:after="0" w:line="202"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8"/>
          <w:szCs w:val="18"/>
          <w:color w:val="auto"/>
        </w:rPr>
        <w:t>ARTICLE VIII COVENANTS OF PIXTECH</w:t>
      </w:r>
      <w:r>
        <w:rPr>
          <w:sz w:val="20"/>
          <w:szCs w:val="20"/>
          <w:color w:val="auto"/>
        </w:rPr>
        <w:tab/>
      </w:r>
      <w:r>
        <w:rPr>
          <w:rFonts w:ascii="Courier New" w:cs="Courier New" w:eastAsia="Courier New" w:hAnsi="Courier New"/>
          <w:sz w:val="16"/>
          <w:szCs w:val="16"/>
          <w:color w:val="auto"/>
        </w:rPr>
        <w:t>22</w:t>
      </w:r>
    </w:p>
    <w:p>
      <w:pPr>
        <w:spacing w:after="0" w:line="201" w:lineRule="exact"/>
        <w:rPr>
          <w:sz w:val="20"/>
          <w:szCs w:val="20"/>
          <w:color w:val="auto"/>
        </w:rPr>
      </w:pP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8.1.</w:t>
        <w:tab/>
        <w:t>Stockholder Approval</w:t>
      </w:r>
      <w:r>
        <w:rPr>
          <w:sz w:val="20"/>
          <w:szCs w:val="20"/>
          <w:color w:val="auto"/>
        </w:rPr>
        <w:tab/>
      </w:r>
      <w:r>
        <w:rPr>
          <w:rFonts w:ascii="Courier New" w:cs="Courier New" w:eastAsia="Courier New" w:hAnsi="Courier New"/>
          <w:sz w:val="16"/>
          <w:szCs w:val="16"/>
          <w:color w:val="auto"/>
        </w:rPr>
        <w:t>22</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8.2.</w:t>
        <w:tab/>
        <w:t>Access to Information; Confidentiality</w:t>
      </w:r>
      <w:r>
        <w:rPr>
          <w:sz w:val="20"/>
          <w:szCs w:val="20"/>
          <w:color w:val="auto"/>
        </w:rPr>
        <w:tab/>
      </w:r>
      <w:r>
        <w:rPr>
          <w:rFonts w:ascii="Courier New" w:cs="Courier New" w:eastAsia="Courier New" w:hAnsi="Courier New"/>
          <w:sz w:val="16"/>
          <w:szCs w:val="16"/>
          <w:color w:val="auto"/>
        </w:rPr>
        <w:t>23</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8.3.</w:t>
        <w:tab/>
        <w:t>Notices of Certain Events</w:t>
      </w:r>
      <w:r>
        <w:rPr>
          <w:sz w:val="20"/>
          <w:szCs w:val="20"/>
          <w:color w:val="auto"/>
        </w:rPr>
        <w:tab/>
      </w:r>
      <w:r>
        <w:rPr>
          <w:rFonts w:ascii="Courier New" w:cs="Courier New" w:eastAsia="Courier New" w:hAnsi="Courier New"/>
          <w:sz w:val="16"/>
          <w:szCs w:val="16"/>
          <w:color w:val="auto"/>
        </w:rPr>
        <w:t>23</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8.4.</w:t>
        <w:tab/>
        <w:t>Cooperation</w:t>
      </w:r>
      <w:r>
        <w:rPr>
          <w:sz w:val="20"/>
          <w:szCs w:val="20"/>
          <w:color w:val="auto"/>
        </w:rPr>
        <w:tab/>
      </w:r>
      <w:r>
        <w:rPr>
          <w:rFonts w:ascii="Courier New" w:cs="Courier New" w:eastAsia="Courier New" w:hAnsi="Courier New"/>
          <w:sz w:val="16"/>
          <w:szCs w:val="16"/>
          <w:color w:val="auto"/>
        </w:rPr>
        <w:t>23</w:t>
      </w:r>
    </w:p>
    <w:p>
      <w:pPr>
        <w:spacing w:after="0" w:line="202"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8"/>
          <w:szCs w:val="18"/>
          <w:color w:val="auto"/>
        </w:rPr>
        <w:t>ARTICLE IX COVENANTS OF MICRON AND PIXTECH</w:t>
      </w:r>
      <w:r>
        <w:rPr>
          <w:sz w:val="20"/>
          <w:szCs w:val="20"/>
          <w:color w:val="auto"/>
        </w:rPr>
        <w:tab/>
      </w:r>
      <w:r>
        <w:rPr>
          <w:rFonts w:ascii="Courier New" w:cs="Courier New" w:eastAsia="Courier New" w:hAnsi="Courier New"/>
          <w:sz w:val="16"/>
          <w:szCs w:val="16"/>
          <w:color w:val="auto"/>
        </w:rPr>
        <w:t>23</w:t>
      </w:r>
    </w:p>
    <w:p>
      <w:pPr>
        <w:spacing w:after="0" w:line="201" w:lineRule="exact"/>
        <w:rPr>
          <w:sz w:val="20"/>
          <w:szCs w:val="20"/>
          <w:color w:val="auto"/>
        </w:rPr>
      </w:pPr>
    </w:p>
    <w:p>
      <w:pPr>
        <w:ind w:left="220"/>
        <w:spacing w:after="0"/>
        <w:tabs>
          <w:tab w:leader="none" w:pos="1680" w:val="left"/>
        </w:tabs>
        <w:rPr>
          <w:sz w:val="20"/>
          <w:szCs w:val="20"/>
          <w:color w:val="auto"/>
        </w:rPr>
      </w:pPr>
      <w:r>
        <w:rPr>
          <w:rFonts w:ascii="Courier New" w:cs="Courier New" w:eastAsia="Courier New" w:hAnsi="Courier New"/>
          <w:sz w:val="18"/>
          <w:szCs w:val="18"/>
          <w:color w:val="auto"/>
        </w:rPr>
        <w:t>SECTION 9.1.</w:t>
      </w:r>
      <w:r>
        <w:rPr>
          <w:sz w:val="20"/>
          <w:szCs w:val="20"/>
          <w:color w:val="auto"/>
        </w:rPr>
        <w:tab/>
      </w:r>
      <w:r>
        <w:rPr>
          <w:rFonts w:ascii="Courier New" w:cs="Courier New" w:eastAsia="Courier New" w:hAnsi="Courier New"/>
          <w:sz w:val="16"/>
          <w:szCs w:val="16"/>
          <w:color w:val="auto"/>
        </w:rPr>
        <w:t>Commercially Reasonable Efforts;</w:t>
      </w:r>
    </w:p>
    <w:p>
      <w:pPr>
        <w:ind w:left="1800"/>
        <w:spacing w:after="0"/>
        <w:tabs>
          <w:tab w:leader="dot" w:pos="7260" w:val="left"/>
        </w:tabs>
        <w:rPr>
          <w:sz w:val="20"/>
          <w:szCs w:val="20"/>
          <w:color w:val="auto"/>
        </w:rPr>
      </w:pPr>
      <w:r>
        <w:rPr>
          <w:rFonts w:ascii="Courier New" w:cs="Courier New" w:eastAsia="Courier New" w:hAnsi="Courier New"/>
          <w:sz w:val="18"/>
          <w:szCs w:val="18"/>
          <w:color w:val="auto"/>
        </w:rPr>
        <w:t>Further Assurances</w:t>
      </w:r>
      <w:r>
        <w:rPr>
          <w:sz w:val="20"/>
          <w:szCs w:val="20"/>
          <w:color w:val="auto"/>
        </w:rPr>
        <w:tab/>
      </w:r>
      <w:r>
        <w:rPr>
          <w:rFonts w:ascii="Courier New" w:cs="Courier New" w:eastAsia="Courier New" w:hAnsi="Courier New"/>
          <w:sz w:val="16"/>
          <w:szCs w:val="16"/>
          <w:color w:val="auto"/>
        </w:rPr>
        <w:t>24</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9.2.</w:t>
        <w:tab/>
        <w:t>Certain Filings</w:t>
      </w:r>
      <w:r>
        <w:rPr>
          <w:sz w:val="20"/>
          <w:szCs w:val="20"/>
          <w:color w:val="auto"/>
        </w:rPr>
        <w:tab/>
      </w:r>
      <w:r>
        <w:rPr>
          <w:rFonts w:ascii="Courier New" w:cs="Courier New" w:eastAsia="Courier New" w:hAnsi="Courier New"/>
          <w:sz w:val="16"/>
          <w:szCs w:val="16"/>
          <w:color w:val="auto"/>
        </w:rPr>
        <w:t>24</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9.3.</w:t>
        <w:tab/>
        <w:t>Public Announcements</w:t>
      </w:r>
      <w:r>
        <w:rPr>
          <w:sz w:val="20"/>
          <w:szCs w:val="20"/>
          <w:color w:val="auto"/>
        </w:rPr>
        <w:tab/>
      </w:r>
      <w:r>
        <w:rPr>
          <w:rFonts w:ascii="Courier New" w:cs="Courier New" w:eastAsia="Courier New" w:hAnsi="Courier New"/>
          <w:sz w:val="16"/>
          <w:szCs w:val="16"/>
          <w:color w:val="auto"/>
        </w:rPr>
        <w:t>24</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9.4.</w:t>
        <w:tab/>
        <w:t>Required Consents</w:t>
      </w:r>
      <w:r>
        <w:rPr>
          <w:sz w:val="20"/>
          <w:szCs w:val="20"/>
          <w:color w:val="auto"/>
        </w:rPr>
        <w:tab/>
      </w:r>
      <w:r>
        <w:rPr>
          <w:rFonts w:ascii="Courier New" w:cs="Courier New" w:eastAsia="Courier New" w:hAnsi="Courier New"/>
          <w:sz w:val="16"/>
          <w:szCs w:val="16"/>
          <w:color w:val="auto"/>
        </w:rPr>
        <w:t>24</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9.5.</w:t>
        <w:tab/>
        <w:t>Display Division Personnel</w:t>
      </w:r>
      <w:r>
        <w:rPr>
          <w:sz w:val="20"/>
          <w:szCs w:val="20"/>
          <w:color w:val="auto"/>
        </w:rPr>
        <w:tab/>
      </w:r>
      <w:r>
        <w:rPr>
          <w:rFonts w:ascii="Courier New" w:cs="Courier New" w:eastAsia="Courier New" w:hAnsi="Courier New"/>
          <w:sz w:val="16"/>
          <w:szCs w:val="16"/>
          <w:color w:val="auto"/>
        </w:rPr>
        <w:t>25</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9.6.</w:t>
        <w:tab/>
        <w:t>Display Division Financing Arrangements</w:t>
      </w:r>
      <w:r>
        <w:rPr>
          <w:sz w:val="20"/>
          <w:szCs w:val="20"/>
          <w:color w:val="auto"/>
        </w:rPr>
        <w:tab/>
      </w:r>
      <w:r>
        <w:rPr>
          <w:rFonts w:ascii="Courier New" w:cs="Courier New" w:eastAsia="Courier New" w:hAnsi="Courier New"/>
          <w:sz w:val="16"/>
          <w:szCs w:val="16"/>
          <w:color w:val="auto"/>
        </w:rPr>
        <w:t>26</w:t>
      </w:r>
    </w:p>
    <w:p>
      <w:pPr>
        <w:ind w:left="220"/>
        <w:spacing w:after="0"/>
        <w:tabs>
          <w:tab w:leader="none" w:pos="1680" w:val="left"/>
          <w:tab w:leader="dot" w:pos="7260" w:val="left"/>
        </w:tabs>
        <w:rPr>
          <w:sz w:val="20"/>
          <w:szCs w:val="20"/>
          <w:color w:val="auto"/>
        </w:rPr>
      </w:pPr>
      <w:r>
        <w:rPr>
          <w:rFonts w:ascii="Courier New" w:cs="Courier New" w:eastAsia="Courier New" w:hAnsi="Courier New"/>
          <w:sz w:val="18"/>
          <w:szCs w:val="18"/>
          <w:color w:val="auto"/>
        </w:rPr>
        <w:t>SECTION 9.7.</w:t>
        <w:tab/>
        <w:t>Tax matters</w:t>
      </w:r>
      <w:r>
        <w:rPr>
          <w:sz w:val="20"/>
          <w:szCs w:val="20"/>
          <w:color w:val="auto"/>
        </w:rPr>
        <w:tab/>
      </w: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8"/>
          <w:szCs w:val="18"/>
          <w:color w:val="auto"/>
        </w:rPr>
        <w:t>ARTICLE X LICENSED INTELLECTUAL PROPERTY</w:t>
      </w:r>
      <w:r>
        <w:rPr>
          <w:sz w:val="20"/>
          <w:szCs w:val="20"/>
          <w:color w:val="auto"/>
        </w:rPr>
        <w:tab/>
      </w:r>
      <w:r>
        <w:rPr>
          <w:rFonts w:ascii="Courier New" w:cs="Courier New" w:eastAsia="Courier New" w:hAnsi="Courier New"/>
          <w:sz w:val="16"/>
          <w:szCs w:val="16"/>
          <w:color w:val="auto"/>
        </w:rPr>
        <w:t>28</w:t>
      </w:r>
    </w:p>
    <w:p>
      <w:pPr>
        <w:spacing w:after="0" w:line="201" w:lineRule="exact"/>
        <w:rPr>
          <w:sz w:val="20"/>
          <w:szCs w:val="20"/>
          <w:color w:val="auto"/>
        </w:rPr>
      </w:pPr>
    </w:p>
    <w:p>
      <w:pPr>
        <w:ind w:left="220"/>
        <w:spacing w:after="0"/>
        <w:tabs>
          <w:tab w:leader="none" w:pos="1780" w:val="left"/>
          <w:tab w:leader="dot" w:pos="7260" w:val="left"/>
        </w:tabs>
        <w:rPr>
          <w:sz w:val="20"/>
          <w:szCs w:val="20"/>
          <w:color w:val="auto"/>
        </w:rPr>
      </w:pPr>
      <w:r>
        <w:rPr>
          <w:rFonts w:ascii="Courier New" w:cs="Courier New" w:eastAsia="Courier New" w:hAnsi="Courier New"/>
          <w:sz w:val="18"/>
          <w:szCs w:val="18"/>
          <w:color w:val="auto"/>
        </w:rPr>
        <w:t>SECTION 10.1.</w:t>
        <w:tab/>
        <w:t>Licensed Intellectual Property</w:t>
      </w:r>
      <w:r>
        <w:rPr>
          <w:sz w:val="20"/>
          <w:szCs w:val="20"/>
          <w:color w:val="auto"/>
        </w:rPr>
        <w:tab/>
      </w: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TABLE OF CONTENTS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17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w w:val="97"/>
              </w:rPr>
              <w:t>ARTICLE XI CONDITIONS TO CLOSING....................................</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29</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SECTION 11.1.</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w w:val="97"/>
              </w:rPr>
              <w:t>Conditions to Obligations of Micron and PixTech....</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29</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11.2.</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Conditions to Obligations of Micron................</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11.3.</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Conditions to Obligations of PixTech...............</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w w:val="97"/>
              </w:rPr>
              <w:t>ARTICLE XII SURVIVAL; INDEMNIFICATION...............................</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31</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SECTION 12.1.</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w w:val="97"/>
              </w:rPr>
              <w:t>Survival...........................................</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31</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12.2.</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Indemnification....................................</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12.3.</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Procedures.........................................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12.4.</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Calculation of Damages.............................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12.5.</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Assignment of Claims...............................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12.6.</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Exclusivity........................................</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w w:val="97"/>
              </w:rPr>
              <w:t>ARTICLE XIII TERMINATION............................................</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33</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SECTION 13.1.</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w w:val="97"/>
              </w:rPr>
              <w:t>Grounds for Termination............................</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33</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13.2.</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Effect of Termination..............................</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34</w:t>
            </w:r>
          </w:p>
        </w:tc>
      </w:tr>
      <w:tr>
        <w:trPr>
          <w:trHeight w:val="405"/>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w w:val="97"/>
              </w:rPr>
              <w:t>ARTICLE XIV MISCELLANEOUS...........................................</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34</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SECTION 14.1.</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w w:val="97"/>
              </w:rPr>
              <w:t>Notices............................................</w:t>
            </w:r>
          </w:p>
        </w:tc>
        <w:tc>
          <w:tcPr>
            <w:tcW w:w="420" w:type="dxa"/>
            <w:vAlign w:val="bottom"/>
          </w:tcPr>
          <w:p>
            <w:pPr>
              <w:jc w:val="center"/>
              <w:spacing w:after="0"/>
              <w:rPr>
                <w:sz w:val="20"/>
                <w:szCs w:val="20"/>
                <w:color w:val="auto"/>
              </w:rPr>
            </w:pPr>
            <w:r>
              <w:rPr>
                <w:rFonts w:ascii="Courier New" w:cs="Courier New" w:eastAsia="Courier New" w:hAnsi="Courier New"/>
                <w:sz w:val="18"/>
                <w:szCs w:val="18"/>
                <w:color w:val="auto"/>
                <w:w w:val="92"/>
              </w:rPr>
              <w:t>35</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14.2.</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Amendments and Waivers.............................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14.3.</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Expenses...........................................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14.4.</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Successors and Assigns.............................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14.5.</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Governing Law......................................</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14.6.</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Counterparts; Third Party Beneficiaries............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14.7.</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Entire Agreement...................................</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14.8.</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Captions...........................................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SECTION 14.9.</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Disclosure Schedules...............................</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608"/>
        </w:trPr>
        <w:tc>
          <w:tcPr>
            <w:tcW w:w="7180" w:type="dxa"/>
            <w:vAlign w:val="bottom"/>
            <w:gridSpan w:val="2"/>
          </w:tcPr>
          <w:p>
            <w:pPr>
              <w:spacing w:after="0"/>
              <w:rPr>
                <w:sz w:val="20"/>
                <w:szCs w:val="20"/>
                <w:color w:val="auto"/>
              </w:rPr>
            </w:pPr>
            <w:r>
              <w:rPr>
                <w:rFonts w:ascii="Courier New" w:cs="Courier New" w:eastAsia="Courier New" w:hAnsi="Courier New"/>
                <w:sz w:val="18"/>
                <w:szCs w:val="18"/>
                <w:color w:val="auto"/>
              </w:rPr>
              <w:t>Schedules and Exhibits</w:t>
            </w:r>
          </w:p>
        </w:tc>
        <w:tc>
          <w:tcPr>
            <w:tcW w:w="420" w:type="dxa"/>
            <w:vAlign w:val="bottom"/>
          </w:tcPr>
          <w:p>
            <w:pPr>
              <w:spacing w:after="0"/>
              <w:rPr>
                <w:sz w:val="24"/>
                <w:szCs w:val="24"/>
                <w:color w:val="auto"/>
              </w:rPr>
            </w:pPr>
          </w:p>
        </w:tc>
      </w:tr>
      <w:tr>
        <w:trPr>
          <w:trHeight w:val="203"/>
        </w:trPr>
        <w:tc>
          <w:tcPr>
            <w:tcW w:w="7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Schedule 1.1-A</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rPr>
              <w:t>Acquired Assets</w:t>
            </w:r>
          </w:p>
        </w:tc>
        <w:tc>
          <w:tcPr>
            <w:tcW w:w="42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1.1-B</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Assumed Contracts</w:t>
            </w:r>
          </w:p>
        </w:tc>
        <w:tc>
          <w:tcPr>
            <w:tcW w:w="4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1.1-C</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Excluded Liabilities</w:t>
            </w:r>
          </w:p>
        </w:tc>
        <w:tc>
          <w:tcPr>
            <w:tcW w:w="4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9.6</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Secured Assets</w:t>
            </w:r>
          </w:p>
        </w:tc>
        <w:tc>
          <w:tcPr>
            <w:tcW w:w="420" w:type="dxa"/>
            <w:vAlign w:val="bottom"/>
          </w:tcPr>
          <w:p>
            <w:pPr>
              <w:spacing w:after="0"/>
              <w:rPr>
                <w:sz w:val="17"/>
                <w:szCs w:val="17"/>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5480" w:type="dxa"/>
            <w:vAlign w:val="bottom"/>
          </w:tcPr>
          <w:p>
            <w:pPr>
              <w:ind w:left="100"/>
              <w:spacing w:after="0"/>
              <w:rPr>
                <w:sz w:val="20"/>
                <w:szCs w:val="20"/>
                <w:color w:val="auto"/>
              </w:rPr>
            </w:pPr>
            <w:r>
              <w:rPr>
                <w:rFonts w:ascii="Courier New" w:cs="Courier New" w:eastAsia="Courier New" w:hAnsi="Courier New"/>
                <w:sz w:val="18"/>
                <w:szCs w:val="18"/>
                <w:color w:val="auto"/>
              </w:rPr>
              <w:t>Intellectual Property License</w:t>
            </w:r>
          </w:p>
        </w:tc>
        <w:tc>
          <w:tcPr>
            <w:tcW w:w="42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Investor Rights Agreement</w:t>
            </w:r>
          </w:p>
        </w:tc>
        <w:tc>
          <w:tcPr>
            <w:tcW w:w="4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Lease Agreement</w:t>
            </w:r>
          </w:p>
        </w:tc>
        <w:tc>
          <w:tcPr>
            <w:tcW w:w="4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PixTech Warrant Agreement</w:t>
            </w:r>
          </w:p>
        </w:tc>
        <w:tc>
          <w:tcPr>
            <w:tcW w:w="420" w:type="dxa"/>
            <w:vAlign w:val="bottom"/>
          </w:tcPr>
          <w:p>
            <w:pPr>
              <w:spacing w:after="0"/>
              <w:rPr>
                <w:sz w:val="17"/>
                <w:szCs w:val="17"/>
                <w:color w:val="auto"/>
              </w:rPr>
            </w:pPr>
          </w:p>
        </w:tc>
      </w:tr>
    </w:tbl>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17" w:right="1440" w:bottom="1440" w:gutter="0" w:footer="0" w:header="0"/>
        </w:sectPr>
      </w:pPr>
    </w:p>
    <w:bookmarkStart w:id="13" w:name="page14"/>
    <w:bookmarkEnd w:id="13"/>
    <w:p>
      <w:pPr>
        <w:ind w:left="3060"/>
        <w:spacing w:after="0"/>
        <w:rPr>
          <w:sz w:val="20"/>
          <w:szCs w:val="20"/>
          <w:color w:val="auto"/>
        </w:rPr>
      </w:pPr>
      <w:r>
        <w:rPr>
          <w:rFonts w:ascii="Courier New" w:cs="Courier New" w:eastAsia="Courier New" w:hAnsi="Courier New"/>
          <w:sz w:val="18"/>
          <w:szCs w:val="18"/>
          <w:color w:val="auto"/>
        </w:rPr>
        <w:t>ACQUISITION AGREEMENT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This ACQUISITION AGREEMENT, dated as of March 19, 1999, is between Micron Technology, Inc., a Delaware corporation ("Micron"), and PixTech, Inc., a Delaware corporation ("PixTech").</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 I T N E S S E T H :</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WHEREAS, Micron desires to sell to PixTech and PixTech desires to purchase from Micron substantially all of the assets of Micron's Display Division Business, upon the terms and conditions set forth herein;</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representations, warranties, covenants and agreements set forth herein, the parties hereto hereby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2" w:lineRule="exact"/>
        <w:rPr>
          <w:sz w:val="20"/>
          <w:szCs w:val="20"/>
          <w:color w:val="auto"/>
        </w:rPr>
      </w:pPr>
    </w:p>
    <w:p>
      <w:pPr>
        <w:ind w:left="640"/>
        <w:spacing w:after="0"/>
        <w:tabs>
          <w:tab w:leader="none" w:pos="1560" w:val="left"/>
          <w:tab w:leader="none" w:pos="2620" w:val="left"/>
        </w:tabs>
        <w:rPr>
          <w:sz w:val="20"/>
          <w:szCs w:val="20"/>
          <w:color w:val="auto"/>
        </w:rPr>
      </w:pPr>
      <w:r>
        <w:rPr>
          <w:rFonts w:ascii="Courier New" w:cs="Courier New" w:eastAsia="Courier New" w:hAnsi="Courier New"/>
          <w:sz w:val="18"/>
          <w:szCs w:val="18"/>
          <w:color w:val="auto"/>
        </w:rPr>
        <w:t>SECTION</w:t>
        <w:tab/>
        <w:t>1.1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terms, as used herein, have the following meanings:</w:t>
      </w:r>
    </w:p>
    <w:p>
      <w:pPr>
        <w:spacing w:after="0" w:line="22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"Acquired Assets" means all of Micron's right, title and interest in (i) the assets relating primarily or solely to the Display Division Business located at 3000 South Denver Way, Boise, Idaho 83705, Boise, Idaho and which are more particularly described on Schedule 1.1-A to this Agreement, and (ii) all of</w:t>
      </w:r>
    </w:p>
    <w:p>
      <w:pPr>
        <w:ind w:left="2740"/>
        <w:spacing w:after="0" w:line="234"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Micron's rights under the Assumed Contracts.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"Acquired Business" means the Acquired Assets and the Assumed Liabilities.</w:t>
      </w:r>
    </w:p>
    <w:p>
      <w:pPr>
        <w:spacing w:after="0" w:line="22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"Affiliate" means, with respect to any Person, any other Person directly or indirectly controlling, controlled by, or under common control with such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"Ancillary Agreements" means the Lease Agreement, the Patent Cross License Agreement, the Micron Noncompete Agreement, the PixTech Warrant, the Investor Rights Agreement, the Micron Guaranty, the PixTech Security Agreement and the Consulting Agreement, and each other document or agreement delivered by Micron or PixTech in connection with this Agreement.</w:t>
      </w:r>
    </w:p>
    <w:p>
      <w:pPr>
        <w:sectPr>
          <w:pgSz w:w="11900" w:h="16838" w:orient="portrait"/>
          <w:cols w:equalWidth="0" w:num="1">
            <w:col w:w="10219"/>
          </w:cols>
          <w:pgMar w:left="240" w:top="717" w:right="1440" w:bottom="1440" w:gutter="0" w:footer="0" w:header="0"/>
        </w:sectPr>
      </w:pPr>
    </w:p>
    <w:bookmarkStart w:id="14" w:name="page15"/>
    <w:bookmarkEnd w:id="14"/>
    <w:p>
      <w:pPr>
        <w:ind w:right="1879" w:firstLine="527"/>
        <w:spacing w:after="0" w:line="236" w:lineRule="auto"/>
        <w:rPr>
          <w:sz w:val="20"/>
          <w:szCs w:val="20"/>
          <w:color w:val="auto"/>
        </w:rPr>
      </w:pPr>
      <w:r>
        <w:rPr>
          <w:rFonts w:ascii="Courier New" w:cs="Courier New" w:eastAsia="Courier New" w:hAnsi="Courier New"/>
          <w:sz w:val="18"/>
          <w:szCs w:val="18"/>
          <w:color w:val="auto"/>
        </w:rPr>
        <w:t>"Assumed Contracts" means those contracts, agreements, leases, commitments and sales and purchase orders of Micron relating to the Display Division Business listed on Schedule 1.1-B to this Agreement.</w:t>
      </w: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"Assumed Liabilities" means those debts, obligations, contracts and liabilities of Micron of related to or arising out of the conduct of the Display Division Business listed on Schedule 1.1-C to this Agreement.</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"BancBoston" means BancBoston Leasing, Inc.</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"CERCLA" means the Comprehensive Environmental Response, Compensation and Liability Act of 1980, as amended on or prior to the date hereof, and any rules or regulations promulgated thereunder.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means the date of the Closing.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"Consulting Agreement" means the consulting agreement among Micron, PixTech and David A. Cathey, in form and substance reasonably satisfactory to Micron, PixTech and David A. Cathey, containing, among other terms, the terms contained in Schedule 9.5.</w:t>
      </w:r>
    </w:p>
    <w:p>
      <w:pPr>
        <w:ind w:left="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"DARPA" means the United States Defense Advance Research Projects Agency.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"DARPA Contract" means the agreements, as amended, between Micron and DARPA relating to the development of a field emission display for use in an M1A2 tank (Contract Nos. DABT 63-97-C-0001, DAB 63-94-C-0012, DAAB 07-97-C-J033 and DABT 63-93-C-0025).</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"Display Division Business" means Micron's worldwide operations relating to its Display Division, including the development, manufacture and sale of field emission displays.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"Display Division Financing Agreements" means (i) the Security Agreement dated February 21, 1997 by and between Micron Display Technology, Inc. and BancBoston, the Promissory Note #1, dated February 21, 1997 by Micron Display Technology, Inc. in favor of BancBoston, and the Assumption Agreement dated December 30, 1997 by and between BancBoston and Micron; and (ii) the Amended and Restated Promissory Note H-1D dated October 31, 1997 by Micron in favor of Heller, the Amended and Restated Master Security Agreement dated October 31, 1997 by and between Micron and Heller, and the Assumption Agreement dated October 31, 1997, by and between Micron and Heller.</w:t>
      </w:r>
    </w:p>
    <w:p>
      <w:pPr>
        <w:spacing w:after="0" w:line="214"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"Environmental Laws" means any and all statutes, laws, regulations and rules, in each case as in effect on the date hereof, that have as their principal purpose the protection of human health, safety and the environment.</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5" w:name="page16"/>
    <w:bookmarkEnd w:id="15"/>
    <w:p>
      <w:pPr>
        <w:ind w:right="1779" w:firstLine="527"/>
        <w:spacing w:after="0" w:line="268" w:lineRule="auto"/>
        <w:rPr>
          <w:sz w:val="20"/>
          <w:szCs w:val="20"/>
          <w:color w:val="auto"/>
        </w:rPr>
      </w:pPr>
      <w:r>
        <w:rPr>
          <w:rFonts w:ascii="Courier New" w:cs="Courier New" w:eastAsia="Courier New" w:hAnsi="Courier New"/>
          <w:sz w:val="16"/>
          <w:szCs w:val="16"/>
          <w:color w:val="auto"/>
        </w:rPr>
        <w:t>"Excluded Liabilities" means those debts, obligations, contracts and liabilities of Micron other than Assumed Liabilities listed on Schedule 1.1-C to</w:t>
      </w:r>
    </w:p>
    <w:p>
      <w:pPr>
        <w:ind w:left="664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this Agreement.</w:t>
      </w:r>
    </w:p>
    <w:p>
      <w:pPr>
        <w:spacing w:after="0" w:line="20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"Hazardous Substance" means (i) any chemicals, materials or substances defined as or included in the definition of "hazardous substances," "hazardous wastes," "hazardous materials," "extremely hazardous wastes," "restricted hazardous wastes, " " toxic substances," "toxic pollutants," "hazardous air pollutants," "contaminants," "toxic chemicals," "toxic," "hazardous chemicals," "extremely hazardous substances," "pesticides," "oil" or related materials as defined in any applicable Environmental Law or (ii) any petroleum or petroleum products, oil, natural or synthetic gas, radioactive materials, asbestos-containing materials, urea formaldehyde foam insulation, and radon.</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"Heller" means Heller Financial, Inc.</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"Intellectual Property" means all rights arising out of: (i) patents, pending patent applications and patent invention disclosures for which patent applications have not yet been filed ("Patents"); (ii) trade secrets and know how ("Trade Secrets"); (iii) trademarks, servicemarks and applications for registration of such ("Trademarks"); (iv) copyrights, copyright registrations and applications for registration ("Copyrights"); and (v) mask works, mask work registrations and applications for such registration ("Mask Works"). "Non-Patent Intellectual Property," as used in Section X shall consist of rights arising out of the subject matter of forgoing categories (ii) through (v).</w:t>
      </w:r>
    </w:p>
    <w:p>
      <w:pPr>
        <w:spacing w:after="0" w:line="184"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"Investor Rights Agreement" means the investor rights agreement substantially in the form attached hereto as Exhibit A.</w:t>
      </w:r>
    </w:p>
    <w:p>
      <w:pPr>
        <w:ind w:left="4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"Lease Agreement" means the lease agreement substantially in the form attached hereto as Exhibit B with respect to the real property and premises</w:t>
      </w:r>
    </w:p>
    <w:p>
      <w:pPr>
        <w:ind w:left="2000"/>
        <w:spacing w:after="0" w:line="233" w:lineRule="auto"/>
        <w:rPr>
          <w:sz w:val="20"/>
          <w:szCs w:val="20"/>
          <w:color w:val="auto"/>
        </w:rPr>
      </w:pPr>
      <w:r>
        <w:rPr>
          <w:rFonts w:ascii="Courier New" w:cs="Courier New" w:eastAsia="Courier New" w:hAnsi="Courier New"/>
          <w:sz w:val="18"/>
          <w:szCs w:val="18"/>
          <w:color w:val="auto"/>
        </w:rPr>
        <w:t>---------</w:t>
      </w:r>
    </w:p>
    <w:p>
      <w:pPr>
        <w:spacing w:after="0"/>
        <w:tabs>
          <w:tab w:leader="none" w:pos="5040" w:val="left"/>
        </w:tabs>
        <w:rPr>
          <w:sz w:val="20"/>
          <w:szCs w:val="20"/>
          <w:color w:val="auto"/>
        </w:rPr>
      </w:pPr>
      <w:r>
        <w:rPr>
          <w:rFonts w:ascii="Courier New" w:cs="Courier New" w:eastAsia="Courier New" w:hAnsi="Courier New"/>
          <w:sz w:val="18"/>
          <w:szCs w:val="18"/>
          <w:color w:val="auto"/>
        </w:rPr>
        <w:t>located at 3000 South Denver Way, Boise, Idaho</w:t>
      </w:r>
      <w:r>
        <w:rPr>
          <w:sz w:val="20"/>
          <w:szCs w:val="20"/>
          <w:color w:val="auto"/>
        </w:rPr>
        <w:tab/>
      </w:r>
      <w:r>
        <w:rPr>
          <w:rFonts w:ascii="Courier New" w:cs="Courier New" w:eastAsia="Courier New" w:hAnsi="Courier New"/>
          <w:sz w:val="16"/>
          <w:szCs w:val="16"/>
          <w:color w:val="auto"/>
        </w:rPr>
        <w:t>83705.</w:t>
      </w:r>
    </w:p>
    <w:p>
      <w:pPr>
        <w:spacing w:after="0" w:line="20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"Licensed Intellectual Property" means the Intellectual Property licensed to PixTech pursuant to Section X herein.</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"Lien" means, with respect to any property or asset, any mortgage, lien, pledge, charge, security interest or other encumbrance in respect of such property or asset.</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"Material Adverse Effect" means (i) as to Micron, a material adverse effect on the business, results of operations or financial condition of the Acquired Business, taken as whole, except any such effect resulting from or arising in connection with (x) this Agreement or the transactions contemplated hereby or</w:t>
      </w:r>
    </w:p>
    <w:p>
      <w:pPr>
        <w:spacing w:after="0" w:line="1" w:lineRule="exact"/>
        <w:rPr>
          <w:sz w:val="20"/>
          <w:szCs w:val="20"/>
          <w:color w:val="auto"/>
        </w:rPr>
      </w:pPr>
    </w:p>
    <w:p>
      <w:pPr>
        <w:ind w:right="219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economic, regulatory or political conditions, and (ii) as to PixTech, a material adverse effect on the business, results of operations or financial condition,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6" w:name="page17"/>
    <w:bookmarkEnd w:id="16"/>
    <w:p>
      <w:pPr>
        <w:ind w:right="2099"/>
        <w:spacing w:after="0" w:line="236" w:lineRule="auto"/>
        <w:rPr>
          <w:sz w:val="20"/>
          <w:szCs w:val="20"/>
          <w:color w:val="auto"/>
        </w:rPr>
      </w:pPr>
      <w:r>
        <w:rPr>
          <w:rFonts w:ascii="Courier New" w:cs="Courier New" w:eastAsia="Courier New" w:hAnsi="Courier New"/>
          <w:sz w:val="18"/>
          <w:szCs w:val="18"/>
          <w:color w:val="auto"/>
        </w:rPr>
        <w:t>PixTech, taken as whole, except any such effect resulting from or arising in connection with (x) this Agreement or the transactions contemplated hereby or (y) changes in economic, regulatory or political conditions.</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"Micron Guaranty" means the guaranty or other credit support that may be offered by Micron in favor of the lenders under the Display Division Financing Agreements on terms required by such lenders and acceptable to Micron.</w:t>
      </w:r>
    </w:p>
    <w:p>
      <w:pPr>
        <w:spacing w:after="0" w:line="17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"1934 Act" means the Securities Exchange Act of 1934, as amended, and the rules and regulations promulgated thereunder.</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"Patent Cross License Agreement" means the patent cross license agreement in the form attached hereto as Exhibit C.</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173" w:lineRule="exact"/>
        <w:rPr>
          <w:sz w:val="20"/>
          <w:szCs w:val="20"/>
          <w:color w:val="auto"/>
        </w:rPr>
      </w:pPr>
    </w:p>
    <w:p>
      <w:pPr>
        <w:ind w:left="540"/>
        <w:spacing w:after="0"/>
        <w:tabs>
          <w:tab w:leader="none" w:pos="4000" w:val="left"/>
        </w:tabs>
        <w:rPr>
          <w:sz w:val="20"/>
          <w:szCs w:val="20"/>
          <w:color w:val="auto"/>
        </w:rPr>
      </w:pPr>
      <w:r>
        <w:rPr>
          <w:rFonts w:ascii="Courier New" w:cs="Courier New" w:eastAsia="Courier New" w:hAnsi="Courier New"/>
          <w:sz w:val="18"/>
          <w:szCs w:val="18"/>
          <w:color w:val="auto"/>
        </w:rPr>
        <w:t>"PixTech Closing Market Price""</w:t>
      </w:r>
      <w:r>
        <w:rPr>
          <w:sz w:val="20"/>
          <w:szCs w:val="20"/>
          <w:color w:val="auto"/>
        </w:rPr>
        <w:tab/>
      </w:r>
      <w:r>
        <w:rPr>
          <w:rFonts w:ascii="Courier New" w:cs="Courier New" w:eastAsia="Courier New" w:hAnsi="Courier New"/>
          <w:sz w:val="16"/>
          <w:szCs w:val="16"/>
          <w:color w:val="auto"/>
        </w:rPr>
        <w:t>means $1.825.</w:t>
      </w:r>
    </w:p>
    <w:p>
      <w:pPr>
        <w:spacing w:after="0" w:line="207" w:lineRule="exact"/>
        <w:rPr>
          <w:sz w:val="20"/>
          <w:szCs w:val="20"/>
          <w:color w:val="auto"/>
        </w:rPr>
      </w:pPr>
    </w:p>
    <w:p>
      <w:pPr>
        <w:jc w:val="both"/>
        <w:ind w:right="2099" w:firstLine="527"/>
        <w:spacing w:after="0" w:line="235" w:lineRule="auto"/>
        <w:rPr>
          <w:sz w:val="20"/>
          <w:szCs w:val="20"/>
          <w:color w:val="auto"/>
        </w:rPr>
      </w:pPr>
      <w:r>
        <w:rPr>
          <w:rFonts w:ascii="Courier New" w:cs="Courier New" w:eastAsia="Courier New" w:hAnsi="Courier New"/>
          <w:sz w:val="18"/>
          <w:szCs w:val="18"/>
          <w:color w:val="auto"/>
        </w:rPr>
        <w:t>"PixTech Warrant Agreement" means the warrant agreement substantially in the form attached hereto as Exhibit D.</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"Required Consents" means the Micron Required Consents and the PixTech Required Consents.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 means the Securities and Exchange Commission or any successor agency.</w:t>
      </w:r>
    </w:p>
    <w:p>
      <w:pPr>
        <w:spacing w:after="0" w:line="22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"Securities Act" means the Securities Act of 1933, as amended, and the rules and regulations promulgated thereunder.</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"Shares" means the shares of PixTech Common Stock issued as part of the Display Division Purchase Consideration and the PixTech Common Stock Purchase Consideration.</w:t>
      </w:r>
    </w:p>
    <w:p>
      <w:pPr>
        <w:spacing w:after="0" w:line="209"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"Small Area Display Business" means Micron's field emission display business relating to flat panel screens of 0.55 inch or less diagonal size.</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"Subsidiary" means a corporation, company or other entity:</w:t>
      </w:r>
    </w:p>
    <w:p>
      <w:pPr>
        <w:spacing w:after="0" w:line="207" w:lineRule="exact"/>
        <w:rPr>
          <w:sz w:val="20"/>
          <w:szCs w:val="20"/>
          <w:color w:val="auto"/>
        </w:rPr>
      </w:pPr>
    </w:p>
    <w:p>
      <w:pPr>
        <w:ind w:left="540" w:right="1779" w:hanging="5"/>
        <w:spacing w:after="0" w:line="237" w:lineRule="auto"/>
        <w:tabs>
          <w:tab w:leader="none" w:pos="96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than fifty percent (50%) of whose outstanding shares or securities (representing the right to vote for the election of directors or other managing authority) are, now or hereafter, owned or controlled by a party hereto or such third party, but such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7" w:name="page18"/>
    <w:bookmarkEnd w:id="17"/>
    <w:p>
      <w:pPr>
        <w:ind w:left="540" w:right="2199"/>
        <w:spacing w:after="0" w:line="235" w:lineRule="auto"/>
        <w:rPr>
          <w:sz w:val="20"/>
          <w:szCs w:val="20"/>
          <w:color w:val="auto"/>
        </w:rPr>
      </w:pPr>
      <w:r>
        <w:rPr>
          <w:rFonts w:ascii="Courier New" w:cs="Courier New" w:eastAsia="Courier New" w:hAnsi="Courier New"/>
          <w:sz w:val="18"/>
          <w:szCs w:val="18"/>
          <w:color w:val="auto"/>
        </w:rPr>
        <w:t>corporation, company or other entity shall be deemed to be a Subsidiary only so long as such ownership or control exists; or</w:t>
      </w:r>
    </w:p>
    <w:p>
      <w:pPr>
        <w:spacing w:after="0" w:line="208" w:lineRule="exact"/>
        <w:rPr>
          <w:sz w:val="20"/>
          <w:szCs w:val="20"/>
          <w:color w:val="auto"/>
        </w:rPr>
      </w:pPr>
    </w:p>
    <w:p>
      <w:pPr>
        <w:ind w:left="540" w:right="1879" w:hanging="5"/>
        <w:spacing w:after="0" w:line="237" w:lineRule="auto"/>
        <w:tabs>
          <w:tab w:leader="none" w:pos="96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does not have outstanding shares or securities, as may be the case in a partnership, joint venture or unincorporated association, but more than fifty percent (50%) of whose ownership interest representing the right to make the decisions for such corporation, company or other entity is now or hereafter owned or controlled by a party hereto or such third party (regardless of whether such right to make decisions is exercised or delegated to another), but such corporation, company or other entity shall be deemed to be a Subsidiary only so long as such ownership or control exists.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"Tax" means any tax, impost, license, fee, charge, levy, rate, penalty or other assessment (including, without limitation, any sales, use, income, gross receipts, net income, bulk sale, franchise, excise, property, and valorem, motor vehicle, custom, duty, payroll, employment, environmental, net worth, capital, withholding, occupancy, value-added gains and transfer taxes, any similar tax and including all interest, penalties, or additions thereto) imposed or asserted by any governmental authority, whether or not disputed.</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"Tax Return" means any return, declaration, report, claim for refund, information statement relating to Taxes including any schedule attached thereto and any amendment thereto.</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"Transaction Agreements" means this Agreement and the Ancillary Agreements.</w:t>
      </w:r>
    </w:p>
    <w:p>
      <w:pPr>
        <w:spacing w:after="0" w:line="224" w:lineRule="exact"/>
        <w:rPr>
          <w:sz w:val="20"/>
          <w:szCs w:val="20"/>
          <w:color w:val="auto"/>
        </w:rPr>
      </w:pPr>
    </w:p>
    <w:p>
      <w:pPr>
        <w:ind w:left="1580" w:right="1999" w:hanging="519"/>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terms is defined in the Section set forth opposite such term: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Section</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Claim</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12.3</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Closing</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4.1</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Damages</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12.2</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Display Division Purchase Consideration</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2.4</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GAAP</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6.6(b)</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Indemnified Party</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12.3</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Indemnifying Party</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12.3</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Initial Period</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9.6</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Micron Disclosure Schedule</w:t>
            </w:r>
          </w:p>
        </w:tc>
        <w:tc>
          <w:tcPr>
            <w:tcW w:w="1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Article V</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Micron Required Consents</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5.5</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Nondisclosure Agreement</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7.2</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Balance Sheet Date</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6.6(b)</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Common Stock</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Disclosure Schedule</w:t>
            </w:r>
          </w:p>
        </w:tc>
        <w:tc>
          <w:tcPr>
            <w:tcW w:w="1720" w:type="dxa"/>
            <w:vAlign w:val="bottom"/>
          </w:tcPr>
          <w:p>
            <w:pPr>
              <w:ind w:left="680"/>
              <w:spacing w:after="0"/>
              <w:rPr>
                <w:sz w:val="20"/>
                <w:szCs w:val="20"/>
                <w:color w:val="auto"/>
              </w:rPr>
            </w:pPr>
            <w:r>
              <w:rPr>
                <w:rFonts w:ascii="Courier New" w:cs="Courier New" w:eastAsia="Courier New" w:hAnsi="Courier New"/>
                <w:sz w:val="18"/>
                <w:szCs w:val="18"/>
                <w:color w:val="auto"/>
                <w:w w:val="94"/>
              </w:rPr>
              <w:t>Article VI</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Required Consents</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6.5</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SEC Documents</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6.6(a)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Security Agreement</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9.6</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Stockholder Approval</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6.5</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Taxes</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9.7(b)</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10-K</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6.6(a)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10-Q</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6.6(a)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PixTech Warrant</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2.5(b)</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Permits</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5.8</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Permitted Liens</w:t>
            </w:r>
          </w:p>
        </w:tc>
        <w:tc>
          <w:tcPr>
            <w:tcW w:w="1720" w:type="dxa"/>
            <w:vAlign w:val="bottom"/>
          </w:tcPr>
          <w:p>
            <w:pPr>
              <w:ind w:left="680"/>
              <w:spacing w:after="0"/>
              <w:rPr>
                <w:sz w:val="20"/>
                <w:szCs w:val="20"/>
                <w:color w:val="auto"/>
              </w:rPr>
            </w:pPr>
            <w:r>
              <w:rPr>
                <w:rFonts w:ascii="Courier New" w:cs="Courier New" w:eastAsia="Courier New" w:hAnsi="Courier New"/>
                <w:sz w:val="18"/>
                <w:szCs w:val="18"/>
                <w:color w:val="auto"/>
              </w:rPr>
              <w:t>5.10</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Post-Closing Period</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9.7(b)</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Potential Contributor</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12.5</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Price Allocation</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9.7(a)</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Straddle Period</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9.7(b)</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Third Party Claim</w:t>
            </w:r>
          </w:p>
        </w:tc>
        <w:tc>
          <w:tcPr>
            <w:tcW w:w="172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12.3</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Transferred Employee</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9.5(a)</w:t>
            </w:r>
          </w:p>
        </w:tc>
      </w:tr>
      <w:tr>
        <w:trPr>
          <w:trHeight w:val="810"/>
        </w:trPr>
        <w:tc>
          <w:tcPr>
            <w:tcW w:w="4600" w:type="dxa"/>
            <w:vAlign w:val="bottom"/>
          </w:tcPr>
          <w:p>
            <w:pPr>
              <w:ind w:left="4020"/>
              <w:spacing w:after="0"/>
              <w:rPr>
                <w:sz w:val="20"/>
                <w:szCs w:val="20"/>
                <w:color w:val="auto"/>
              </w:rPr>
            </w:pPr>
            <w:r>
              <w:rPr>
                <w:rFonts w:ascii="Courier New" w:cs="Courier New" w:eastAsia="Courier New" w:hAnsi="Courier New"/>
                <w:sz w:val="18"/>
                <w:szCs w:val="18"/>
                <w:color w:val="auto"/>
              </w:rPr>
              <w:t>-6-</w:t>
            </w:r>
          </w:p>
        </w:tc>
        <w:tc>
          <w:tcPr>
            <w:tcW w:w="172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19" w:name="page20"/>
    <w:bookmarkEnd w:id="19"/>
    <w:p>
      <w:pPr>
        <w:ind w:left="3580"/>
        <w:spacing w:after="0"/>
        <w:rPr>
          <w:sz w:val="20"/>
          <w:szCs w:val="20"/>
          <w:color w:val="auto"/>
        </w:rPr>
      </w:pPr>
      <w:r>
        <w:rPr>
          <w:rFonts w:ascii="Courier New" w:cs="Courier New" w:eastAsia="Courier New" w:hAnsi="Courier New"/>
          <w:sz w:val="18"/>
          <w:szCs w:val="18"/>
          <w:color w:val="auto"/>
        </w:rPr>
        <w:t>ARTICLE II</w:t>
      </w:r>
    </w:p>
    <w:p>
      <w:pPr>
        <w:ind w:left="1800"/>
        <w:spacing w:after="0" w:line="238" w:lineRule="auto"/>
        <w:rPr>
          <w:sz w:val="20"/>
          <w:szCs w:val="20"/>
          <w:color w:val="auto"/>
        </w:rPr>
      </w:pPr>
      <w:r>
        <w:rPr>
          <w:rFonts w:ascii="Courier New" w:cs="Courier New" w:eastAsia="Courier New" w:hAnsi="Courier New"/>
          <w:sz w:val="18"/>
          <w:szCs w:val="18"/>
          <w:color w:val="auto"/>
        </w:rPr>
        <w:t>PURCHASE AND SALE OF DISPLAY DIVISION BUSINESS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2.1. Purchase and Sale. Upon the terms and subject to the conditions of this Agreement, at the Closing, PixTech agrees to purchase from Micron, and Micron agrees to sell, convey, transfer, assign and deliver to PixTech, the Acquired Assets, subject to all Permitted Liens.</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SECTION 2.2. Excluded Assets. PixTech expressly understands and agrees that the Acquired Assets shall not include any cash, real property or intellectual property (whether owned by Micron or licensed to Micron from third parties) relating to the Display Division Business, except (in the case of cash) to the extent expressly listed on Schedule 1.1-A to this Agreement and (in the</w:t>
      </w:r>
    </w:p>
    <w:p>
      <w:pPr>
        <w:ind w:left="358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case of licensed intellectual property) to the extent expressly provided pursuant to Section 9.4. Without limiting the foregoing, PixTech expressly understands and agrees that while the Display Division Business may presently benefit from agreements between Micron and third parties related to the licensing of intellectual properties (whether such licenses pertain specifically to the Display Division Business or to Micron's business and operations generally), Micron's rights under such licensing agreements constitute Excluded Assets.</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2.3. Assumed Liabilities. Upon the terms and subject to the conditions of this Agreement and the Ancillary Agreements and effective at the time of the Closing, PixTech shall unconditionally assume and agree to pay, satisfy and discharge when due in accordance with their terms, and PixTech shall fully and forever hold Micron and its Affiliates harmless against, any and all Assumed Liabilities.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2.4. Excluded Liabilities. All Excluded Liabilities shall remain the exclusive liabilities, obligations and commitments of Micron. However, to the extent necessary, in the reasonable opinion of Micron, PixTech shall use commercially reasonable efforts to cooperate with Micron in the defense of any claim or action with respect to any Excluded Liability; provided, that promptly after written request from PixTech, Micron shall reimburse PixTech for reasonable expenses (including attorneys fees) actually incurred by PixTech in cooperating with Micron on such defense.</w:t>
      </w:r>
    </w:p>
    <w:p>
      <w:pPr>
        <w:spacing w:after="0" w:line="212"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2.5. Display Division Purchase Consideration. The purchase consideration for the Acquired Assets (the "Display Division Purchase Consideration") shall consist of the following:</w:t>
      </w:r>
    </w:p>
    <w:p>
      <w:pPr>
        <w:spacing w:after="0" w:line="209" w:lineRule="exact"/>
        <w:rPr>
          <w:sz w:val="20"/>
          <w:szCs w:val="20"/>
          <w:color w:val="auto"/>
        </w:rPr>
      </w:pPr>
    </w:p>
    <w:p>
      <w:pPr>
        <w:ind w:right="2199" w:firstLine="640"/>
        <w:spacing w:after="0" w:line="237"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7,133,562 duly authorized, validly issued, fully paid and nonassessable shares of common stock, $0.01 par value of PixTech ("PixTech Common Stock") as such number shall be adjusted prior to the Closing Date to reflect any stock split, stock dividend, recapitalization or other similar events; and</w:t>
      </w:r>
    </w:p>
    <w:p>
      <w:pPr>
        <w:spacing w:after="0" w:line="208" w:lineRule="exact"/>
        <w:rPr>
          <w:rFonts w:ascii="Courier New" w:cs="Courier New" w:eastAsia="Courier New" w:hAnsi="Courier New"/>
          <w:sz w:val="18"/>
          <w:szCs w:val="18"/>
          <w:color w:val="auto"/>
        </w:rPr>
      </w:pPr>
    </w:p>
    <w:p>
      <w:pPr>
        <w:ind w:right="1999" w:firstLine="640"/>
        <w:spacing w:after="0" w:line="237"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warrant of PixTech (the "PixTech Warrant"), to purchase 310,000 shares of PixTech Common Stock at $2.25313 (which number shall be adjusted prior to the Closing Date to reflect any stock split, stock dividend, recapitalization or other similar events), exercisable at any time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20" w:name="page21"/>
    <w:bookmarkEnd w:id="20"/>
    <w:p>
      <w:pPr>
        <w:ind w:right="1879"/>
        <w:spacing w:after="0" w:line="235" w:lineRule="auto"/>
        <w:rPr>
          <w:sz w:val="20"/>
          <w:szCs w:val="20"/>
          <w:color w:val="auto"/>
        </w:rPr>
      </w:pPr>
      <w:r>
        <w:rPr>
          <w:rFonts w:ascii="Courier New" w:cs="Courier New" w:eastAsia="Courier New" w:hAnsi="Courier New"/>
          <w:sz w:val="18"/>
          <w:szCs w:val="18"/>
          <w:color w:val="auto"/>
        </w:rPr>
        <w:t>up to the second anniversary of the Closing Date, which warrants will be issued pursuant to the PixTech Warrant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Display Division Purchase Consideration shall be paid as provided in Section 4.1(a).</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2.6. Assignment of Contracts and Rights. This Agreement shall not constitute an agreement to assign any agreement or any right thereunder if an attempted assignment, without the consent of a third party, would constitute a breach or in any way adversely affect the rights of PixTech or Micron thereunder in any material respect. If such consent is not obtained, Micron and PixTech will cooperate in a mutually agreeable arrangement under which PixTech would obtain the benefits and assume the obligations thereunder in accordance with this Agreement. Without limiting the foregoing, Micron and PixTech agree that PixTech shall not be required to assume the DARPA Contract that is an Assumed Contract (Contract No. DABT 63-97-C-0001) unless (i) PixTech will be subject to the same terms and conditions under such DARPA Contract as are now applicable to Micron and (ii) such DARPA Contract shall be amended to provide that PixTech's current base plate technology may be used to manufacture displays required to be delivered to DARPA under such DARPA Contract.</w:t>
      </w:r>
    </w:p>
    <w:p>
      <w:pPr>
        <w:spacing w:after="0" w:line="200" w:lineRule="exact"/>
        <w:rPr>
          <w:sz w:val="20"/>
          <w:szCs w:val="20"/>
          <w:color w:val="auto"/>
        </w:rPr>
      </w:pP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ind w:left="3800"/>
        <w:spacing w:after="0" w:line="238" w:lineRule="auto"/>
        <w:rPr>
          <w:sz w:val="20"/>
          <w:szCs w:val="20"/>
          <w:color w:val="auto"/>
        </w:rPr>
      </w:pPr>
      <w:r>
        <w:rPr>
          <w:rFonts w:ascii="Courier New" w:cs="Courier New" w:eastAsia="Courier New" w:hAnsi="Courier New"/>
          <w:sz w:val="18"/>
          <w:szCs w:val="18"/>
          <w:color w:val="auto"/>
        </w:rPr>
        <w:t>CLOSING</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4.1. Closing. The Closing (the "Closing") of the purchase and sale of the Acquired Assets and the assumption of the Assumed Liabilities hereunder shall take place at the offices of Wilson Sonsini Goodrich &amp; Rosati, 650 Page Mill Road, Palo Alto, California, as soon as possible, but in no event later than 3 business days, after satisfaction or waiver of the conditions set forth in Article X, or at such other time or place as Micron and PixTech may agree. At the Closing: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1" w:name="page22"/>
    <w:bookmarkEnd w:id="21"/>
    <w:p>
      <w:pPr>
        <w:ind w:left="1700" w:hanging="639"/>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shall deliver to Micron:</w:t>
      </w:r>
    </w:p>
    <w:p>
      <w:pPr>
        <w:spacing w:after="0" w:line="206" w:lineRule="exact"/>
        <w:rPr>
          <w:rFonts w:ascii="Courier New" w:cs="Courier New" w:eastAsia="Courier New" w:hAnsi="Courier New"/>
          <w:sz w:val="18"/>
          <w:szCs w:val="18"/>
          <w:color w:val="auto"/>
        </w:rPr>
      </w:pPr>
    </w:p>
    <w:p>
      <w:pPr>
        <w:ind w:left="2120" w:right="1999" w:hanging="532"/>
        <w:spacing w:after="0" w:line="236" w:lineRule="auto"/>
        <w:tabs>
          <w:tab w:leader="none" w:pos="21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representing the Shares described in Section 2.5(a) in connection with the Display Division Purchase Consideration; and</w:t>
      </w:r>
    </w:p>
    <w:p>
      <w:pPr>
        <w:spacing w:after="0" w:line="203" w:lineRule="exact"/>
        <w:rPr>
          <w:rFonts w:ascii="Courier New" w:cs="Courier New" w:eastAsia="Courier New" w:hAnsi="Courier New"/>
          <w:sz w:val="18"/>
          <w:szCs w:val="18"/>
          <w:color w:val="auto"/>
        </w:rPr>
      </w:pPr>
    </w:p>
    <w:p>
      <w:pPr>
        <w:ind w:left="2440" w:hanging="852"/>
        <w:spacing w:after="0"/>
        <w:tabs>
          <w:tab w:leader="none" w:pos="24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PixTech Warrant;</w:t>
      </w:r>
    </w:p>
    <w:p>
      <w:pPr>
        <w:spacing w:after="0" w:line="206"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assign and transfer to PixTech all Acquired Assets by delivery of a General Assignment and Bill of Sale in form and substance reasonably satisfactory to Micron and PixTech, duly executed by Micron;</w:t>
      </w:r>
    </w:p>
    <w:p>
      <w:pPr>
        <w:spacing w:after="0" w:line="207" w:lineRule="exact"/>
        <w:rPr>
          <w:rFonts w:ascii="Courier New" w:cs="Courier New" w:eastAsia="Courier New" w:hAnsi="Courier New"/>
          <w:sz w:val="18"/>
          <w:szCs w:val="18"/>
          <w:color w:val="auto"/>
        </w:rPr>
      </w:pPr>
    </w:p>
    <w:p>
      <w:pPr>
        <w:ind w:left="1580" w:right="1999" w:hanging="519"/>
        <w:spacing w:after="0" w:line="236"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shall assume from Micron the due payment, performance and discharge of the Assumed Liabilities in accordance with the terms of this Agreement; and</w:t>
      </w:r>
    </w:p>
    <w:p>
      <w:pPr>
        <w:spacing w:after="0" w:line="208" w:lineRule="exact"/>
        <w:rPr>
          <w:rFonts w:ascii="Courier New" w:cs="Courier New" w:eastAsia="Courier New" w:hAnsi="Courier New"/>
          <w:sz w:val="18"/>
          <w:szCs w:val="18"/>
          <w:color w:val="auto"/>
        </w:rPr>
      </w:pPr>
    </w:p>
    <w:p>
      <w:pPr>
        <w:ind w:left="1580" w:right="2099" w:hanging="519"/>
        <w:spacing w:after="0" w:line="279"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and PixTech shall also deliver the certificates and other contracts, documents and instruments required to be delivered under Article X, including the Ancillary Agreements.</w:t>
      </w:r>
    </w:p>
    <w:p>
      <w:pPr>
        <w:spacing w:after="0" w:line="200" w:lineRule="exact"/>
        <w:rPr>
          <w:sz w:val="20"/>
          <w:szCs w:val="20"/>
          <w:color w:val="auto"/>
        </w:rPr>
      </w:pPr>
    </w:p>
    <w:p>
      <w:pPr>
        <w:spacing w:after="0" w:line="37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REPRESENTATIONS AND WARRANTIES OF MICRON</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Except as disclosed in the disclosure schedule (the "Micron Disclosure Schedule") dated the date hereof and delivered by Micron to PixTech in connection with this Agreement, Micron represents and warrants to PixTech that:</w:t>
      </w:r>
    </w:p>
    <w:p>
      <w:pPr>
        <w:spacing w:after="0" w:line="178" w:lineRule="exact"/>
        <w:rPr>
          <w:sz w:val="20"/>
          <w:szCs w:val="20"/>
          <w:color w:val="auto"/>
        </w:rPr>
      </w:pPr>
    </w:p>
    <w:p>
      <w:pPr>
        <w:ind w:left="1060" w:right="1779" w:hanging="420"/>
        <w:spacing w:after="0" w:line="237" w:lineRule="auto"/>
        <w:rPr>
          <w:sz w:val="20"/>
          <w:szCs w:val="20"/>
          <w:color w:val="auto"/>
        </w:rPr>
      </w:pPr>
      <w:r>
        <w:rPr>
          <w:rFonts w:ascii="Courier New" w:cs="Courier New" w:eastAsia="Courier New" w:hAnsi="Courier New"/>
          <w:sz w:val="18"/>
          <w:szCs w:val="18"/>
          <w:color w:val="auto"/>
        </w:rPr>
        <w:t>SECTION</w:t>
      </w:r>
      <w:r>
        <w:rPr>
          <w:sz w:val="20"/>
          <w:szCs w:val="20"/>
          <w:color w:val="auto"/>
        </w:rPr>
        <w:t xml:space="preserve"> </w:t>
      </w:r>
      <w:r>
        <w:rPr>
          <w:rFonts w:ascii="Courier New" w:cs="Courier New" w:eastAsia="Courier New" w:hAnsi="Courier New"/>
          <w:sz w:val="18"/>
          <w:szCs w:val="18"/>
          <w:color w:val="auto"/>
        </w:rPr>
        <w:t>5.1. Corporate Existence and Power. Micron is a corporation duly incorporated, validly existing and in good standing under the laws of the State of Delaware and is qualified to do business as a foreign corporation and is in good standing under the laws of the State of Idaho.</w:t>
      </w:r>
    </w:p>
    <w:p>
      <w:pPr>
        <w:spacing w:after="0" w:line="209" w:lineRule="exact"/>
        <w:rPr>
          <w:sz w:val="20"/>
          <w:szCs w:val="20"/>
          <w:color w:val="auto"/>
        </w:rPr>
      </w:pPr>
    </w:p>
    <w:p>
      <w:pPr>
        <w:ind w:left="1060" w:right="1779" w:hanging="420"/>
        <w:spacing w:after="0" w:line="238" w:lineRule="auto"/>
        <w:rPr>
          <w:sz w:val="20"/>
          <w:szCs w:val="20"/>
          <w:color w:val="auto"/>
        </w:rPr>
      </w:pPr>
      <w:r>
        <w:rPr>
          <w:rFonts w:ascii="Courier New" w:cs="Courier New" w:eastAsia="Courier New" w:hAnsi="Courier New"/>
          <w:sz w:val="18"/>
          <w:szCs w:val="18"/>
          <w:color w:val="auto"/>
        </w:rPr>
        <w:t>SECTION</w:t>
      </w:r>
      <w:r>
        <w:rPr>
          <w:sz w:val="20"/>
          <w:szCs w:val="20"/>
          <w:color w:val="auto"/>
        </w:rPr>
        <w:t xml:space="preserve"> </w:t>
      </w:r>
      <w:r>
        <w:rPr>
          <w:rFonts w:ascii="Courier New" w:cs="Courier New" w:eastAsia="Courier New" w:hAnsi="Courier New"/>
          <w:sz w:val="18"/>
          <w:szCs w:val="18"/>
          <w:color w:val="auto"/>
        </w:rPr>
        <w:t>5.2. Corporate Authorization. Micron has the requisite corporate power and authority to enter into this Agreement and the other Transaction Agreements to which it is a party and to perform its obligations hereunder and thereunder. The execution and delivery of this Agreement and the other Transaction Agreements to which it is a party, and performance by Micron of its obligations hereunder and thereunder, have been duly authorized by all necessary corporate action on the part of Micron. This Agreement constitutes, and the Ancillary Agreements to which it is a party, when executed and delivered by Micron, will constitute, valid and legally binding obligations of Micron, enforceable against the Micron in accordance with their respective terms, except (i) as may be limited by (x) applicable bankruptcy, insolvency, reorganization or others laws of general application relating to or affecting the enforcement of creditors' rights generally and (y) the effect of rules of law governing the availability of equitable remedies and (ii) as rights to indemnity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22" w:name="page23"/>
    <w:bookmarkEnd w:id="22"/>
    <w:p>
      <w:pPr>
        <w:ind w:left="1060" w:right="1879"/>
        <w:spacing w:after="0" w:line="235" w:lineRule="auto"/>
        <w:rPr>
          <w:sz w:val="20"/>
          <w:szCs w:val="20"/>
          <w:color w:val="auto"/>
        </w:rPr>
      </w:pPr>
      <w:r>
        <w:rPr>
          <w:rFonts w:ascii="Courier New" w:cs="Courier New" w:eastAsia="Courier New" w:hAnsi="Courier New"/>
          <w:sz w:val="18"/>
          <w:szCs w:val="18"/>
          <w:color w:val="auto"/>
        </w:rPr>
        <w:t>contribution may be limited under federal or state securities laws or by principles of public policy thereunder.</w:t>
      </w:r>
    </w:p>
    <w:p>
      <w:pPr>
        <w:spacing w:after="0" w:line="208" w:lineRule="exact"/>
        <w:rPr>
          <w:sz w:val="20"/>
          <w:szCs w:val="20"/>
          <w:color w:val="auto"/>
        </w:rPr>
      </w:pPr>
    </w:p>
    <w:p>
      <w:pPr>
        <w:ind w:left="120" w:right="1779" w:firstLine="527"/>
        <w:spacing w:after="0" w:line="237" w:lineRule="auto"/>
        <w:rPr>
          <w:sz w:val="20"/>
          <w:szCs w:val="20"/>
          <w:color w:val="auto"/>
        </w:rPr>
      </w:pPr>
      <w:r>
        <w:rPr>
          <w:rFonts w:ascii="Courier New" w:cs="Courier New" w:eastAsia="Courier New" w:hAnsi="Courier New"/>
          <w:sz w:val="18"/>
          <w:szCs w:val="18"/>
          <w:color w:val="auto"/>
        </w:rPr>
        <w:t>SECTION 5.3. Governmental Authorization. No consent, approval, order or authorization of, or registration qualification, designation, declaration or filing with, any federal, state or local governmental authority on the part of Micron is required in connection with the consummation of the transactions contemplated by this Agreement, except: (i) compliance with any applicable requirements of the HSR Act; (ii) compliance with any applicable requirements of the 1934 Act; and (iii) as may be necessary in connection with any DARPA Contracts that are Assumed Contracts.</w:t>
      </w:r>
    </w:p>
    <w:p>
      <w:pPr>
        <w:spacing w:after="0" w:line="207" w:lineRule="exact"/>
        <w:rPr>
          <w:sz w:val="20"/>
          <w:szCs w:val="20"/>
          <w:color w:val="auto"/>
        </w:rPr>
      </w:pPr>
    </w:p>
    <w:p>
      <w:pPr>
        <w:ind w:left="640"/>
        <w:spacing w:after="0"/>
        <w:tabs>
          <w:tab w:leader="none" w:pos="1560" w:val="left"/>
          <w:tab w:leader="none" w:pos="2720" w:val="left"/>
          <w:tab w:leader="none" w:pos="4720" w:val="left"/>
        </w:tabs>
        <w:rPr>
          <w:sz w:val="20"/>
          <w:szCs w:val="20"/>
          <w:color w:val="auto"/>
        </w:rPr>
      </w:pPr>
      <w:r>
        <w:rPr>
          <w:rFonts w:ascii="Courier New" w:cs="Courier New" w:eastAsia="Courier New" w:hAnsi="Courier New"/>
          <w:sz w:val="18"/>
          <w:szCs w:val="18"/>
          <w:color w:val="auto"/>
        </w:rPr>
        <w:t>SECTION</w:t>
        <w:tab/>
        <w:t>5.4.</w:t>
      </w:r>
      <w:r>
        <w:rPr>
          <w:sz w:val="20"/>
          <w:szCs w:val="20"/>
          <w:color w:val="auto"/>
        </w:rPr>
        <w:tab/>
      </w:r>
      <w:r>
        <w:rPr>
          <w:rFonts w:ascii="Courier New" w:cs="Courier New" w:eastAsia="Courier New" w:hAnsi="Courier New"/>
          <w:sz w:val="18"/>
          <w:szCs w:val="18"/>
          <w:color w:val="auto"/>
        </w:rPr>
        <w:t>Noncontravention.</w:t>
      </w:r>
      <w:r>
        <w:rPr>
          <w:sz w:val="20"/>
          <w:szCs w:val="20"/>
          <w:color w:val="auto"/>
        </w:rPr>
        <w:tab/>
      </w:r>
      <w:r>
        <w:rPr>
          <w:rFonts w:ascii="Courier New" w:cs="Courier New" w:eastAsia="Courier New" w:hAnsi="Courier New"/>
          <w:sz w:val="16"/>
          <w:szCs w:val="16"/>
          <w:color w:val="auto"/>
        </w:rPr>
        <w:t>Except as set forth on Schedule 5.4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 the Micron Disclosure Schedule, the execution, delivery and performance by Micron of each Transaction Agreement to which it is a party and the consummation of the transactions contemplated thereby do not and will not (i) violate the Certificate of Incorporation or Bylaws of Micron, (ii) assuming compliance with the governmental matters referred to in Section 5.3, violate in any material respect any applicable law, rule, regulation, judgment, injunction, order or decree, (iii) assuming the obtaining of all Required Consents, constitute a default under, or give rise to any right of termination, cancellation or acceleration of any right or obligation of Micron or to a loss of any benefit to which Micron is entitled under any provision of any material agreement or other instrument binding upon Micron, or (iv) result in the creation or imposition of any Lien on any Acquired Asset except for any Permitted Liens, except, in the case of clauses (ii) and (iii), individually and in the aggregate, as would not have a Material Adverse Effect.</w:t>
      </w:r>
    </w:p>
    <w:p>
      <w:pPr>
        <w:spacing w:after="0" w:line="202" w:lineRule="exact"/>
        <w:rPr>
          <w:sz w:val="20"/>
          <w:szCs w:val="20"/>
          <w:color w:val="auto"/>
        </w:rPr>
      </w:pPr>
    </w:p>
    <w:p>
      <w:pPr>
        <w:ind w:left="640"/>
        <w:spacing w:after="0"/>
        <w:tabs>
          <w:tab w:leader="none" w:pos="1560" w:val="left"/>
          <w:tab w:leader="none" w:pos="2720" w:val="left"/>
          <w:tab w:leader="none" w:pos="4840" w:val="left"/>
        </w:tabs>
        <w:rPr>
          <w:sz w:val="20"/>
          <w:szCs w:val="20"/>
          <w:color w:val="auto"/>
        </w:rPr>
      </w:pPr>
      <w:r>
        <w:rPr>
          <w:rFonts w:ascii="Courier New" w:cs="Courier New" w:eastAsia="Courier New" w:hAnsi="Courier New"/>
          <w:sz w:val="18"/>
          <w:szCs w:val="18"/>
          <w:color w:val="auto"/>
        </w:rPr>
        <w:t>SECTION</w:t>
        <w:tab/>
        <w:t>5.5.</w:t>
      </w:r>
      <w:r>
        <w:rPr>
          <w:sz w:val="20"/>
          <w:szCs w:val="20"/>
          <w:color w:val="auto"/>
        </w:rPr>
        <w:tab/>
      </w:r>
      <w:r>
        <w:rPr>
          <w:rFonts w:ascii="Courier New" w:cs="Courier New" w:eastAsia="Courier New" w:hAnsi="Courier New"/>
          <w:sz w:val="18"/>
          <w:szCs w:val="18"/>
          <w:color w:val="auto"/>
        </w:rPr>
        <w:t>Required Consents.</w:t>
      </w:r>
      <w:r>
        <w:rPr>
          <w:sz w:val="20"/>
          <w:szCs w:val="20"/>
          <w:color w:val="auto"/>
        </w:rPr>
        <w:tab/>
      </w:r>
      <w:r>
        <w:rPr>
          <w:rFonts w:ascii="Courier New" w:cs="Courier New" w:eastAsia="Courier New" w:hAnsi="Courier New"/>
          <w:sz w:val="16"/>
          <w:szCs w:val="16"/>
          <w:color w:val="auto"/>
        </w:rPr>
        <w:t>Schedule 5.5 to the Micron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Disclosure Schedule sets forth each material agreement or other instrument binding upon Micron, including those listed in Schedule 1.1-B to this Agreement,</w:t>
      </w:r>
    </w:p>
    <w:p>
      <w:pPr>
        <w:ind w:left="49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requiring a consent or other action by any Person (the "Micron Required Consents") as a result of the execution, delivery and performance of this Agreement, except such consents or actions as would not, individually or in the aggregate, have a Material Adverse Effect if not received or taken by the Closing.</w:t>
      </w:r>
    </w:p>
    <w:p>
      <w:pPr>
        <w:spacing w:after="0" w:line="203" w:lineRule="exact"/>
        <w:rPr>
          <w:sz w:val="20"/>
          <w:szCs w:val="20"/>
          <w:color w:val="auto"/>
        </w:rPr>
      </w:pPr>
    </w:p>
    <w:p>
      <w:pPr>
        <w:ind w:left="640"/>
        <w:spacing w:after="0"/>
        <w:tabs>
          <w:tab w:leader="none" w:pos="1560" w:val="left"/>
          <w:tab w:leader="none" w:pos="2720" w:val="left"/>
          <w:tab w:leader="none" w:pos="5780" w:val="left"/>
        </w:tabs>
        <w:rPr>
          <w:sz w:val="20"/>
          <w:szCs w:val="20"/>
          <w:color w:val="auto"/>
        </w:rPr>
      </w:pPr>
      <w:r>
        <w:rPr>
          <w:rFonts w:ascii="Courier New" w:cs="Courier New" w:eastAsia="Courier New" w:hAnsi="Courier New"/>
          <w:sz w:val="18"/>
          <w:szCs w:val="18"/>
          <w:color w:val="auto"/>
        </w:rPr>
        <w:t>SECTION</w:t>
        <w:tab/>
        <w:t>5.6.</w:t>
      </w:r>
      <w:r>
        <w:rPr>
          <w:sz w:val="20"/>
          <w:szCs w:val="20"/>
          <w:color w:val="auto"/>
        </w:rPr>
        <w:tab/>
      </w:r>
      <w:r>
        <w:rPr>
          <w:rFonts w:ascii="Courier New" w:cs="Courier New" w:eastAsia="Courier New" w:hAnsi="Courier New"/>
          <w:sz w:val="18"/>
          <w:szCs w:val="18"/>
          <w:color w:val="auto"/>
        </w:rPr>
        <w:t>Absence of Certain Changes.</w:t>
      </w:r>
      <w:r>
        <w:rPr>
          <w:sz w:val="20"/>
          <w:szCs w:val="20"/>
          <w:color w:val="auto"/>
        </w:rPr>
        <w:tab/>
      </w:r>
      <w:r>
        <w:rPr>
          <w:rFonts w:ascii="Courier New" w:cs="Courier New" w:eastAsia="Courier New" w:hAnsi="Courier New"/>
          <w:sz w:val="16"/>
          <w:szCs w:val="16"/>
          <w:color w:val="auto"/>
        </w:rPr>
        <w:t>Except as disclosed in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Schedule 5.6 to the Micron Disclosure Schedule, since January 31,</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879"/>
        <w:spacing w:after="0" w:line="290" w:lineRule="auto"/>
        <w:rPr>
          <w:sz w:val="20"/>
          <w:szCs w:val="20"/>
          <w:color w:val="auto"/>
        </w:rPr>
      </w:pPr>
      <w:r>
        <w:rPr>
          <w:rFonts w:ascii="Courier New" w:cs="Courier New" w:eastAsia="Courier New" w:hAnsi="Courier New"/>
          <w:sz w:val="16"/>
          <w:szCs w:val="16"/>
          <w:color w:val="auto"/>
        </w:rPr>
        <w:t>1999, the Acquired Business has been conducted in the ordinary course consistent with past practices by Micron and there has not been:</w:t>
      </w:r>
    </w:p>
    <w:p>
      <w:pPr>
        <w:spacing w:after="0" w:line="170" w:lineRule="exact"/>
        <w:rPr>
          <w:sz w:val="20"/>
          <w:szCs w:val="20"/>
          <w:color w:val="auto"/>
        </w:rPr>
      </w:pPr>
    </w:p>
    <w:p>
      <w:pPr>
        <w:ind w:left="1580" w:right="1779" w:hanging="519"/>
        <w:spacing w:after="0" w:line="237"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by Micron relating to assets or business material to the Acquired Business, other than in the ordinary course of business consistent with past practices and as contemplated by this Agreement;</w:t>
      </w:r>
    </w:p>
    <w:p>
      <w:pPr>
        <w:spacing w:after="0" w:line="207"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lease or disposition by Micron relating to assets or business material to the Acquired Business, other than in the ordinary course of business consistent with past practices and as contemplated by this Agreement;</w:t>
      </w:r>
    </w:p>
    <w:p>
      <w:pPr>
        <w:spacing w:after="0" w:line="207" w:lineRule="exact"/>
        <w:rPr>
          <w:rFonts w:ascii="Courier New" w:cs="Courier New" w:eastAsia="Courier New" w:hAnsi="Courier New"/>
          <w:sz w:val="18"/>
          <w:szCs w:val="18"/>
          <w:color w:val="auto"/>
        </w:rPr>
      </w:pPr>
    </w:p>
    <w:p>
      <w:pPr>
        <w:ind w:left="1580" w:right="1879" w:hanging="519"/>
        <w:spacing w:after="0" w:line="279"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 employment, deferred compensation, severance, retirement or other similar agreement (or any amendment to any such existing agreement) entered into with any director, officer</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23" w:name="page24"/>
    <w:bookmarkEnd w:id="23"/>
    <w:p>
      <w:pPr>
        <w:ind w:left="1580" w:right="1779"/>
        <w:spacing w:after="0" w:line="271" w:lineRule="auto"/>
        <w:rPr>
          <w:sz w:val="20"/>
          <w:szCs w:val="20"/>
          <w:color w:val="auto"/>
        </w:rPr>
      </w:pPr>
      <w:r>
        <w:rPr>
          <w:rFonts w:ascii="Courier New" w:cs="Courier New" w:eastAsia="Courier New" w:hAnsi="Courier New"/>
          <w:sz w:val="16"/>
          <w:szCs w:val="16"/>
          <w:color w:val="auto"/>
        </w:rPr>
        <w:t>or employee of Micron engaged primarily in the operations of the Acquired Business, (ii) grant of any severance or termination pay to any director, officer or employee of Micron engaged primarily in the operations of the Acquired Business or (iii) change in compensation or other benefits payable to any director, officer or employee of Micron engaged primarily in the operations of the Acquired Business pursuant to any severance or retirement plans or policies thereof, in each case other than in the ordinary course of business consistent with past practices.</w:t>
      </w:r>
    </w:p>
    <w:p>
      <w:pPr>
        <w:spacing w:after="0" w:line="184" w:lineRule="exact"/>
        <w:rPr>
          <w:sz w:val="20"/>
          <w:szCs w:val="20"/>
          <w:color w:val="auto"/>
        </w:rPr>
      </w:pPr>
    </w:p>
    <w:p>
      <w:pPr>
        <w:ind w:left="1580" w:right="1999" w:hanging="519"/>
        <w:spacing w:after="0" w:line="237"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by Micron relating solely to material assets or business of the Acquired Business except in the ordinary course of business as conducted as of January 31, 1999 and consistent with past practices;</w:t>
      </w:r>
    </w:p>
    <w:p>
      <w:pPr>
        <w:spacing w:after="0" w:line="207" w:lineRule="exact"/>
        <w:rPr>
          <w:rFonts w:ascii="Courier New" w:cs="Courier New" w:eastAsia="Courier New" w:hAnsi="Courier New"/>
          <w:sz w:val="18"/>
          <w:szCs w:val="18"/>
          <w:color w:val="auto"/>
        </w:rPr>
      </w:pPr>
    </w:p>
    <w:p>
      <w:pPr>
        <w:ind w:left="1580" w:right="1999" w:hanging="519"/>
        <w:spacing w:after="0" w:line="236"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destruction of, damage to or loss of any assets material to Micron relating to the Acquired Business taken as a whole (whether or not covered by insurance);</w:t>
      </w:r>
    </w:p>
    <w:p>
      <w:pPr>
        <w:spacing w:after="0" w:line="208" w:lineRule="exact"/>
        <w:rPr>
          <w:rFonts w:ascii="Courier New" w:cs="Courier New" w:eastAsia="Courier New" w:hAnsi="Courier New"/>
          <w:sz w:val="18"/>
          <w:szCs w:val="18"/>
          <w:color w:val="auto"/>
        </w:rPr>
      </w:pPr>
    </w:p>
    <w:p>
      <w:pPr>
        <w:ind w:left="1580" w:right="2319" w:hanging="519"/>
        <w:spacing w:after="0" w:line="235"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revaluation by Micron of any material assets of the Acquired Business;</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or termination of any material contract, agreement or license relating solely to material assets or business of the Acquired Business to which Micron is a party or by which it is bound except for amendments in the ordinary course of business that are not reasonably likely to have a Material Adverse Effect or scheduled expiration pursuant to the terms of the contract, agreement or license and not as a result of any breach;</w:t>
      </w:r>
    </w:p>
    <w:p>
      <w:pPr>
        <w:spacing w:after="0" w:line="212" w:lineRule="exact"/>
        <w:rPr>
          <w:rFonts w:ascii="Courier New" w:cs="Courier New" w:eastAsia="Courier New" w:hAnsi="Courier New"/>
          <w:sz w:val="18"/>
          <w:szCs w:val="18"/>
          <w:color w:val="auto"/>
        </w:rPr>
      </w:pPr>
    </w:p>
    <w:p>
      <w:pPr>
        <w:ind w:left="1580" w:right="1999" w:hanging="519"/>
        <w:spacing w:after="0" w:line="272" w:lineRule="auto"/>
        <w:tabs>
          <w:tab w:leader="none" w:pos="15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by Micron relating to material assets or business of the Acquired Business to any person or entity, or incurring by Micron of any indebtedness (except for indebtedness incurred in the ordinary course under existing credit lines or arrangements set forth in Micron Disclosure Schedule) relating solely to material assets or business of the Acquired Business;</w:t>
      </w:r>
    </w:p>
    <w:p>
      <w:pPr>
        <w:spacing w:after="0" w:line="185" w:lineRule="exact"/>
        <w:rPr>
          <w:rFonts w:ascii="Courier New" w:cs="Courier New" w:eastAsia="Courier New" w:hAnsi="Courier New"/>
          <w:sz w:val="16"/>
          <w:szCs w:val="16"/>
          <w:color w:val="auto"/>
        </w:rPr>
      </w:pPr>
    </w:p>
    <w:p>
      <w:pPr>
        <w:ind w:left="1580" w:right="1879" w:hanging="519"/>
        <w:spacing w:after="0" w:line="272" w:lineRule="auto"/>
        <w:tabs>
          <w:tab w:leader="none" w:pos="15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waiver or release of any material right or claim of Micron relating solely to material assets or business of the Acquired Business, including any write-off or other compromise of any account receivable of Micron relating solely to material assets or business of the Acquired Business, other than in the ordinary course of business and consistent with past practices;</w:t>
      </w:r>
    </w:p>
    <w:p>
      <w:pPr>
        <w:spacing w:after="0" w:line="185" w:lineRule="exact"/>
        <w:rPr>
          <w:rFonts w:ascii="Courier New" w:cs="Courier New" w:eastAsia="Courier New" w:hAnsi="Courier New"/>
          <w:sz w:val="16"/>
          <w:szCs w:val="16"/>
          <w:color w:val="auto"/>
        </w:rPr>
      </w:pPr>
    </w:p>
    <w:p>
      <w:pPr>
        <w:ind w:left="1580" w:right="1879" w:hanging="624"/>
        <w:spacing w:after="0" w:line="290"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by Micron to do any of the things described in the preceding clauses (a) through (i) (other than this Agreement).</w:t>
      </w:r>
    </w:p>
    <w:p>
      <w:pPr>
        <w:spacing w:after="0" w:line="170"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SECTION 5.7. Material Contracts. Except for the contracts disclosed in Schedule 5.7 to the Micron Disclosure Schedule, with respect to the</w:t>
      </w: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Acquired Business primarily or solely (and not with respect to any other business of Micron generally), Micron is not a party to or bound by:</w:t>
      </w:r>
    </w:p>
    <w:p>
      <w:pPr>
        <w:spacing w:after="0" w:line="170" w:lineRule="exact"/>
        <w:rPr>
          <w:sz w:val="20"/>
          <w:szCs w:val="20"/>
          <w:color w:val="auto"/>
        </w:rPr>
      </w:pPr>
    </w:p>
    <w:p>
      <w:pPr>
        <w:ind w:left="1580" w:right="2319" w:hanging="519"/>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joint venture or other similar agreement or arrangement;</w:t>
      </w:r>
    </w:p>
    <w:p>
      <w:pPr>
        <w:spacing w:after="0" w:line="208" w:lineRule="exact"/>
        <w:rPr>
          <w:rFonts w:ascii="Courier New" w:cs="Courier New" w:eastAsia="Courier New" w:hAnsi="Courier New"/>
          <w:sz w:val="18"/>
          <w:szCs w:val="18"/>
          <w:color w:val="auto"/>
        </w:rPr>
      </w:pPr>
    </w:p>
    <w:p>
      <w:pPr>
        <w:ind w:left="1580" w:right="1999" w:hanging="519"/>
        <w:spacing w:after="0" w:line="236"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relating to the acquisition or disposition of any business (whether by merger, sale of stock, sale of assets or otherwise);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4" w:name="page25"/>
    <w:bookmarkEnd w:id="24"/>
    <w:p>
      <w:pPr>
        <w:ind w:left="1580" w:hanging="519"/>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that limits the freedom of Micron, with respect</w:t>
      </w:r>
    </w:p>
    <w:p>
      <w:pPr>
        <w:spacing w:after="0" w:line="4" w:lineRule="exact"/>
        <w:rPr>
          <w:rFonts w:ascii="Courier New" w:cs="Courier New" w:eastAsia="Courier New" w:hAnsi="Courier New"/>
          <w:sz w:val="18"/>
          <w:szCs w:val="18"/>
          <w:color w:val="auto"/>
        </w:rPr>
      </w:pPr>
    </w:p>
    <w:p>
      <w:pPr>
        <w:ind w:left="15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Acquired Business only, to compete in any line of business or with any Person or in any area.</w:t>
      </w:r>
    </w:p>
    <w:p>
      <w:pPr>
        <w:spacing w:after="0" w:line="208" w:lineRule="exact"/>
        <w:rPr>
          <w:rFonts w:ascii="Courier New" w:cs="Courier New" w:eastAsia="Courier New" w:hAnsi="Courier New"/>
          <w:sz w:val="18"/>
          <w:szCs w:val="18"/>
          <w:color w:val="auto"/>
        </w:rPr>
      </w:pPr>
    </w:p>
    <w:p>
      <w:pPr>
        <w:ind w:left="1580" w:right="2519" w:hanging="519"/>
        <w:spacing w:after="0" w:line="236"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contract or commitment relating to capital expenditures and involving future obligations in excess of $25,000 and not cancelable without penalty;</w:t>
      </w:r>
    </w:p>
    <w:p>
      <w:pPr>
        <w:spacing w:after="0" w:line="208"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mortgages, indentures, loans or credit agreements, security agreements relating to a material amount of assets or other agreements or instruments relating to the borrowing of money or extension of credit;</w:t>
      </w:r>
    </w:p>
    <w:p>
      <w:pPr>
        <w:spacing w:after="0" w:line="207" w:lineRule="exact"/>
        <w:rPr>
          <w:rFonts w:ascii="Courier New" w:cs="Courier New" w:eastAsia="Courier New" w:hAnsi="Courier New"/>
          <w:sz w:val="18"/>
          <w:szCs w:val="18"/>
          <w:color w:val="auto"/>
        </w:rPr>
      </w:pPr>
    </w:p>
    <w:p>
      <w:pPr>
        <w:ind w:left="1580" w:right="1779" w:hanging="519"/>
        <w:spacing w:after="0" w:line="275"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agreement, contract, commitment or lease which requires annual payments by Micron under any such agreement, contract, commitment or lease of $25,000 or more in the aggregate and is not cancelable without penalty within thirty (30) days;</w:t>
      </w:r>
    </w:p>
    <w:p>
      <w:pPr>
        <w:spacing w:after="0" w:line="182" w:lineRule="exact"/>
        <w:rPr>
          <w:rFonts w:ascii="Courier New" w:cs="Courier New" w:eastAsia="Courier New" w:hAnsi="Courier New"/>
          <w:sz w:val="16"/>
          <w:szCs w:val="16"/>
          <w:color w:val="auto"/>
        </w:rPr>
      </w:pPr>
    </w:p>
    <w:p>
      <w:pPr>
        <w:jc w:val="both"/>
        <w:ind w:left="1580" w:right="2419" w:hanging="519"/>
        <w:spacing w:after="0" w:line="275"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consulting arrangements and contracts for professional, advisory and other services involving payments of more than $25,000 in any year, including contracts under which Micron performs services for others;</w:t>
      </w:r>
    </w:p>
    <w:p>
      <w:pPr>
        <w:spacing w:after="0" w:line="182" w:lineRule="exact"/>
        <w:rPr>
          <w:rFonts w:ascii="Courier New" w:cs="Courier New" w:eastAsia="Courier New" w:hAnsi="Courier New"/>
          <w:sz w:val="16"/>
          <w:szCs w:val="16"/>
          <w:color w:val="auto"/>
        </w:rPr>
      </w:pPr>
    </w:p>
    <w:p>
      <w:pPr>
        <w:ind w:left="1580" w:right="1879" w:hanging="519"/>
        <w:spacing w:after="0" w:line="279"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material contracts made other than in the usual or ordinary course of business of Micron to which Micron is a party or under which Micron or any of its Subsidiaries is obligated.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as disclosed on Schedule 5.7 to the Micron Disclosure Schedule, Micron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has not breached, violated or defaulted under, or received notice that it has breached, violated or defaulted under, any of the terms or conditions of any of the agreements, contracts or commitments to which Micron is a party or by which it is bound of the type described in clauses (a) through (h) above in such a manner as would permit any other party to cancel or terminate any Assumed Contract, or would permit any other party to seek damages, in either case, which is reasonably likely to have a Material Adverse Effect.</w:t>
      </w:r>
    </w:p>
    <w:p>
      <w:pPr>
        <w:spacing w:after="0" w:line="205" w:lineRule="exact"/>
        <w:rPr>
          <w:sz w:val="20"/>
          <w:szCs w:val="20"/>
          <w:color w:val="auto"/>
        </w:rPr>
      </w:pPr>
    </w:p>
    <w:p>
      <w:pPr>
        <w:ind w:left="640"/>
        <w:spacing w:after="0"/>
        <w:tabs>
          <w:tab w:leader="none" w:pos="1560" w:val="left"/>
          <w:tab w:leader="none" w:pos="2520" w:val="left"/>
          <w:tab w:leader="none" w:pos="4940" w:val="left"/>
        </w:tabs>
        <w:rPr>
          <w:sz w:val="20"/>
          <w:szCs w:val="20"/>
          <w:color w:val="auto"/>
        </w:rPr>
      </w:pPr>
      <w:r>
        <w:rPr>
          <w:rFonts w:ascii="Courier New" w:cs="Courier New" w:eastAsia="Courier New" w:hAnsi="Courier New"/>
          <w:sz w:val="18"/>
          <w:szCs w:val="18"/>
          <w:color w:val="auto"/>
        </w:rPr>
        <w:t>SECTION</w:t>
        <w:tab/>
        <w:t>5.8.</w:t>
      </w:r>
      <w:r>
        <w:rPr>
          <w:sz w:val="20"/>
          <w:szCs w:val="20"/>
          <w:color w:val="auto"/>
        </w:rPr>
        <w:tab/>
      </w:r>
      <w:r>
        <w:rPr>
          <w:rFonts w:ascii="Courier New" w:cs="Courier New" w:eastAsia="Courier New" w:hAnsi="Courier New"/>
          <w:sz w:val="18"/>
          <w:szCs w:val="18"/>
          <w:color w:val="auto"/>
        </w:rPr>
        <w:t>Licenses and Permits.</w:t>
      </w:r>
      <w:r>
        <w:rPr>
          <w:sz w:val="20"/>
          <w:szCs w:val="20"/>
          <w:color w:val="auto"/>
        </w:rPr>
        <w:tab/>
      </w:r>
      <w:r>
        <w:rPr>
          <w:rFonts w:ascii="Courier New" w:cs="Courier New" w:eastAsia="Courier New" w:hAnsi="Courier New"/>
          <w:sz w:val="16"/>
          <w:szCs w:val="16"/>
          <w:color w:val="auto"/>
        </w:rPr>
        <w:t>Schedule 5.8 to the Micron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Disclosure Schedule correctly describes each governmental license, franchise, permit, certificate, approval or other similar authorization of Micron, other than as contemplated by the Patent Cross License Agreement, that is necessary to operate the Acquired Business as it is currently operated, except those that the absence of which would not reasonably be likely to have a Material Adverse Effect (the "Permits") together with the name of the government agency or entity issuing such Permit. Except as set forth on Schedule 5.8 to the</w:t>
      </w:r>
    </w:p>
    <w:p>
      <w:pPr>
        <w:spacing w:after="0" w:line="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Micron Disclosure Schedule, (i) the Permits are valid and in full force and effect, (ii) Micron is not in default, and no condition exists that with notice or lapse of time or both would constitute a default, under the Permits, (iii) none of the Permits will be terminated or impaired or become terminable, in whole or in part, as a result of the transactions contemplated hereby and (iv) upon consummation of such transactions, PixTech will acquire all of the right, title and interest in all the Permits except for those that are not transferable in accordance with their terms, which are listed on Schedule 5.8 to the Micron</w:t>
      </w:r>
    </w:p>
    <w:p>
      <w:pPr>
        <w:ind w:left="5480"/>
        <w:spacing w:after="0" w:line="235"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Disclosure Schedule and those that are the subject of the Patent Cross License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25" w:name="page26"/>
    <w:bookmarkEnd w:id="25"/>
    <w:p>
      <w:pPr>
        <w:ind w:right="1779" w:firstLine="632"/>
        <w:spacing w:after="0" w:line="237" w:lineRule="auto"/>
        <w:rPr>
          <w:sz w:val="20"/>
          <w:szCs w:val="20"/>
          <w:color w:val="auto"/>
        </w:rPr>
      </w:pPr>
      <w:r>
        <w:rPr>
          <w:rFonts w:ascii="Courier New" w:cs="Courier New" w:eastAsia="Courier New" w:hAnsi="Courier New"/>
          <w:sz w:val="18"/>
          <w:szCs w:val="18"/>
          <w:color w:val="auto"/>
        </w:rPr>
        <w:t>SECTION 5.9. Litigation. There is no action, suit, investigation or proceeding pending against, or to the knowledge of Micron, threatened against or affecting, Micron relating to the Acquired Business or any of Micron's properties relating to the Acquired Business, before any court or arbitrator or any governmental body, agency or official which is reasonably likely to have a Material Adverse Effect or which in any manner challenges or seeks to prevent, enjoin, alter or materially delay the transactions contemplated by this Agreement.</w:t>
      </w:r>
    </w:p>
    <w:p>
      <w:pPr>
        <w:spacing w:after="0" w:line="207" w:lineRule="exact"/>
        <w:rPr>
          <w:sz w:val="20"/>
          <w:szCs w:val="20"/>
          <w:color w:val="auto"/>
        </w:rPr>
      </w:pPr>
    </w:p>
    <w:p>
      <w:pPr>
        <w:ind w:left="640"/>
        <w:spacing w:after="0"/>
        <w:tabs>
          <w:tab w:leader="none" w:pos="1560" w:val="left"/>
          <w:tab w:leader="none" w:pos="2840" w:val="left"/>
        </w:tabs>
        <w:rPr>
          <w:sz w:val="20"/>
          <w:szCs w:val="20"/>
          <w:color w:val="auto"/>
        </w:rPr>
      </w:pPr>
      <w:r>
        <w:rPr>
          <w:rFonts w:ascii="Courier New" w:cs="Courier New" w:eastAsia="Courier New" w:hAnsi="Courier New"/>
          <w:sz w:val="18"/>
          <w:szCs w:val="18"/>
          <w:color w:val="auto"/>
        </w:rPr>
        <w:t>SECTION</w:t>
        <w:tab/>
        <w:t>5.10.</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left="1580" w:right="2619" w:hanging="519"/>
        <w:spacing w:after="0" w:line="235"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has good title to all material property and assets included in the Acquired Assets.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5.10(b) to the Micron Disclosure Schedule lists all</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facts presently known to Micron that may affect the operation of the Acquired Assets. PixTech acknowledges that PixTech is acquiring the Acquired Assets AS IS, and that MICRON MAKES NO EXPRESS OR IMPLIED WARRANTIES OF ANY KIND OR AS TO ANY MATTER, INCLUDING AS TO THE MERCHANTABILITY OF ANY OF THE ACQUIRED ASSETS OR THEIR FITNESS FOR A PARTICULAR PURPOSE.</w:t>
      </w:r>
    </w:p>
    <w:p>
      <w:pPr>
        <w:spacing w:after="0" w:line="209" w:lineRule="exact"/>
        <w:rPr>
          <w:sz w:val="20"/>
          <w:szCs w:val="20"/>
          <w:color w:val="auto"/>
        </w:rPr>
      </w:pPr>
    </w:p>
    <w:p>
      <w:pPr>
        <w:ind w:left="1700" w:hanging="639"/>
        <w:spacing w:after="0"/>
        <w:tabs>
          <w:tab w:leader="none" w:pos="17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such property or assets is subject to any Lien, except:</w:t>
      </w:r>
    </w:p>
    <w:p>
      <w:pPr>
        <w:spacing w:after="0" w:line="223" w:lineRule="exact"/>
        <w:rPr>
          <w:rFonts w:ascii="Courier New" w:cs="Courier New" w:eastAsia="Courier New" w:hAnsi="Courier New"/>
          <w:sz w:val="16"/>
          <w:szCs w:val="16"/>
          <w:color w:val="auto"/>
        </w:rPr>
      </w:pPr>
    </w:p>
    <w:p>
      <w:pPr>
        <w:ind w:left="2120" w:hanging="532"/>
        <w:spacing w:after="0"/>
        <w:tabs>
          <w:tab w:leader="none" w:pos="21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disclosed on Schedule 5.10(c) to the Micron Disclosure</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2120"/>
        <w:spacing w:after="0" w:line="238" w:lineRule="auto"/>
        <w:rPr>
          <w:sz w:val="20"/>
          <w:szCs w:val="20"/>
          <w:color w:val="auto"/>
        </w:rPr>
      </w:pPr>
      <w:r>
        <w:rPr>
          <w:rFonts w:ascii="Courier New" w:cs="Courier New" w:eastAsia="Courier New" w:hAnsi="Courier New"/>
          <w:sz w:val="18"/>
          <w:szCs w:val="18"/>
          <w:color w:val="auto"/>
        </w:rPr>
        <w:t>Schedule;</w:t>
      </w:r>
    </w:p>
    <w:p>
      <w:pPr>
        <w:spacing w:after="0" w:line="207" w:lineRule="exact"/>
        <w:rPr>
          <w:sz w:val="20"/>
          <w:szCs w:val="20"/>
          <w:color w:val="auto"/>
        </w:rPr>
      </w:pPr>
    </w:p>
    <w:p>
      <w:pPr>
        <w:ind w:left="2120" w:right="2099" w:hanging="637"/>
        <w:spacing w:after="0" w:line="235" w:lineRule="auto"/>
        <w:tabs>
          <w:tab w:leader="none" w:pos="21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assessments and similar charges that are not yet due or are being contested in good faith;</w:t>
      </w:r>
    </w:p>
    <w:p>
      <w:pPr>
        <w:spacing w:after="0" w:line="208" w:lineRule="exact"/>
        <w:rPr>
          <w:rFonts w:ascii="Courier New" w:cs="Courier New" w:eastAsia="Courier New" w:hAnsi="Courier New"/>
          <w:sz w:val="18"/>
          <w:szCs w:val="18"/>
          <w:color w:val="auto"/>
        </w:rPr>
      </w:pPr>
    </w:p>
    <w:p>
      <w:pPr>
        <w:ind w:left="2120" w:right="1999" w:hanging="743"/>
        <w:spacing w:after="0" w:line="235" w:lineRule="auto"/>
        <w:tabs>
          <w:tab w:leader="none" w:pos="21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materialman's and similar charges that are not yet due or are being contested in good faith;</w:t>
      </w:r>
    </w:p>
    <w:p>
      <w:pPr>
        <w:spacing w:after="0" w:line="208" w:lineRule="exact"/>
        <w:rPr>
          <w:rFonts w:ascii="Courier New" w:cs="Courier New" w:eastAsia="Courier New" w:hAnsi="Courier New"/>
          <w:sz w:val="18"/>
          <w:szCs w:val="18"/>
          <w:color w:val="auto"/>
        </w:rPr>
      </w:pPr>
    </w:p>
    <w:p>
      <w:pPr>
        <w:ind w:left="2120" w:right="2739" w:hanging="637"/>
        <w:spacing w:after="0" w:line="235" w:lineRule="auto"/>
        <w:tabs>
          <w:tab w:leader="none" w:pos="21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arising or incurred in the ordinary course of business; or</w:t>
      </w:r>
    </w:p>
    <w:p>
      <w:pPr>
        <w:spacing w:after="0" w:line="208"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Liens which do not materially interfere with the present use of, or materially detract from the value of, any property or assets that are material to the Acquired Business (paragraphs (i)-(iv) of this Section 5.10 are, collectively, the "Permitted Liens").</w:t>
      </w:r>
    </w:p>
    <w:p>
      <w:pPr>
        <w:spacing w:after="0" w:line="203" w:lineRule="exact"/>
        <w:rPr>
          <w:sz w:val="20"/>
          <w:szCs w:val="20"/>
          <w:color w:val="auto"/>
        </w:rPr>
      </w:pPr>
    </w:p>
    <w:p>
      <w:pPr>
        <w:ind w:left="640"/>
        <w:spacing w:after="0"/>
        <w:tabs>
          <w:tab w:leader="none" w:pos="1560" w:val="left"/>
          <w:tab w:leader="none" w:pos="2520" w:val="left"/>
          <w:tab w:leader="none" w:pos="5040" w:val="left"/>
        </w:tabs>
        <w:rPr>
          <w:sz w:val="20"/>
          <w:szCs w:val="20"/>
          <w:color w:val="auto"/>
        </w:rPr>
      </w:pPr>
      <w:r>
        <w:rPr>
          <w:rFonts w:ascii="Courier New" w:cs="Courier New" w:eastAsia="Courier New" w:hAnsi="Courier New"/>
          <w:sz w:val="18"/>
          <w:szCs w:val="18"/>
          <w:color w:val="auto"/>
        </w:rPr>
        <w:t>SECTION</w:t>
        <w:tab/>
        <w:t>5.11.</w:t>
      </w:r>
      <w:r>
        <w:rPr>
          <w:sz w:val="20"/>
          <w:szCs w:val="20"/>
          <w:color w:val="auto"/>
        </w:rPr>
        <w:tab/>
      </w:r>
      <w:r>
        <w:rPr>
          <w:rFonts w:ascii="Courier New" w:cs="Courier New" w:eastAsia="Courier New" w:hAnsi="Courier New"/>
          <w:sz w:val="18"/>
          <w:szCs w:val="18"/>
          <w:color w:val="auto"/>
        </w:rPr>
        <w:t>Environmental Matters.</w:t>
      </w:r>
      <w:r>
        <w:rPr>
          <w:sz w:val="20"/>
          <w:szCs w:val="20"/>
          <w:color w:val="auto"/>
        </w:rPr>
        <w:tab/>
      </w:r>
      <w:r>
        <w:rPr>
          <w:rFonts w:ascii="Courier New" w:cs="Courier New" w:eastAsia="Courier New" w:hAnsi="Courier New"/>
          <w:sz w:val="16"/>
          <w:szCs w:val="16"/>
          <w:color w:val="auto"/>
        </w:rPr>
        <w:t>Except as set forth on Schedule</w:t>
      </w:r>
    </w:p>
    <w:p>
      <w:pPr>
        <w:ind w:left="74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5.11 to the Micron Disclosure Schedule and except for matters that would not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reasonably be expected to have a Material Adverse Effect, to the knowledge of</w:t>
      </w:r>
    </w:p>
    <w:p>
      <w:pPr>
        <w:spacing w:after="0"/>
        <w:rPr>
          <w:sz w:val="20"/>
          <w:szCs w:val="20"/>
          <w:color w:val="auto"/>
        </w:rPr>
      </w:pPr>
      <w:r>
        <w:rPr>
          <w:rFonts w:ascii="Courier New" w:cs="Courier New" w:eastAsia="Courier New" w:hAnsi="Courier New"/>
          <w:sz w:val="18"/>
          <w:szCs w:val="18"/>
          <w:color w:val="auto"/>
        </w:rPr>
        <w:t>Micron, with respect to the Acquired Business:</w:t>
      </w:r>
    </w:p>
    <w:p>
      <w:pPr>
        <w:spacing w:after="0" w:line="206" w:lineRule="exact"/>
        <w:rPr>
          <w:sz w:val="20"/>
          <w:szCs w:val="20"/>
          <w:color w:val="auto"/>
        </w:rPr>
      </w:pPr>
    </w:p>
    <w:p>
      <w:pPr>
        <w:ind w:right="1779" w:firstLine="1061"/>
        <w:spacing w:after="0" w:line="237" w:lineRule="auto"/>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Acquired Business has not violated, and is not in violation of, any applicable Environmental Law and no notice, request for information, order, complaint or penalty has been received by Micron, and there are no judicial, administrative or other actions, suits or proceedings pending or threatened against Micron which allege a violation of any Environmental Law with respect to the Acquired Business;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6" w:name="page27"/>
    <w:bookmarkEnd w:id="26"/>
    <w:p>
      <w:pPr>
        <w:jc w:val="both"/>
        <w:ind w:right="177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has obtained or caused to be obtained all environmental permits necessary for the operation of the Acquired Assets to comply with all applicable Environmental Laws and Micron is in compliance with the terms of such permits and other applicable Environmental Laws;</w:t>
      </w:r>
    </w:p>
    <w:p>
      <w:pPr>
        <w:spacing w:after="0" w:line="207" w:lineRule="exact"/>
        <w:rPr>
          <w:rFonts w:ascii="Courier New" w:cs="Courier New" w:eastAsia="Courier New" w:hAnsi="Courier New"/>
          <w:sz w:val="18"/>
          <w:szCs w:val="18"/>
          <w:color w:val="auto"/>
        </w:rPr>
      </w:pPr>
    </w:p>
    <w:p>
      <w:pPr>
        <w:ind w:right="1999" w:firstLine="1167"/>
        <w:spacing w:after="0" w:line="237" w:lineRule="auto"/>
        <w:tabs>
          <w:tab w:leader="none" w:pos="15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Micron nor the Acquired Business has unlawfully discharged, disposed of or released, as those terms are defined in any Environmental Law, any Hazardous Substance on the Acquired Assets, or on any property now or previously owned, leased or used by the Acquired Business (including, without limitation, soils, surface and ground water, air, sewer systems and buildings) except for such discharge, disposal or release as would not have a material adverse effect on the Acquired Business; and</w:t>
      </w:r>
    </w:p>
    <w:p>
      <w:pPr>
        <w:spacing w:after="0" w:line="205" w:lineRule="exact"/>
        <w:rPr>
          <w:rFonts w:ascii="Courier New" w:cs="Courier New" w:eastAsia="Courier New" w:hAnsi="Courier New"/>
          <w:sz w:val="18"/>
          <w:szCs w:val="18"/>
          <w:color w:val="auto"/>
        </w:rPr>
      </w:pPr>
    </w:p>
    <w:p>
      <w:pPr>
        <w:ind w:left="1580" w:hanging="413"/>
        <w:spacing w:after="0"/>
        <w:tabs>
          <w:tab w:leader="none" w:pos="15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underground storage tanks for Hazardous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Substances, active or abandoned, present at the Acquired Assets, or at any property now or previously owned, leased or used by the Acquired Business, and Micron has not received any written notice of the presence of any such tanks, to the extent that any removal or remediation associated therewith would have a material adverse effect on such property.</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5.12. Purchase for Investment. Micron is acquiring the Shares and the PixTech Warrant for investment for its own account and not with a view to, or for sale in connection with, any distribution thereof.</w:t>
      </w:r>
    </w:p>
    <w:p>
      <w:pPr>
        <w:spacing w:after="0" w:line="209"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SECTION 5.13. Accredited Investor. Micron is an "accredited investor" as that term is defined in Rule 501(a)(8) of Regulation D as promulgated by the SEC under the Securities Act.</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5.14. Exempt from Registration; Restricted Securities. Micron understands that the sale of the Shares and the PixTech Warrant, and the shares of PixTech Common Stock issuable upon exercise of the PixTech Warrant, will not be registered under the Securities Act on the basis that the sale provided for in this Agreement is exempt from registration under of the Securities Act, and that the reliance of PixTech on such exemption is predicated in part on Micron's representations set forth in this Agreement. Micron understands that the Shares and the PixTech Warrant, and the shares of PixTech Common Stock issuable upon exercise of the PixTech Warrant, are restricted securities within the meaning of Rule 144 under the Act, and must be held indefinitely unless they are subsequently registered under the Securities Act or an exemption from such registration is available.</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5.15. Legends. Micron agrees that the Shares and the PixTech Warrant, and the shares of PixTech Common Stock issuable upon exercise of the PixTech Warrant, will bear legends and be subject to the restrictions on transfer as provided in the Stockholder Rights Agreement. In addition, Micron agrees that PixTech may place stop transfer orders with its transfer agents with respect to such instruments. The appropriate portion of the legend shall be removed in accordance with the provisions of the Stockholder Rights Agreement and the stop transfer orders shall be removed promptly upon delivery to PixTech of such satisfactory evidence as reasonably may be required by PixTech that such stop orders are not required to ensure compliance with the Securities Act.</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7" w:name="page28"/>
    <w:bookmarkEnd w:id="27"/>
    <w:p>
      <w:pPr>
        <w:ind w:left="640"/>
        <w:spacing w:after="0"/>
        <w:tabs>
          <w:tab w:leader="none" w:pos="1560" w:val="left"/>
          <w:tab w:leader="none" w:pos="2620" w:val="left"/>
          <w:tab w:leader="none" w:pos="3880" w:val="left"/>
        </w:tabs>
        <w:rPr>
          <w:sz w:val="20"/>
          <w:szCs w:val="20"/>
          <w:color w:val="auto"/>
        </w:rPr>
      </w:pPr>
      <w:r>
        <w:rPr>
          <w:rFonts w:ascii="Courier New" w:cs="Courier New" w:eastAsia="Courier New" w:hAnsi="Courier New"/>
          <w:sz w:val="18"/>
          <w:szCs w:val="18"/>
          <w:color w:val="auto"/>
        </w:rPr>
        <w:t>SECTION</w:t>
        <w:tab/>
        <w:t>5.16.</w:t>
      </w:r>
      <w:r>
        <w:rPr>
          <w:sz w:val="20"/>
          <w:szCs w:val="20"/>
          <w:color w:val="auto"/>
        </w:rPr>
        <w:tab/>
      </w:r>
      <w:r>
        <w:rPr>
          <w:rFonts w:ascii="Courier New" w:cs="Courier New" w:eastAsia="Courier New" w:hAnsi="Courier New"/>
          <w:sz w:val="18"/>
          <w:szCs w:val="18"/>
          <w:color w:val="auto"/>
        </w:rPr>
        <w:t>Employees.</w:t>
      </w:r>
      <w:r>
        <w:rPr>
          <w:sz w:val="20"/>
          <w:szCs w:val="20"/>
          <w:color w:val="auto"/>
        </w:rPr>
        <w:tab/>
      </w:r>
      <w:r>
        <w:rPr>
          <w:rFonts w:ascii="Courier New" w:cs="Courier New" w:eastAsia="Courier New" w:hAnsi="Courier New"/>
          <w:sz w:val="16"/>
          <w:szCs w:val="16"/>
          <w:color w:val="auto"/>
        </w:rPr>
        <w:t>Schedule 5.16 to the Micron Disclosure</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1053"/>
        <w:spacing w:after="0" w:line="268" w:lineRule="auto"/>
        <w:rPr>
          <w:sz w:val="20"/>
          <w:szCs w:val="20"/>
          <w:color w:val="auto"/>
        </w:rPr>
      </w:pPr>
      <w:r>
        <w:rPr>
          <w:rFonts w:ascii="Courier New" w:cs="Courier New" w:eastAsia="Courier New" w:hAnsi="Courier New"/>
          <w:sz w:val="16"/>
          <w:szCs w:val="16"/>
          <w:color w:val="auto"/>
        </w:rPr>
        <w:t>Schedule sets forth, solely with respect to the employees listed on Schedule 9.5 to the PixTech Disclosure Schedule, each such employee's title,</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years of service, current annual compensation, accrued and unpaid compensation, vacation and other amounts owed to such employee and the number and type of stock options held by each such employee (including the exercise price, vesting schedule and expiration date of each such option).</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REPRESENTATIONS AND WARRANTIES OF PIXTECH</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Except as disclosed in the disclosure schedule (the "PixTech Disclosure Schedule") dated the date hereof and delivered by PixTech to Micron in connection with this Agreement, PixTech represents and warrants to Micron that:</w:t>
      </w:r>
    </w:p>
    <w:p>
      <w:pPr>
        <w:spacing w:after="0" w:line="17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6.1. Corporate Existence and Power. PixTech is a corporation duly incorporated, validly existing and in good standing under the laws of Delaware and has all corporate powers and all governmental licenses, authorizations, permits, consents and approvals required to carry on its business as now conducted except those that the absence of which would not have a Material Adverse Effect and is duly qualified to do business as a foreign corporation and is in good standing in each jurisdiction where such qualification is necessary, except for those jurisdictions where the failure to be so qualified would not, individually or in the aggregate, have a Material Adverse Effect.</w:t>
      </w:r>
    </w:p>
    <w:p>
      <w:pPr>
        <w:spacing w:after="0" w:line="215"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SECTION 6.2. Corporate Authorization. PixTech has the requisite corporate power and authority to enter into this Agreement and the other Transaction Agreements to which it is a party and to perform its obligations hereunder and thereunder. Except as listed in Schedule 6.2 to the PixTech</w:t>
      </w:r>
    </w:p>
    <w:p>
      <w:pPr>
        <w:ind w:left="4860"/>
        <w:spacing w:after="0" w:line="234" w:lineRule="auto"/>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Disclosure Schedule, the execution and delivery of this Agreement and the other Transaction Agreements to which it is a party, and performance by PixTech of its obligations hereunder and thereunder, have been duly authorized by all necessary corporate action on the part of PixTech. This Agreement constitutes, and the Ancillary Agreements to which it is a party, when executed and delivered by PixTech, will constitute, valid and legally binding obligations of PixTech, enforceable against the PixTech in accordance with their respective terms, except (i) as may be limited by (x) applicable bankruptcy, insolvency, reorganization or others laws of general application relating to or affecting the enforcement of creditors' rights generally and (y) the effect of rules of law governing the availability of equitable remedies and (ii) as rights to indemnity or contribution may be limited under federal or state securities laws or by principles of public policy thereunder.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6.3. Governmental Authorization. No consent, approval, order or authorization of, or registration qualification, designation, declaration or filing with, any federal, state or local governmental authority on the part of PixTech is required in connection with the consummation of the transactions contemplated by this Agreement, except: (i) compliance with any applicable requirements of the HSR Act; (ii) compliance with any applicable requirements of the 1934 Act; and (iii) the filing of such qualifications or filings under the Securities Act and the regulations thereunder and all applicable state securities laws as may be required in connection with the transactions contemplated by this Agreement, including in connection with the issuance of the Shares and the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8" w:name="page29"/>
    <w:bookmarkEnd w:id="28"/>
    <w:p>
      <w:pPr>
        <w:ind w:right="1999"/>
        <w:spacing w:after="0" w:line="290" w:lineRule="auto"/>
        <w:rPr>
          <w:sz w:val="20"/>
          <w:szCs w:val="20"/>
          <w:color w:val="auto"/>
        </w:rPr>
      </w:pPr>
      <w:r>
        <w:rPr>
          <w:rFonts w:ascii="Courier New" w:cs="Courier New" w:eastAsia="Courier New" w:hAnsi="Courier New"/>
          <w:sz w:val="16"/>
          <w:szCs w:val="16"/>
          <w:color w:val="auto"/>
        </w:rPr>
        <w:t>PixTech Warrant, and the PixTech Stockholder Approval. All such qualifications and filings will have been made or be effective on the Closing.</w:t>
      </w:r>
    </w:p>
    <w:p>
      <w:pPr>
        <w:spacing w:after="0" w:line="170"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6.4. Noncontravention. The execution, delivery and performance by PixTech of each Transaction Agreement to which it is a party and the consummation of the transactions contemplated thereby do not and will not</w:t>
      </w:r>
    </w:p>
    <w:p>
      <w:pPr>
        <w:spacing w:after="0" w:line="6" w:lineRule="exact"/>
        <w:rPr>
          <w:sz w:val="20"/>
          <w:szCs w:val="20"/>
          <w:color w:val="auto"/>
        </w:rPr>
      </w:pPr>
    </w:p>
    <w:p>
      <w:pPr>
        <w:ind w:right="1779" w:firstLine="8"/>
        <w:spacing w:after="0" w:line="237"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receipt of the PixTech Stockholder Approval, violate the Restated Certificate of Incorporation or Bylaws of PixTech, (ii) assuming compliance with the governmental matters referred to in Section 6.3, violate in any material respect any applicable law, rule, regulation, judgment, injunction, order or decree, (iii) constitute a default under, or give rise to any right of termination, cancellation or acceleration of any right or obligation of PixTech or to a loss of any benefit to which PixTech is entitled under any provision of any material agreement or other instrument binding upon PixTech, or (iv) result in the creation or imposition of any Lien on any the assets of PixTech, except, in the case of clauses (ii) and (iii), individually and in the aggregate, as would not have a Material Adverse Effect.</w:t>
      </w:r>
    </w:p>
    <w:p>
      <w:pPr>
        <w:spacing w:after="0" w:line="210" w:lineRule="exact"/>
        <w:rPr>
          <w:sz w:val="20"/>
          <w:szCs w:val="20"/>
          <w:color w:val="auto"/>
        </w:rPr>
      </w:pPr>
    </w:p>
    <w:p>
      <w:pPr>
        <w:ind w:left="640"/>
        <w:spacing w:after="0"/>
        <w:tabs>
          <w:tab w:leader="none" w:pos="1560" w:val="left"/>
          <w:tab w:leader="none" w:pos="2720" w:val="left"/>
          <w:tab w:leader="none" w:pos="4840" w:val="left"/>
        </w:tabs>
        <w:rPr>
          <w:sz w:val="20"/>
          <w:szCs w:val="20"/>
          <w:color w:val="auto"/>
        </w:rPr>
      </w:pPr>
      <w:r>
        <w:rPr>
          <w:rFonts w:ascii="Courier New" w:cs="Courier New" w:eastAsia="Courier New" w:hAnsi="Courier New"/>
          <w:sz w:val="18"/>
          <w:szCs w:val="18"/>
          <w:color w:val="auto"/>
        </w:rPr>
        <w:t>SECTION</w:t>
        <w:tab/>
        <w:t>6.5.</w:t>
      </w:r>
      <w:r>
        <w:rPr>
          <w:sz w:val="20"/>
          <w:szCs w:val="20"/>
          <w:color w:val="auto"/>
        </w:rPr>
        <w:tab/>
      </w:r>
      <w:r>
        <w:rPr>
          <w:rFonts w:ascii="Courier New" w:cs="Courier New" w:eastAsia="Courier New" w:hAnsi="Courier New"/>
          <w:sz w:val="18"/>
          <w:szCs w:val="18"/>
          <w:color w:val="auto"/>
        </w:rPr>
        <w:t>Required Consents.</w:t>
      </w:r>
      <w:r>
        <w:rPr>
          <w:sz w:val="20"/>
          <w:szCs w:val="20"/>
          <w:color w:val="auto"/>
        </w:rPr>
        <w:tab/>
      </w:r>
      <w:r>
        <w:rPr>
          <w:rFonts w:ascii="Courier New" w:cs="Courier New" w:eastAsia="Courier New" w:hAnsi="Courier New"/>
          <w:sz w:val="16"/>
          <w:szCs w:val="16"/>
          <w:color w:val="auto"/>
        </w:rPr>
        <w:t>Schedule 6.5 to the PixTech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Disclosure Schedule sets forth each material agreement or other instrument binding upon PixTech requiring a consent or other action by any Person (the "PixTech Required Consents") as a result of the execution, delivery and performance of this Agreement, except such consents or actions as would not, individually or in the aggregate, have a Material Adverse Effect if not received or taken by the Closing. The PixTech Required Consents include the affirmative vote of a majority of the holders of PixTech Common Stock for (a) the increase of the Authorized Shares of Common Stock of PixTech as set forth in PixTech's Restated Certificate of Incorporation, (b) an increase in the number of shares authorized and reserved for issuance pursuant to PixTech's 1993 Stock Option Plan and (c) the issuance of the PixTech Common Stock to Micron as contemplated by this Agreement (collectively, the "PixTech Stockholder Approval"). PixTech has, prior to the date of this Agreement, provided Micron with a copy of the amendment to PixTech's Restated Certificate of Incorporation that will be the subject of the PixTech Stockholder Approval.</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Filings.</w:t>
      </w:r>
    </w:p>
    <w:p>
      <w:pPr>
        <w:spacing w:after="0" w:line="200" w:lineRule="exact"/>
        <w:rPr>
          <w:sz w:val="20"/>
          <w:szCs w:val="20"/>
          <w:color w:val="auto"/>
        </w:rPr>
      </w:pPr>
    </w:p>
    <w:p>
      <w:pPr>
        <w:sectPr>
          <w:pgSz w:w="11900" w:h="16838" w:orient="portrait"/>
          <w:cols w:equalWidth="0" w:num="3">
            <w:col w:w="1380" w:space="200"/>
            <w:col w:w="340" w:space="720"/>
            <w:col w:w="7579"/>
          </w:cols>
          <w:pgMar w:left="240" w:top="723" w:right="1440" w:bottom="1440" w:gutter="0" w:footer="0" w:header="0"/>
          <w:type w:val="continuous"/>
        </w:sectPr>
      </w:pPr>
    </w:p>
    <w:p>
      <w:pPr>
        <w:spacing w:after="0" w:line="24" w:lineRule="exact"/>
        <w:rPr>
          <w:sz w:val="20"/>
          <w:szCs w:val="20"/>
          <w:color w:val="auto"/>
        </w:rPr>
      </w:pPr>
    </w:p>
    <w:p>
      <w:pPr>
        <w:ind w:left="1580" w:hanging="624"/>
        <w:spacing w:after="0"/>
        <w:tabs>
          <w:tab w:leader="none" w:pos="1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PixTech has furnished or made available to Micron prior</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 the date hereof copies of its Annual Report on Form 10-K for the fiscal year ended December 31, 1998 (the "PixTech Form 10-K"), its Quarterly Reports on Form 10-Q for the fiscal quarters ended March 31, 1998, June 30, 1998 and September 30, 1998 (the "PixTech Form 10-Q's") and its Annual Report on Form 10-K for the fiscal year ended December 31, 1997 (the "PixTech 1997 Form 10-K"), and all other registration statements, reports and proxy statements filed by PixTech with the SEC on or after December 31, 1998 (the PixTech Form 10-K, the PixTech Form 10-Q's, the PixTech 1997 Form 10-K and such registration statements, reports and proxy statements are collectively referred to herein as the "PixTech SEC Documents"). Each of the PixTech SEC Documents, as of the respective date thereof (or if amended or superseded by a filing prior to the closing date of this Agreement, then on the date of such filing), did not, and each of the registration statements, reports and proxy statements filed by PixTech with the SEC after the date hereof and prior to the Closing will not, as of the date thereof (or if amended or superseded by a filing prior to the date of this</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type w:val="continuous"/>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Agreement, then on the date of such filing), contain any untrue statement of a material fact or omit to state a material fact necessary in order to make the statements made therein, in light of the circumstances under which they were made, not misleading. PixTech is not a party to any material contract, agreement or other arrangement which was required to have been filed as an exhibit to the PixTech SEC Documents that was not so filed.</w:t>
      </w:r>
    </w:p>
    <w:p>
      <w:pPr>
        <w:spacing w:after="0" w:line="204" w:lineRule="exact"/>
        <w:rPr>
          <w:sz w:val="20"/>
          <w:szCs w:val="20"/>
          <w:color w:val="auto"/>
        </w:rPr>
      </w:pPr>
    </w:p>
    <w:p>
      <w:pPr>
        <w:ind w:left="1800" w:hanging="739"/>
        <w:spacing w:after="0"/>
        <w:tabs>
          <w:tab w:leader="none" w:pos="18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The SEC Documents include PixTech's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audited financial statements for the fiscal year ended December 31, 1998 (the "PixTech Balance Sheet Date"). Since the PixTech Balance Sheet Date, PixTech has duly filed with the SEC all registration statements, reports and proxy statements required to be filed by it under the Exchange Act and the Securities Act. The audited and unaudited consolidated financial statements of PixTech included in the SEC Documents filed prior to the date hereof fairly present, in conformity with generally accepted accounting principles ("GAAP") (except as permitted by Form 10-Q) applied on a consistent basis (except as may be indicated in such financial statements or the notes thereto), the consolidated financial position of PixTech and its consolidated Subsidiaries as at the dates thereof and the consolidated results of their operations and cash flows for the periods then ended (subject to normal year-end audit adjustments in the case of unaudited interim financial statements).</w:t>
      </w:r>
    </w:p>
    <w:p>
      <w:pPr>
        <w:spacing w:after="0" w:line="207" w:lineRule="exact"/>
        <w:rPr>
          <w:sz w:val="20"/>
          <w:szCs w:val="20"/>
          <w:color w:val="auto"/>
        </w:rPr>
      </w:pPr>
    </w:p>
    <w:p>
      <w:pPr>
        <w:ind w:left="1800" w:hanging="739"/>
        <w:spacing w:after="0"/>
        <w:tabs>
          <w:tab w:leader="none" w:pos="18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Since PixTech Balance Sheet.  Since</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PixTech Balance Sheet Date, except as disclosed in or contemplated by the PixTech SEC Documents, the business and operations of PixTech have been conducted in the ordinary course consistent with past practice, and there has not been:</w:t>
      </w:r>
    </w:p>
    <w:p>
      <w:pPr>
        <w:spacing w:after="0" w:line="207" w:lineRule="exact"/>
        <w:rPr>
          <w:sz w:val="20"/>
          <w:szCs w:val="20"/>
          <w:color w:val="auto"/>
        </w:rPr>
      </w:pPr>
    </w:p>
    <w:p>
      <w:pPr>
        <w:ind w:left="2120" w:right="1779" w:hanging="532"/>
        <w:spacing w:after="0" w:line="237" w:lineRule="auto"/>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of the assets of PixTech with respect to any shares of capital stock of PixTech or any repurchase, redemption or other acquisition by PixTech or any Subsidiary of PixTech of any outstanding shares of PixTech capital stock;</w:t>
      </w:r>
    </w:p>
    <w:p>
      <w:pPr>
        <w:spacing w:after="0" w:line="209" w:lineRule="exact"/>
        <w:rPr>
          <w:rFonts w:ascii="Courier New" w:cs="Courier New" w:eastAsia="Courier New" w:hAnsi="Courier New"/>
          <w:sz w:val="18"/>
          <w:szCs w:val="18"/>
          <w:color w:val="auto"/>
        </w:rPr>
      </w:pPr>
    </w:p>
    <w:p>
      <w:pPr>
        <w:ind w:left="2120" w:right="1999" w:hanging="637"/>
        <w:spacing w:after="0" w:line="237" w:lineRule="auto"/>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destruction or loss, whether or not covered by insurance, except for such occurrences that have not resulted, and are not expected to result, in a Material Adverse Effect;</w:t>
      </w:r>
    </w:p>
    <w:p>
      <w:pPr>
        <w:spacing w:after="0" w:line="207" w:lineRule="exact"/>
        <w:rPr>
          <w:rFonts w:ascii="Courier New" w:cs="Courier New" w:eastAsia="Courier New" w:hAnsi="Courier New"/>
          <w:sz w:val="18"/>
          <w:szCs w:val="18"/>
          <w:color w:val="auto"/>
        </w:rPr>
      </w:pPr>
    </w:p>
    <w:p>
      <w:pPr>
        <w:ind w:left="2120" w:right="1999" w:hanging="637"/>
        <w:spacing w:after="0" w:line="237" w:lineRule="auto"/>
        <w:tabs>
          <w:tab w:leader="none" w:pos="21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by PixTech of a valuable right or of a material debt owed to it, except for such waivers that have not resulted and are not expected to result, in a Material Adverse Effect;</w:t>
      </w:r>
    </w:p>
    <w:p>
      <w:pPr>
        <w:spacing w:after="0" w:line="207"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or amendment to, or any waiver of any material rights under a material contract or arrangement by which PixTech or any of its assets or properties is bound or subject, except for changes, amendments or waivers that are expressly provided for or disclosed in this Agreement or that have not resulted, and are not expected to result, in a Material Adverse Effect;</w:t>
      </w:r>
    </w:p>
    <w:p>
      <w:pPr>
        <w:spacing w:after="0" w:line="211" w:lineRule="exact"/>
        <w:rPr>
          <w:rFonts w:ascii="Courier New" w:cs="Courier New" w:eastAsia="Courier New" w:hAnsi="Courier New"/>
          <w:sz w:val="18"/>
          <w:szCs w:val="18"/>
          <w:color w:val="auto"/>
        </w:rPr>
      </w:pPr>
    </w:p>
    <w:p>
      <w:pPr>
        <w:jc w:val="both"/>
        <w:ind w:left="2120" w:right="1879" w:hanging="427"/>
        <w:spacing w:after="0" w:line="237" w:lineRule="auto"/>
        <w:tabs>
          <w:tab w:leader="none" w:pos="21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by PixTech in its accounting principles, methods or practices or in the manner it keeps its accounting books and records, except any such change required by a change in GAAP; and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0" w:name="page31"/>
    <w:bookmarkEnd w:id="30"/>
    <w:p>
      <w:pPr>
        <w:ind w:left="2120" w:right="1879" w:hanging="532"/>
        <w:spacing w:after="0" w:line="279" w:lineRule="auto"/>
        <w:tabs>
          <w:tab w:leader="none" w:pos="21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or condition of any character, except for such events and conditions that have not resulted, either individually or collectively, in a Material Adverse Effect.</w:t>
      </w:r>
    </w:p>
    <w:p>
      <w:pPr>
        <w:spacing w:after="0" w:line="172" w:lineRule="exact"/>
        <w:rPr>
          <w:rFonts w:ascii="Courier New" w:cs="Courier New" w:eastAsia="Courier New" w:hAnsi="Courier New"/>
          <w:sz w:val="16"/>
          <w:szCs w:val="16"/>
          <w:color w:val="auto"/>
        </w:rPr>
      </w:pPr>
    </w:p>
    <w:p>
      <w:pPr>
        <w:ind w:left="1800" w:hanging="739"/>
        <w:spacing w:after="0"/>
        <w:tabs>
          <w:tab w:leader="none" w:pos="18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S-3 Eligibility.  PixTech meets the eligibility requirements</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set forth in paragraph I of the General Instructions to Form S-3 for the use of such Form for the registration of securities in a transaction involving secondary offerings, as described in such General Instructions.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6.7. Capitalization. The authorized and outstanding capital stock of PixTech as of the date hereof, without giving effect to the transactions contemplated by this Agreement, the authorized capital stock of PixTech consists of (a) 30,000,000 shares of common stock, $0.01 par value per share, of which 15,150,329 shares were validly issued and outstanding, fully paid and non-assessable as of March 3, 1999, (b) 500,000 shares of Series E Preferred Stock, $0.01 par value per share, of which 367,269 shares are validly issued and outstanding, fully paid and non-assessable, and (c) 500,000 shares of undesignated preferred stock, $0.01 par value per share, none of which are issued and outstanding. All outstanding shares of capital stock have been duly authorized, and all such issued and outstanding shares have been validly issued and are fully paid and nonassessable. Schedule 6.7 to the PixTech Disclosure</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Schedule or the PixTech SEC Documents include information regarding equity securities reserved for issuance to officers, directors, employees or independent contractors or affiliates of PixTech under PixTech's employee stock option and purchase plans and upon conversion of convertible securities. Except as set forth in Schedule 6.7 to the PixTech Disclosure Schedule or the PixTech</w:t>
      </w:r>
    </w:p>
    <w:p>
      <w:pPr>
        <w:ind w:left="1700"/>
        <w:spacing w:after="0" w:line="234"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SEC Documents,</w:t>
            </w:r>
          </w:p>
        </w:tc>
        <w:tc>
          <w:tcPr>
            <w:tcW w:w="2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there are no other</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equity</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securities,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options, warrants, calls,</w:t>
            </w: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rights, commitments or agreements</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any</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character to which PixTech is a party</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by which it</w:t>
            </w:r>
          </w:p>
        </w:tc>
        <w:tc>
          <w:tcPr>
            <w:tcW w:w="4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8"/>
              </w:rPr>
              <w:t>is bound obligating PixTech to issue,</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deliver, sell, repurchase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redeem, or</w:t>
            </w:r>
          </w:p>
        </w:tc>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cause to be issued,</w:t>
            </w:r>
          </w:p>
        </w:tc>
        <w:tc>
          <w:tcPr>
            <w:tcW w:w="4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delivered, sold, repurchased or redeemed, any</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of the</w:t>
            </w:r>
          </w:p>
        </w:tc>
        <w:tc>
          <w:tcPr>
            <w:tcW w:w="4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capital stock of PixTech or obligating</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PixTech to grant, extend or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enter into any</w:t>
            </w:r>
          </w:p>
        </w:tc>
        <w:tc>
          <w:tcPr>
            <w:tcW w:w="696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such equity security, option, warrant, call, right, commitment or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6.8.</w:t>
            </w:r>
          </w:p>
        </w:tc>
        <w:tc>
          <w:tcPr>
            <w:tcW w:w="612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7"/>
              </w:rPr>
              <w:t>Valid Issuance of Securities.  Following receipt of the</w:t>
            </w: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PixTech Stockholder Approval, the</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and the shares of PixTech Common Stock</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issuable upon</w:t>
            </w:r>
          </w:p>
        </w:tc>
        <w:tc>
          <w:tcPr>
            <w:tcW w:w="69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exercise of the PixTech Warrant will be duly authorized and</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reserved and,</w:t>
            </w:r>
          </w:p>
        </w:tc>
        <w:tc>
          <w:tcPr>
            <w:tcW w:w="2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when delivered to and paid</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by Micron in accordance with the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provisions of</w:t>
            </w:r>
          </w:p>
        </w:tc>
        <w:tc>
          <w:tcPr>
            <w:tcW w:w="2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this Agreement and (in the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case of the</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of PixTech Common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Stock issuable</w:t>
            </w:r>
          </w:p>
        </w:tc>
        <w:tc>
          <w:tcPr>
            <w:tcW w:w="4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8"/>
              </w:rPr>
              <w:t>upon exercise of the PixTech Warrant)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Warrant Agreement, will</w:t>
            </w:r>
          </w:p>
        </w:tc>
      </w:tr>
      <w:tr>
        <w:trPr>
          <w:trHeight w:val="203"/>
        </w:trPr>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be validly issued, fully paid and</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non-assessable.</w:t>
            </w:r>
          </w:p>
        </w:tc>
        <w:tc>
          <w:tcPr>
            <w:tcW w:w="2900" w:type="dxa"/>
            <w:vAlign w:val="bottom"/>
          </w:tcPr>
          <w:p>
            <w:pPr>
              <w:spacing w:after="0"/>
              <w:rPr>
                <w:sz w:val="17"/>
                <w:szCs w:val="17"/>
                <w:color w:val="auto"/>
              </w:rPr>
            </w:pPr>
          </w:p>
        </w:tc>
      </w:tr>
    </w:tbl>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6.9. Compliance with Securities Laws. Assuming the accuracy of the representations made by Micron in Section 5 hereof, the Shares and the shares of PixTech Common Stock issuable upon exercise of the PixTech Warrant will be issued to Micron in compliance with applicable exemptions from (i) the registration and prospectus delivery requirements of the Securities Act and (ii) the registration and qualification requirements of all applicable securities laws of the states of the United States.</w:t>
      </w:r>
    </w:p>
    <w:p>
      <w:pPr>
        <w:spacing w:after="0" w:line="205" w:lineRule="exact"/>
        <w:rPr>
          <w:sz w:val="20"/>
          <w:szCs w:val="20"/>
          <w:color w:val="auto"/>
        </w:rPr>
      </w:pPr>
    </w:p>
    <w:p>
      <w:pPr>
        <w:ind w:left="640"/>
        <w:spacing w:after="0"/>
        <w:tabs>
          <w:tab w:leader="none" w:pos="1560" w:val="left"/>
          <w:tab w:leader="none" w:pos="2520" w:val="left"/>
          <w:tab w:leader="none" w:pos="3880" w:val="left"/>
        </w:tabs>
        <w:rPr>
          <w:sz w:val="20"/>
          <w:szCs w:val="20"/>
          <w:color w:val="auto"/>
        </w:rPr>
      </w:pPr>
      <w:r>
        <w:rPr>
          <w:rFonts w:ascii="Courier New" w:cs="Courier New" w:eastAsia="Courier New" w:hAnsi="Courier New"/>
          <w:sz w:val="18"/>
          <w:szCs w:val="18"/>
          <w:color w:val="auto"/>
        </w:rPr>
        <w:t>SECTION</w:t>
        <w:tab/>
        <w:t>6.10</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6"/>
          <w:szCs w:val="16"/>
          <w:color w:val="auto"/>
        </w:rPr>
        <w:t>Except as set forth in Schedule 6.10 to the</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PixTech Disclosure Schedule, there is no action, suit, investigation or</w:t>
      </w:r>
    </w:p>
    <w:p>
      <w:pPr>
        <w:spacing w:after="0" w:line="237" w:lineRule="auto"/>
        <w:rPr>
          <w:sz w:val="20"/>
          <w:szCs w:val="20"/>
          <w:color w:val="auto"/>
        </w:rPr>
      </w:pPr>
      <w:r>
        <w:rPr>
          <w:rFonts w:ascii="Courier New" w:cs="Courier New" w:eastAsia="Courier New" w:hAnsi="Courier New"/>
          <w:sz w:val="18"/>
          <w:szCs w:val="18"/>
          <w:color w:val="auto"/>
        </w:rPr>
        <w:t>proceeding pending against, or to the knowledge of PixTech, threatened against</w:t>
      </w:r>
    </w:p>
    <w:p>
      <w:pPr>
        <w:spacing w:after="0" w:line="238" w:lineRule="auto"/>
        <w:rPr>
          <w:sz w:val="20"/>
          <w:szCs w:val="20"/>
          <w:color w:val="auto"/>
        </w:rPr>
      </w:pPr>
      <w:r>
        <w:rPr>
          <w:rFonts w:ascii="Courier New" w:cs="Courier New" w:eastAsia="Courier New" w:hAnsi="Courier New"/>
          <w:sz w:val="18"/>
          <w:szCs w:val="18"/>
          <w:color w:val="auto"/>
        </w:rPr>
        <w:t>or affecting PixTech before any court or arbitrator or any governmental</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31" w:name="page32"/>
    <w:bookmarkEnd w:id="31"/>
    <w:p>
      <w:pPr>
        <w:ind w:right="2199"/>
        <w:spacing w:after="0" w:line="236" w:lineRule="auto"/>
        <w:rPr>
          <w:sz w:val="20"/>
          <w:szCs w:val="20"/>
          <w:color w:val="auto"/>
        </w:rPr>
      </w:pPr>
      <w:r>
        <w:rPr>
          <w:rFonts w:ascii="Courier New" w:cs="Courier New" w:eastAsia="Courier New" w:hAnsi="Courier New"/>
          <w:sz w:val="18"/>
          <w:szCs w:val="18"/>
          <w:color w:val="auto"/>
        </w:rPr>
        <w:t>body, agency or official which in any manner challenges or seeks to prevent, enjoin, alter or materially delay the transactions contemplated by this Agreement.</w:t>
      </w:r>
    </w:p>
    <w:p>
      <w:pPr>
        <w:spacing w:after="0" w:line="209" w:lineRule="exact"/>
        <w:rPr>
          <w:sz w:val="20"/>
          <w:szCs w:val="20"/>
          <w:color w:val="auto"/>
        </w:rPr>
      </w:pPr>
    </w:p>
    <w:p>
      <w:pPr>
        <w:ind w:left="1580" w:right="1779" w:hanging="6109"/>
        <w:spacing w:after="0" w:line="235" w:lineRule="auto"/>
        <w:tabs>
          <w:tab w:leader="none" w:pos="1560" w:val="left"/>
        </w:tabs>
        <w:rPr>
          <w:sz w:val="20"/>
          <w:szCs w:val="20"/>
          <w:color w:val="auto"/>
        </w:rPr>
      </w:pPr>
      <w:r>
        <w:rPr>
          <w:rFonts w:ascii="Courier New" w:cs="Courier New" w:eastAsia="Courier New" w:hAnsi="Courier New"/>
          <w:sz w:val="18"/>
          <w:szCs w:val="18"/>
          <w:color w:val="auto"/>
        </w:rPr>
        <w:t>SECTION</w:t>
        <w:tab/>
        <w:t>6.11. Finders' Fees. Except as set forth in Schedule 6.11 to -------------</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PixTech Disclosure Schedule, there is no investment banker, broker, finder or other intermediary which has been retained by or is authorized to act on behalf of PixTech who might be entitled to any fee or commission from Micron upon consummation of the transactions contemplated by this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6.12. Full Disclosure. The information contained in this Agreement, the PixTech Disclosure Schedule and the PixTech SEC Documents with respect to the business, operations, results of operations and financial condition of PixTech, and the transactions contemplated by this Agreement are true and complete in all material respects and do not omit to state any material fact necessary in order to make the statements therein, in light of the circumstances under which they were made, not misleading.</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6.13. Investment Company Act. PixTech is not an "investment company" or a company "controlled" by an "investment company" within the meaning of the Investment Company Act of 1940, as amended (the "1940 Act"), and PixTech will not be required to register as an "investment company" as a result of the transactions contemplated herein.</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6.14. No Investment Advisor Affiliation. PixTech is not an "investment advisor," "affiliated company" or an "affiliated person" of an "investment advisor" within the meaning of the 1940 Act.</w:t>
      </w:r>
    </w:p>
    <w:p>
      <w:pPr>
        <w:spacing w:after="0" w:line="209"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SECTION 6.15. Possession of Intellectual Property. Except as disclosed in reports filed with the SEC pursuant to the Exchange Act, PixTech owns or possesses, or can acquire on reasonable terms, adequate patents, patent rights, licenses, inventions, copyrights, know-how (including trade secrets and other unpatented proprietary or confidential information, systems or procedures), trademarks, service marks, trade names or other intellectual property (collectively, the "Intellectual Property") necessary to carry on the business now operated by PixTech and, except as disclosed in reports filed with the SEC pursuant to the Exchange Act, PixTech has not received or is otherwise aware of any infringement of or conflict with asserted rights of others with respect to any Intellectual Property or of any facts or circumstances which would render any Intellectual Property invalid or inadequate to protect the interest of PixTech, and which infringement or conflict (if the subject of any unfavorable decision, ruling or finding) or invalidity or inadequacy, singly or in the aggregate, would result in a Material Adverse Effect.</w:t>
      </w:r>
    </w:p>
    <w:p>
      <w:pPr>
        <w:spacing w:after="0" w:line="38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6.16. Possession of Licenses and Permits. PixTech possesses such permits, licenses, consents and other authorizations (collectively, "Governmental Licenses") issued by the appropriate federal, state, local or foreign regulatory agencies or bodies necessary to conduct the business now operated by it; PixTech is in compliance with the terms and conditions of all such Governmental Licenses, except where the failure to so comply would not, singly or in the aggregate, have a Material Adverse Effect; all of the Governmental Licenses are valid and in full force and effect, except when the invalidity of such Governmental Licenses or the failure of such governmental</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Licenses to be in full force and effect would not have a Material Adverse Effect; and PixTech has not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2200" w:type="dxa"/>
            <w:vAlign w:val="bottom"/>
            <w:gridSpan w:val="4"/>
          </w:tcPr>
          <w:p>
            <w:pPr>
              <w:jc w:val="right"/>
              <w:ind w:right="372"/>
              <w:spacing w:after="0"/>
              <w:rPr>
                <w:sz w:val="20"/>
                <w:szCs w:val="20"/>
                <w:color w:val="auto"/>
              </w:rPr>
            </w:pPr>
            <w:r>
              <w:rPr>
                <w:rFonts w:ascii="Courier New" w:cs="Courier New" w:eastAsia="Courier New" w:hAnsi="Courier New"/>
                <w:sz w:val="18"/>
                <w:szCs w:val="18"/>
                <w:color w:val="auto"/>
              </w:rPr>
              <w:t>SECTION  6.17.</w:t>
            </w:r>
          </w:p>
        </w:tc>
        <w:tc>
          <w:tcPr>
            <w:tcW w:w="202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9"/>
              </w:rPr>
              <w:t>Taxes. PixTech has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filed or caused</w:t>
            </w:r>
          </w:p>
        </w:tc>
        <w:tc>
          <w:tcPr>
            <w:tcW w:w="1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to be filed all</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Tax Returns</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c>
          <w:tcPr>
            <w:tcW w:w="2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to the knowledge of</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PixTech,</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are required to</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 filed</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by it,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paid all Taxes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shown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payable on said returns or on any</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Tax</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assessments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made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against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 or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property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3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all other Taxes imposed on it by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any</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governmental</w:t>
            </w:r>
          </w:p>
        </w:tc>
        <w:tc>
          <w:tcPr>
            <w:tcW w:w="32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authority in the jurisdictions</w:t>
            </w:r>
          </w:p>
        </w:tc>
        <w:tc>
          <w:tcPr>
            <w:tcW w:w="3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in which it operates, except for</w:t>
            </w:r>
          </w:p>
        </w:tc>
      </w:tr>
    </w:tbl>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such Taxes and assessments (i) the amount of which is not individually or in the aggregate material to the business or operations of PixTech or (ii) the amount, applicability or validity of which is currently being contested in good faith by appropriate proceedings and with respect to which PixTech has established adequate reserves in accordance with generally accepted accounting principles, and (b) provided adequate accruals in all material respects in accordance with GAAP in its financial statements for any taxes that have not been paid, whether or not shown on as being due on any returns.</w:t>
      </w: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VII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COVENANTS OF MICRON WITH RESPECT TO ACQUIRED BUSINESS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Micron agrees that:</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7.1. Conduct of the Acquired Business. From the date hereof until the Closing Date, Micron shall conduct the Acquired Business in the ordinary course consistent with past practice, (except to the extent Micron</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believes it is necessary or prudent to reduce or limit the scale of the Acquired Business as contemplated by this Agreement) and use reasonable efforts to preserve intact the Acquired Assets and relationships with third parties. From the date hereof to the Closing Date, Micron shall consult with PixTech from time to time concerning any proposed activities that could reasonably be expected to have a material effect on the Acquired Business. Without limiting the generality of the foregoing, from the date hereof until the Closing Date, except as disclosed on Schedule 7.1 to the Micron Disclosure Schedule, Micron will not,</w:t>
      </w:r>
    </w:p>
    <w:p>
      <w:pPr>
        <w:ind w:left="1380"/>
        <w:spacing w:after="0" w:line="235"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with respect to the Acquired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right="2099" w:hanging="624"/>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encumber or license (except pursuant to existing contracts or commitments), or sell, lease, license or otherwise dispose of, any material assets or property, in each case except in the ordinary course consistent with past practice;</w:t>
      </w:r>
    </w:p>
    <w:p>
      <w:pPr>
        <w:spacing w:after="0" w:line="207" w:lineRule="exact"/>
        <w:rPr>
          <w:rFonts w:ascii="Courier New" w:cs="Courier New" w:eastAsia="Courier New" w:hAnsi="Courier New"/>
          <w:sz w:val="18"/>
          <w:szCs w:val="18"/>
          <w:color w:val="auto"/>
        </w:rPr>
      </w:pPr>
    </w:p>
    <w:p>
      <w:pPr>
        <w:ind w:left="1580" w:right="2519" w:hanging="624"/>
        <w:spacing w:after="0" w:line="235"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partnership arrangements, joint development agreements or strategic alliances;</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or agree to acquire by merging or consolidating with,</w:t>
      </w:r>
    </w:p>
    <w:p>
      <w:pPr>
        <w:spacing w:after="0" w:line="4" w:lineRule="exact"/>
        <w:rPr>
          <w:rFonts w:ascii="Courier New" w:cs="Courier New" w:eastAsia="Courier New" w:hAnsi="Courier New"/>
          <w:sz w:val="18"/>
          <w:szCs w:val="18"/>
          <w:color w:val="auto"/>
        </w:rPr>
      </w:pPr>
    </w:p>
    <w:p>
      <w:pPr>
        <w:ind w:left="15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by purchasing any equity interest in or a material portion of the assets of, or by any other manner, any business or any corporation, partnership, association or other business organization or division thereof, or otherwise acquire or agree to acquire any material amount of operating assets;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33" w:name="page34"/>
    <w:bookmarkEnd w:id="33"/>
    <w:p>
      <w:pPr>
        <w:ind w:left="1580" w:right="2099" w:hanging="624"/>
        <w:spacing w:after="0" w:line="236"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indebtedness for borrowed or guarantee any such indebtedness (or enter any other guarantee, keep-well, capital maintenance or other similar agreement);</w:t>
      </w:r>
    </w:p>
    <w:p>
      <w:pPr>
        <w:spacing w:after="0" w:line="208" w:lineRule="exact"/>
        <w:rPr>
          <w:rFonts w:ascii="Courier New" w:cs="Courier New" w:eastAsia="Courier New" w:hAnsi="Courier New"/>
          <w:sz w:val="18"/>
          <w:szCs w:val="18"/>
          <w:color w:val="auto"/>
        </w:rPr>
      </w:pPr>
    </w:p>
    <w:p>
      <w:pPr>
        <w:ind w:left="1580" w:right="1879" w:hanging="624"/>
        <w:spacing w:after="0" w:line="236"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individual capital expenditure or commitment, or series of related capital expenditures or commitments, outside the ordinary course of business, exceeding $25,000; or</w:t>
      </w:r>
    </w:p>
    <w:p>
      <w:pPr>
        <w:spacing w:after="0" w:line="208" w:lineRule="exact"/>
        <w:rPr>
          <w:rFonts w:ascii="Courier New" w:cs="Courier New" w:eastAsia="Courier New" w:hAnsi="Courier New"/>
          <w:sz w:val="18"/>
          <w:szCs w:val="18"/>
          <w:color w:val="auto"/>
        </w:rPr>
      </w:pPr>
    </w:p>
    <w:p>
      <w:pPr>
        <w:ind w:left="1580" w:right="2619" w:hanging="624"/>
        <w:spacing w:after="0" w:line="235"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activities to expand the Small Area Display Business.</w:t>
      </w:r>
    </w:p>
    <w:p>
      <w:pPr>
        <w:spacing w:after="0" w:line="20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7.2. Access to Information, Confidentiality. From the date hereof until the Closing Date, subject to the provisions of the Nondisclosure Agreement dated January 26, 1999 between Micron and PixTech (the "Nondisclosure Agreement") and any other confidentiality, nondisclosure or applicable agreement to which PixTech is bound, Micron will (i) give PixTech, its counsel, financial advisors, auditors and other authorized representatives reasonable access to the offices, properties, books and records of the Acquired Business and to the books and records of Micron relating to the Acquired Business, (ii) furnish, for the Acquired Business, to PixTech, its counsel, financial advisors, auditors and other authorized representatives such financial and operating data and other information relating to the Acquired Business as such Persons may reasonably request and (iii) instruct its employees, counsel and financial advisors, to cooperate with PixTech in its investigation of the Acquired Business. Any investigation pursuant to this Section shall be conducted in such manner as not to interfere unreasonably with the conduct of the Acquired Business. Notwithstanding the foregoing, PixTech shall not have access to confidential information that relates to Micron as a whole, or to personnel records relating to the Acquired Business relating to individual performance or evaluation records except as to those individuals identified on Schedule 9.5 to the PixTech</w:t>
      </w:r>
    </w:p>
    <w:p>
      <w:pPr>
        <w:spacing w:after="0" w:line="18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Disclosure Schedule, medical histories or other information which in Micron's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 faith opinion is sensitive or the disclosure of which could subject Micron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risk of liability.</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SECTION</w:t>
        <w:tab/>
        <w:t>7.3.</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PixTech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 of Certain Events. Micron shall promptly notify</w:t>
      </w:r>
    </w:p>
    <w:p>
      <w:pPr>
        <w:spacing w:after="0" w:line="402" w:lineRule="exact"/>
        <w:rPr>
          <w:sz w:val="20"/>
          <w:szCs w:val="20"/>
          <w:color w:val="auto"/>
        </w:rPr>
      </w:pPr>
    </w:p>
    <w:p>
      <w:pPr>
        <w:sectPr>
          <w:pgSz w:w="11900" w:h="16838" w:orient="portrait"/>
          <w:cols w:equalWidth="0" w:num="2">
            <w:col w:w="2220" w:space="420"/>
            <w:col w:w="7579"/>
          </w:cols>
          <w:pgMar w:left="240" w:top="723" w:right="1440" w:bottom="1440" w:gutter="0" w:footer="0" w:header="0"/>
          <w:type w:val="continuous"/>
        </w:sectPr>
      </w:pPr>
    </w:p>
    <w:p>
      <w:pPr>
        <w:spacing w:after="0" w:line="24" w:lineRule="exact"/>
        <w:rPr>
          <w:sz w:val="20"/>
          <w:szCs w:val="20"/>
          <w:color w:val="auto"/>
        </w:rPr>
      </w:pPr>
    </w:p>
    <w:p>
      <w:pPr>
        <w:ind w:left="1580" w:right="1999" w:hanging="624"/>
        <w:spacing w:after="0" w:line="279" w:lineRule="auto"/>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Person alleging that the consent of such Person is or may be required in connection with the transactions contemplated by this Agreement;</w:t>
      </w:r>
    </w:p>
    <w:p>
      <w:pPr>
        <w:spacing w:after="0" w:line="178" w:lineRule="exact"/>
        <w:rPr>
          <w:rFonts w:ascii="Courier New" w:cs="Courier New" w:eastAsia="Courier New" w:hAnsi="Courier New"/>
          <w:sz w:val="16"/>
          <w:szCs w:val="16"/>
          <w:color w:val="auto"/>
        </w:rPr>
      </w:pPr>
    </w:p>
    <w:p>
      <w:pPr>
        <w:ind w:left="1580" w:right="2739" w:hanging="624"/>
        <w:spacing w:after="0" w:line="236"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 or regulatory agency or authority in connection with the transactions contemplated by this Agreement;</w:t>
      </w:r>
    </w:p>
    <w:p>
      <w:pPr>
        <w:spacing w:after="0" w:line="208" w:lineRule="exact"/>
        <w:rPr>
          <w:rFonts w:ascii="Courier New" w:cs="Courier New" w:eastAsia="Courier New" w:hAnsi="Courier New"/>
          <w:sz w:val="18"/>
          <w:szCs w:val="18"/>
          <w:color w:val="auto"/>
        </w:rPr>
      </w:pPr>
    </w:p>
    <w:p>
      <w:pPr>
        <w:ind w:left="1580" w:right="1779" w:hanging="624"/>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actions, suits, claims, investigations or proceedings commenced relating to the Acquired Business that, if pending on the date of this Agreement, would have been required to have been disclosed pursuant to Section 5.9; and</w:t>
      </w:r>
    </w:p>
    <w:p>
      <w:pPr>
        <w:spacing w:after="0" w:line="207" w:lineRule="exact"/>
        <w:rPr>
          <w:rFonts w:ascii="Courier New" w:cs="Courier New" w:eastAsia="Courier New" w:hAnsi="Courier New"/>
          <w:sz w:val="18"/>
          <w:szCs w:val="18"/>
          <w:color w:val="auto"/>
        </w:rPr>
      </w:pPr>
    </w:p>
    <w:p>
      <w:pPr>
        <w:ind w:left="1580" w:right="1879" w:hanging="624"/>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written notice or communication received from a material vendor or supplier that such vendor or supplier will no longer supply goods or services to Micron relating to the Acquired Business, or from any Transferred Employee that such employee is terminating his employment with Micron.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type w:val="continuous"/>
        </w:sectPr>
      </w:pPr>
    </w:p>
    <w:bookmarkStart w:id="34" w:name="page35"/>
    <w:bookmarkEnd w:id="34"/>
    <w:p>
      <w:pPr>
        <w:ind w:right="1879" w:firstLine="632"/>
        <w:spacing w:after="0" w:line="269" w:lineRule="auto"/>
        <w:rPr>
          <w:sz w:val="20"/>
          <w:szCs w:val="20"/>
          <w:color w:val="auto"/>
        </w:rPr>
      </w:pPr>
      <w:r>
        <w:rPr>
          <w:rFonts w:ascii="Courier New" w:cs="Courier New" w:eastAsia="Courier New" w:hAnsi="Courier New"/>
          <w:sz w:val="16"/>
          <w:szCs w:val="16"/>
          <w:color w:val="auto"/>
        </w:rPr>
        <w:t>SECTION 7.4. Covenant Not to Compete. Micron covenants and agrees that for a period of three (3) years following the Closing Date, Micron shall not, directly or indirectly, anywhere in the world (the "Territory") manufacture, fabricate or assemble field emission displays. Micron agrees that this restriction on competition shall be deemed to be a series of separate covenants not-to-compete for each year within the three-year period of non-competition and separate covenants not-to-compete for each state within the United States and each country in the world. If any court of competent jurisdiction shall determine the foregoing covenant to be unenforceable with respect to the term thereof or the scope of the subject matter or geography covered thereby, then such covenant shall nonetheless be enforceable by such court against such other party or upon such shorter term or within such lesser scope as may be determined by the court to be reasonable and enforceable. Notwithstanding the foregoing, Micron may: (i) acquire all or a controlling interest in, or all or a majority of the assets of, any Person engaged in the manufacture, fabrication or assembly of field emission displays, provided, however, that Micron shall use commercially reasonable efforts to promptly divest itself of or shutdown that portion of the operation of such Person engaged in the manufacture, fabrication or assembly of field emission displays;</w:t>
      </w:r>
    </w:p>
    <w:p>
      <w:pPr>
        <w:spacing w:after="0" w:line="192" w:lineRule="exact"/>
        <w:rPr>
          <w:sz w:val="20"/>
          <w:szCs w:val="20"/>
          <w:color w:val="auto"/>
        </w:rPr>
      </w:pPr>
    </w:p>
    <w:p>
      <w:pPr>
        <w:ind w:right="1779" w:firstLine="8"/>
        <w:spacing w:after="0" w:line="237"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up to 5% of the outstanding capital stock or other ownership interest in any Person engaged principally or otherwise in the manufacture, fabrication or assembly of field emission displays having a class of equity securities listed on any national or international securities exchange; (iii) buy field emission displays for its own internal use; and (iv) purchase field emission displays from another Person and resell such displays so long as Micron did not assist in the manufacture, fabrication or assembly of the purchased and resold field emission displays. The mere licensing of patents or other intellectual property by Micron, without more, shall not be deemed to be "assistance" in the manufacture, fabrication or assembly of field emission displays.</w:t>
      </w:r>
    </w:p>
    <w:p>
      <w:pPr>
        <w:spacing w:after="0" w:line="210" w:lineRule="exact"/>
        <w:rPr>
          <w:sz w:val="20"/>
          <w:szCs w:val="20"/>
          <w:color w:val="auto"/>
        </w:rPr>
      </w:pPr>
    </w:p>
    <w:p>
      <w:pPr>
        <w:ind w:left="640"/>
        <w:spacing w:after="0"/>
        <w:tabs>
          <w:tab w:leader="none" w:pos="1560" w:val="left"/>
          <w:tab w:leader="none" w:pos="2620" w:val="left"/>
        </w:tabs>
        <w:rPr>
          <w:sz w:val="20"/>
          <w:szCs w:val="20"/>
          <w:color w:val="auto"/>
        </w:rPr>
      </w:pPr>
      <w:r>
        <w:rPr>
          <w:rFonts w:ascii="Courier New" w:cs="Courier New" w:eastAsia="Courier New" w:hAnsi="Courier New"/>
          <w:sz w:val="18"/>
          <w:szCs w:val="18"/>
          <w:color w:val="auto"/>
        </w:rPr>
        <w:t>SECTION</w:t>
        <w:tab/>
        <w:t>7.5.</w:t>
      </w:r>
      <w:r>
        <w:rPr>
          <w:sz w:val="20"/>
          <w:szCs w:val="20"/>
          <w:color w:val="auto"/>
        </w:rPr>
        <w:tab/>
      </w:r>
      <w:r>
        <w:rPr>
          <w:rFonts w:ascii="Courier New" w:cs="Courier New" w:eastAsia="Courier New" w:hAnsi="Courier New"/>
          <w:sz w:val="16"/>
          <w:szCs w:val="16"/>
          <w:color w:val="auto"/>
        </w:rPr>
        <w:t>Transferred Employees. Micron covenants and agrees that</w:t>
      </w:r>
    </w:p>
    <w:p>
      <w:pPr>
        <w:spacing w:after="0" w:line="4" w:lineRule="exact"/>
        <w:rPr>
          <w:sz w:val="20"/>
          <w:szCs w:val="20"/>
          <w:color w:val="auto"/>
        </w:rPr>
      </w:pPr>
    </w:p>
    <w:p>
      <w:pPr>
        <w:ind w:right="1779" w:firstLine="8"/>
        <w:spacing w:after="0" w:line="271" w:lineRule="auto"/>
        <w:tabs>
          <w:tab w:leader="none" w:pos="42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PixTech's prior consent, it shall not increase the salary payable to any Transferred Employee prior to the Closing Date, and (b) as of the Closing Date, the only employees of the Display Division Business shall be the Transferred Employees. Micron hereby waives, effective on and after the Closing Date, any breach that would result under any agreement made by any Transferred Employee in favor of Micron not to compete with Micron, its business activities or otherwise, solely insofar as such breach arises by virtue of such Transferred Employee's employment by PixTech after the Closing Date.</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VIII</w:t>
      </w:r>
    </w:p>
    <w:p>
      <w:pPr>
        <w:ind w:left="3160"/>
        <w:spacing w:after="0" w:line="238" w:lineRule="auto"/>
        <w:rPr>
          <w:sz w:val="20"/>
          <w:szCs w:val="20"/>
          <w:color w:val="auto"/>
        </w:rPr>
      </w:pPr>
      <w:r>
        <w:rPr>
          <w:rFonts w:ascii="Courier New" w:cs="Courier New" w:eastAsia="Courier New" w:hAnsi="Courier New"/>
          <w:sz w:val="18"/>
          <w:szCs w:val="18"/>
          <w:color w:val="auto"/>
        </w:rPr>
        <w:t>COVENANTS OF PIXTECH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PixTech agrees that:</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SECTION 8.1. Stockholder Approval. PixTech will prepare and file with the SEC a proxy statement to its stockholders for the 1999 annual meeting of PixTech's stockholders to be held on or about April 27, 1999. Such proxy statement shall solicit to the PixTech Stockholder Approval. Such proxy statement will comply in all material respects with all applicable requirements of law and the rules and regulations promulgated thereunder. Prior to filing such proxy statement or any amendment thereto with the SEC, PixTech will afford Micron reasonable time to review and comment on those portions of such proxy statement or amendment that describe the transactions contemplated by this</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5" w:name="page36"/>
    <w:bookmarkEnd w:id="35"/>
    <w:p>
      <w:pPr>
        <w:ind w:right="1879"/>
        <w:spacing w:after="0" w:line="237" w:lineRule="auto"/>
        <w:rPr>
          <w:sz w:val="20"/>
          <w:szCs w:val="20"/>
          <w:color w:val="auto"/>
        </w:rPr>
      </w:pPr>
      <w:r>
        <w:rPr>
          <w:rFonts w:ascii="Courier New" w:cs="Courier New" w:eastAsia="Courier New" w:hAnsi="Courier New"/>
          <w:sz w:val="18"/>
          <w:szCs w:val="18"/>
          <w:color w:val="auto"/>
        </w:rPr>
        <w:t>Agreement. Whenever any event occurs that is required to be set forth in an amendment or supplement to such proxy statement, PixTech will promptly inform Micron of such occurrence and shall make such filings with the SEC or other appropriate governmental agencies and mail appropriate notice to its stockholders. Such proxy statement will include the recommendation of the Board of Directors of PixTech in favor of the Stockholder Approval (except that the Board of Directors of PixTech may withdraw, modify or refrain from making such recommendation to the extent that the Board determines, in good faith, after consultation with outside legal counsel, that compliance with the Board's fiduciary duties under applicable law would require it to do so).</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8.2.</w:t>
            </w:r>
          </w:p>
        </w:tc>
        <w:tc>
          <w:tcPr>
            <w:tcW w:w="1320" w:type="dxa"/>
            <w:vAlign w:val="bottom"/>
          </w:tcPr>
          <w:p>
            <w:pPr>
              <w:ind w:left="640"/>
              <w:spacing w:after="0"/>
              <w:rPr>
                <w:sz w:val="20"/>
                <w:szCs w:val="20"/>
                <w:color w:val="auto"/>
              </w:rPr>
            </w:pPr>
            <w:r>
              <w:rPr>
                <w:rFonts w:ascii="Courier New" w:cs="Courier New" w:eastAsia="Courier New" w:hAnsi="Courier New"/>
                <w:sz w:val="18"/>
                <w:szCs w:val="18"/>
                <w:color w:val="auto"/>
              </w:rPr>
              <w:t>Access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w w:val="97"/>
              </w:rPr>
              <w:t>to Information; Confidentiality.  Subject to the</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provision of the Nondisclosure Agreement, PixTech will, with respect to the</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Business,</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on and after</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Closing Date, afford promptly to Micron and</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its agents reasonable access to</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its properties, books, records, employees and</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auditors as may be</w:t>
            </w:r>
          </w:p>
        </w:tc>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and to the extent necessary to permit Micron to determine any</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matter relating to</w:t>
            </w:r>
          </w:p>
        </w:tc>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Micron's rights and obligations under this Agreement or with</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respect to the</w:t>
            </w:r>
          </w:p>
        </w:tc>
        <w:tc>
          <w:tcPr>
            <w:tcW w:w="1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Display Division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Business for any period ending on or before the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Date;</w:t>
            </w:r>
          </w:p>
        </w:tc>
        <w:tc>
          <w:tcPr>
            <w:tcW w:w="1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provided that any</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 access by Micron shall not unreasonably</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interfere with</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conduct of the business of PixTech.</w:t>
            </w:r>
          </w:p>
        </w:tc>
      </w:tr>
      <w:tr>
        <w:trPr>
          <w:trHeight w:val="405"/>
        </w:trPr>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rPr>
              <w:t>SECTION</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8.3.</w:t>
            </w:r>
          </w:p>
        </w:tc>
        <w:tc>
          <w:tcPr>
            <w:tcW w:w="64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Notices of Certain Events.  PixTech shall promptly</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notify Micron</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spacing w:after="0"/>
              <w:rPr>
                <w:sz w:val="17"/>
                <w:szCs w:val="17"/>
                <w:color w:val="auto"/>
              </w:rPr>
            </w:pPr>
          </w:p>
        </w:tc>
        <w:tc>
          <w:tcPr>
            <w:tcW w:w="5120" w:type="dxa"/>
            <w:vAlign w:val="bottom"/>
          </w:tcPr>
          <w:p>
            <w:pPr>
              <w:spacing w:after="0"/>
              <w:rPr>
                <w:sz w:val="17"/>
                <w:szCs w:val="17"/>
                <w:color w:val="auto"/>
              </w:rPr>
            </w:pPr>
          </w:p>
        </w:tc>
      </w:tr>
    </w:tbl>
    <w:p>
      <w:pPr>
        <w:spacing w:after="0" w:line="207" w:lineRule="exact"/>
        <w:rPr>
          <w:sz w:val="20"/>
          <w:szCs w:val="20"/>
          <w:color w:val="auto"/>
        </w:rPr>
      </w:pPr>
    </w:p>
    <w:p>
      <w:pPr>
        <w:ind w:left="1580" w:right="1999" w:hanging="624"/>
        <w:spacing w:after="0" w:line="279"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Person alleging that the consent of such Person is or may be required in connection with the transactions contemplated by this Agreement;</w:t>
      </w:r>
    </w:p>
    <w:p>
      <w:pPr>
        <w:spacing w:after="0" w:line="178" w:lineRule="exact"/>
        <w:rPr>
          <w:rFonts w:ascii="Courier New" w:cs="Courier New" w:eastAsia="Courier New" w:hAnsi="Courier New"/>
          <w:sz w:val="16"/>
          <w:szCs w:val="16"/>
          <w:color w:val="auto"/>
        </w:rPr>
      </w:pPr>
    </w:p>
    <w:p>
      <w:pPr>
        <w:ind w:left="1580" w:right="2739" w:hanging="624"/>
        <w:spacing w:after="0" w:line="236"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 or regulatory agency or authority in connection with the transactions contemplated by this Agreement; and</w:t>
      </w:r>
    </w:p>
    <w:p>
      <w:pPr>
        <w:spacing w:after="0" w:line="208" w:lineRule="exact"/>
        <w:rPr>
          <w:rFonts w:ascii="Courier New" w:cs="Courier New" w:eastAsia="Courier New" w:hAnsi="Courier New"/>
          <w:sz w:val="18"/>
          <w:szCs w:val="18"/>
          <w:color w:val="auto"/>
        </w:rPr>
      </w:pPr>
    </w:p>
    <w:p>
      <w:pPr>
        <w:ind w:left="1580" w:right="1999" w:hanging="624"/>
        <w:spacing w:after="0" w:line="237"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actions, suits, claims, investigations or proceedings commenced relating to PixTech or the Acquired Business that, if pending on the date of this Agreement, would have been required to have been disclosed pursuant to Section 6.10.</w:t>
      </w:r>
    </w:p>
    <w:p>
      <w:pPr>
        <w:spacing w:after="0" w:line="207" w:lineRule="exact"/>
        <w:rPr>
          <w:rFonts w:ascii="Courier New" w:cs="Courier New" w:eastAsia="Courier New" w:hAnsi="Courier New"/>
          <w:sz w:val="18"/>
          <w:szCs w:val="18"/>
          <w:color w:val="auto"/>
        </w:rPr>
      </w:pPr>
    </w:p>
    <w:p>
      <w:pPr>
        <w:ind w:left="1580" w:right="1779" w:hanging="624"/>
        <w:spacing w:after="0" w:line="237"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by the Board of Directors of PixTech to withdraw or modify its approval of this Agreement or the transactions contemplated hereby, or its recommendation to the stockholders of PixTech to grant the PixTech Stockholder Approval.</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8.4. Cooperation. PixTech covenants and agrees to cooperate with Micron as Micron may reasonably request, whether before, on or after the Closing Date, to enable such DARPA Contracts to be audited by DARPA and "closed out."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COVENANTS OF MICRON AND PIXTECH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Micron and PixTech each agree that: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6" w:name="page37"/>
    <w:bookmarkEnd w:id="36"/>
    <w:p>
      <w:pPr>
        <w:ind w:right="1879" w:firstLine="632"/>
        <w:spacing w:after="0" w:line="271" w:lineRule="auto"/>
        <w:rPr>
          <w:sz w:val="20"/>
          <w:szCs w:val="20"/>
          <w:color w:val="auto"/>
        </w:rPr>
      </w:pPr>
      <w:r>
        <w:rPr>
          <w:rFonts w:ascii="Courier New" w:cs="Courier New" w:eastAsia="Courier New" w:hAnsi="Courier New"/>
          <w:sz w:val="16"/>
          <w:szCs w:val="16"/>
          <w:color w:val="auto"/>
        </w:rPr>
        <w:t>SECTION 9.1. Commercially Reasonable Efforts; Further Assurances. Subject to the terms and conditions of this Agreement, Micron and PixTech will use their commercially reasonable efforts to take, or cause to be taken, all actions and to do, or cause to be done, all things necessary or desirable under applicable laws and regulations to consummate the transactions contemplated by this Agreement. Micron and PixTech agree to execute and deliver such other documents, certificates, agreements and other writings and to take such other actions as may be necessary or desirable in order to consummate or implement expeditiously the transactions contemplated by this Agreement.</w:t>
      </w:r>
    </w:p>
    <w:p>
      <w:pPr>
        <w:spacing w:after="0" w:line="38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SECTION 9.2. Certain Filings. Micron and PixTech shall cooperate with one another (i) in determining whether any action by or in respect of, or</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filing with, any governmental body, agency, official or authority is required, or any actions, consents, approvals or waivers are required to be obtained from parties to any material contracts, in connection with the consummation of the transactions contemplated by this Agreement , including pursuant to the HSR Act and (ii) in taking such actions or making any such filings, furnishing information required in connection therewith and seeking timely to obtain any such actions, consents, approvals or waivers.</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9.3. Public Announcements. The parties agree that the initial press release to be jointly issued by the parties with respect to the transactions contemplated by this Agreement shall be substantially and in all material respects in the form heretofore agreed to by the parties, and shall be released by the parties following the execution of this Agreement. The parties agree to consult with each other before issuing any subsequent press release or making any subsequent public statement with respect to this Agreement or the transactions contemplated hereby.</w:t>
      </w:r>
    </w:p>
    <w:p>
      <w:pPr>
        <w:spacing w:after="0" w:line="212"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SECTION 9.4. Required Consents. Each of Micron and PixTech shall use its commercially reasonable efforts to obtain prior to the Closing the Micron</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Required Consents and the PixTech Required Consents, respectively. Prior to the Closing, PixTech shall cooperate with Micron in connection with Micron's obtaining any Micron Required Consents, including the consent of the lenders under the Financing Agreements to PixTech's assumption of liabilities thereunder; and provided, however, that such cooperation of Micron and PixTech hereunder shall not include any requirement of Micron or PixTech to expend money, commence any litigation or offer or grant any accommodation (financial or otherwise) to any third party. Without limiting the foregoing, with respect to the consents listed in the list of "Miscellaneous Software Contracts -Transfers Subject to Vendor Consent" set forth in Schedule 5.5 to the Micron Disclosure Schedule, Micron will request that the applicable vendor consent to the assignment of each such contract. If the applicable vendor gives its consent unconditionally, then such contract shall be considered an Assumed Contract. If the applicable vendor gives its consent conditioned upon the payment of any fee, then Micron shall so notify PixTech, and if PixTech agrees within 10 days (or such shorter period as the vendor may require) to pay such fee, then upon payment of such fee, such contract shall be considered an Assumed Contract. If the applicable vendor does not give its consent, or such consent is subject to any condition other than the payment of a fee, then such contract shall not be considered an Assumed Contract.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7" w:name="page38"/>
    <w:bookmarkEnd w:id="37"/>
    <w:p>
      <w:pPr>
        <w:ind w:left="640"/>
        <w:spacing w:after="0"/>
        <w:tabs>
          <w:tab w:leader="none" w:pos="1560" w:val="left"/>
          <w:tab w:leader="none" w:pos="2520" w:val="left"/>
        </w:tabs>
        <w:rPr>
          <w:sz w:val="20"/>
          <w:szCs w:val="20"/>
          <w:color w:val="auto"/>
        </w:rPr>
      </w:pPr>
      <w:r>
        <w:rPr>
          <w:rFonts w:ascii="Courier New" w:cs="Courier New" w:eastAsia="Courier New" w:hAnsi="Courier New"/>
          <w:sz w:val="18"/>
          <w:szCs w:val="18"/>
          <w:color w:val="auto"/>
        </w:rPr>
        <w:t>SECTION</w:t>
        <w:tab/>
        <w:t>9.5.</w:t>
      </w:r>
      <w:r>
        <w:rPr>
          <w:sz w:val="20"/>
          <w:szCs w:val="20"/>
          <w:color w:val="auto"/>
        </w:rPr>
        <w:tab/>
      </w:r>
      <w:r>
        <w:rPr>
          <w:rFonts w:ascii="Courier New" w:cs="Courier New" w:eastAsia="Courier New" w:hAnsi="Courier New"/>
          <w:sz w:val="16"/>
          <w:szCs w:val="16"/>
          <w:color w:val="auto"/>
        </w:rPr>
        <w:t>Display Division Personnel.</w:t>
      </w:r>
    </w:p>
    <w:p>
      <w:pPr>
        <w:spacing w:after="0" w:line="201" w:lineRule="exact"/>
        <w:rPr>
          <w:sz w:val="20"/>
          <w:szCs w:val="20"/>
          <w:color w:val="auto"/>
        </w:rPr>
      </w:pPr>
    </w:p>
    <w:p>
      <w:pPr>
        <w:ind w:left="1580" w:hanging="519"/>
        <w:spacing w:after="0"/>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9.5 to the PixTech Disclosure Schedule identifies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approximately 40 employees of Display Division (the "Transferred Employees") to be offered employment by PixTech on terms substantially equivalent to the terms of their employment by Micron, except that each Transferred Employees will receive a salary from PixTech in an amount at least equal to the amount specified for such Transferred Employee, as a percentage of such Transferred Employee's current salary, in such Schedule. Micron agrees that it shall not offer employment to any Transferred Employee for a period of one year after the Closing Date. In addition, PixTech will establish a stock option pool in which the Transferred Employees will receive stock options for a total of 600,000 shares of PixTech Common Stock. Schedule 9.5 to the PixTech Disclosure Schedule</w:t>
      </w:r>
    </w:p>
    <w:p>
      <w:pPr>
        <w:ind w:left="338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also identifies the number of PixTech stock options to be received by each Transferred Employee from such stock option pool. The exercise price for the stock options will be the lesser of (i) the PixTech Closing Market Price and (b) the average closing price for PixTech Common Stock for the five trading days ending three trading days prior to the date of grant.</w:t>
      </w:r>
    </w:p>
    <w:p>
      <w:pPr>
        <w:spacing w:after="0" w:line="209" w:lineRule="exact"/>
        <w:rPr>
          <w:sz w:val="20"/>
          <w:szCs w:val="20"/>
          <w:color w:val="auto"/>
        </w:rPr>
      </w:pPr>
    </w:p>
    <w:p>
      <w:pPr>
        <w:ind w:right="1779" w:firstLine="1061"/>
        <w:spacing w:after="0" w:line="268" w:lineRule="auto"/>
        <w:tabs>
          <w:tab w:leader="none" w:pos="147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establish a [*] bonus pool to be allocated among the Transferred Employees who remain employed by PixTech as of the date which is six months after the Closing Date. The amount of the bonus to which each Transferred Employee will be entitled is set forth on Schedule 9.5 to the PixTech Disclosure</w:t>
      </w:r>
    </w:p>
    <w:p>
      <w:pPr>
        <w:ind w:left="444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Schedule. The scheduled bonus for any Transferred Employee who is not employed by PixTech at the end of the six month period will not be paid from such bonus pool, and such amount not paid shall not be used to increase the amount of any other Transferred Employee's bonus payable from such bonus pool. The bonuses will be payable by PixTech directly to the Transferred Employees, and Micron will reimburse PixTech for the aggregate amount of such bonuses paid (not to exceed [*] and to be paid in accordance with Schedule 9.5 to the PixTech</w:t>
      </w:r>
    </w:p>
    <w:p>
      <w:pPr>
        <w:ind w:left="47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Disclosure Schedule) within 10 business days after Micron receives evidence that such bonuses were paid.</w:t>
      </w:r>
    </w:p>
    <w:p>
      <w:pPr>
        <w:spacing w:after="0" w:line="208" w:lineRule="exact"/>
        <w:rPr>
          <w:sz w:val="20"/>
          <w:szCs w:val="20"/>
          <w:color w:val="auto"/>
        </w:rPr>
      </w:pPr>
    </w:p>
    <w:p>
      <w:pPr>
        <w:ind w:right="1879" w:firstLine="1061"/>
        <w:spacing w:after="0" w:line="270" w:lineRule="auto"/>
        <w:tabs>
          <w:tab w:leader="none" w:pos="158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Date, and thereafter while employed by PixTech, each Transferred Employee shall cease to be covered under Micron's employee benefit plan and instead shall become covered under PixTech's employee benefit plans. Micron and PixTech agree that PixTech shall provide or cause to be provided to each Transferred Employee all notices required to be provided under applicable law, except to the extent applicable law requires such notice to be provided by Micron. Micron agrees to use commercially reasonable efforts to assist PixTech in the transition of the Transferred Employees to coverage under PixTech's employee benefit plan including, at PixTech's request, allowing PixTech to hold, on a commercially reasonable basis, employee benefit plan open enrollment meetings with the Transferred Employees at least thirty (30) days prior to the Closing Date on Micron's premises.</w:t>
      </w:r>
    </w:p>
    <w:p>
      <w:pPr>
        <w:spacing w:after="0" w:line="390"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shall credit each Transferred Employee with all service with Micron prior to the Closing Date and with all amounts paid to each such employee prior to the Closing Date to the extent that service or pay is relevant under any employee benefit plan of PixTech for purposes of determining eligibility to participate, vesting and benefit accrual. PixTech shall also provide Transferred Employees with credit under its medical and dental employee benefit plans for deductible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1" w:lineRule="exact"/>
        <w:rPr>
          <w:rFonts w:ascii="Courier New" w:cs="Courier New" w:eastAsia="Courier New" w:hAnsi="Courier New"/>
          <w:sz w:val="18"/>
          <w:szCs w:val="18"/>
          <w:color w:val="auto"/>
        </w:rPr>
      </w:pPr>
    </w:p>
    <w:p>
      <w:pPr>
        <w:ind w:right="2319" w:firstLine="8"/>
        <w:spacing w:after="0" w:line="236" w:lineRule="auto"/>
        <w:tabs>
          <w:tab w:leader="none" w:pos="4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has been omitted and separately filed with the Commission. Confidential treatment requested with respect to the omitted portion.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and co-payment amounts made by the Transferred Employees under Micron's employee benefit plans prior to the Closing Date. Micron agrees to provide deductible and co-payment information with respect to the Transferred Employees as soon as is practicable following the Closing Date to effectuate such crediting of deductibles and co-payment amounts. Micron agrees to provide PixTech with service commencement date and prior compensation information with respect to each Transferred Employee as soon as practicable after the date upon which this Agreement is executed.</w:t>
      </w:r>
    </w:p>
    <w:p>
      <w:pPr>
        <w:spacing w:after="0" w:line="212" w:lineRule="exact"/>
        <w:rPr>
          <w:sz w:val="20"/>
          <w:szCs w:val="20"/>
          <w:color w:val="auto"/>
        </w:rPr>
      </w:pPr>
    </w:p>
    <w:p>
      <w:pPr>
        <w:ind w:right="1879" w:firstLine="1061"/>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on the date of this Agreement, Micron and PixTech agree to cooperate fully with respect to the employment-related actions which are necessary or reasonably desirable to accomplish the transactions contemplated pursuant to this Agreement, including the provision of records and information as each may reasonably request (including job titles, short and long-term disability coverage, life insurance coverage, operator certification and workers' compensation records and information) and the making of all appropriate filings under the Law.</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Transferred Employees who are required to be furnished a Form W-2 for the calendar year in which the Closing Date occurs, PixTech and Micron agree to follow the "standard procedure" set forth in Revenue Procedure 96-60 with respect to discharging their respective income and employment tax withholding and reporting obligations with respect to such employees.</w:t>
      </w:r>
    </w:p>
    <w:p>
      <w:pPr>
        <w:spacing w:after="0" w:line="209"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 the Closing Date, Micron shall pay to the Transferred Employees all salary, overtime and other remuneration earned, accrued and payable for all periods up to the Closing Date in a manner consistent with Micron's policies for terminated employees.</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SECTION 9.6. Display Division Financing Arrangements. In connection with obtaining the consent of the lenders under the Display Division Financing</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Agreements to PixTech's assumption of liabilities thereunder, PixTech shall use its best efforts to cause Micron to be released from all liabilities thereunder, including, but not limited to, refinancing the assumed debt on commercially reasonable terms that are not necessarily comparable to the terms of the Financing Arrangements. Micron agrees, however, that in the event that, despite PixTech's best efforts, the lenders under the Financing Agreements do not agree to Micron's release prior to the Closing, then the Micron Guaranty shall be offered as credit support for the obligations of PixTech assumed thereunder. In consideration for the Micron Guaranty, and as support for PixTech's reimbursement obligations to Micron thereunder, PixTech shall grant in favor of Micron a security interest in the assets identified in Schedule 9.6, which security interest shall be evidenced by a security agreement in form and substance satisfactory to Micron (the "PixTech Security Agreement"), together with such financing statements and other filings as Micron may request to perfect such security interest. The Micron Guaranty shall be without a fee for a period of no longer than (x) six months from the Closing Date in the case of the Display Division Financing Agreement with BancBoston and (y) ten months from the Closing Date in the case of the Display Division Financing Agreement with Heller (such six month and ten month periods are each, an "Initial Period"). Notwithstanding the foregoing, PixTech shall use its best efforts to cause the Micron Guaranty to be released as soon as possible following the Closing Date. In the event the Micron Guaranty is not released with respect to the Display Division Financing Agreement with BancBoston or the Display Division Financing Agreement with Heller, as</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9" w:name="page40"/>
    <w:bookmarkEnd w:id="39"/>
    <w:p>
      <w:pPr>
        <w:ind w:right="1779"/>
        <w:spacing w:after="0" w:line="237" w:lineRule="auto"/>
        <w:rPr>
          <w:sz w:val="20"/>
          <w:szCs w:val="20"/>
          <w:color w:val="auto"/>
        </w:rPr>
      </w:pPr>
      <w:r>
        <w:rPr>
          <w:rFonts w:ascii="Courier New" w:cs="Courier New" w:eastAsia="Courier New" w:hAnsi="Courier New"/>
          <w:sz w:val="18"/>
          <w:szCs w:val="18"/>
          <w:color w:val="auto"/>
        </w:rPr>
        <w:t>the case may be, within the applicable Initial Period, PixTech shall pay a non-refundable guaranty fee to Micron, payable in cash in U.S. dollars, in an amount equal to 8% per annum times the maximum principal amount guaranteed under the Micron Guaranty as of the last day of such month in respect of the Display Division Financing Agreement with BancBoston or the Display Division Financing Agreement with Heller, as applicable, payable on the first day of each month (and based on a year of twelve months) in advance until termination of the Micron Guaranty.</w:t>
      </w:r>
    </w:p>
    <w:p>
      <w:pPr>
        <w:spacing w:after="0" w:line="207" w:lineRule="exact"/>
        <w:rPr>
          <w:sz w:val="20"/>
          <w:szCs w:val="20"/>
          <w:color w:val="auto"/>
        </w:rPr>
      </w:pPr>
    </w:p>
    <w:p>
      <w:pPr>
        <w:ind w:left="640"/>
        <w:spacing w:after="0"/>
        <w:tabs>
          <w:tab w:leader="none" w:pos="1560" w:val="left"/>
          <w:tab w:leader="none" w:pos="2520" w:val="left"/>
        </w:tabs>
        <w:rPr>
          <w:sz w:val="20"/>
          <w:szCs w:val="20"/>
          <w:color w:val="auto"/>
        </w:rPr>
      </w:pPr>
      <w:r>
        <w:rPr>
          <w:rFonts w:ascii="Courier New" w:cs="Courier New" w:eastAsia="Courier New" w:hAnsi="Courier New"/>
          <w:sz w:val="18"/>
          <w:szCs w:val="18"/>
          <w:color w:val="auto"/>
        </w:rPr>
        <w:t>SECTION</w:t>
        <w:tab/>
        <w:t>9.7.</w:t>
      </w:r>
      <w:r>
        <w:rPr>
          <w:sz w:val="20"/>
          <w:szCs w:val="20"/>
          <w:color w:val="auto"/>
        </w:rPr>
        <w:tab/>
      </w:r>
      <w:r>
        <w:rPr>
          <w:rFonts w:ascii="Courier New" w:cs="Courier New" w:eastAsia="Courier New" w:hAnsi="Courier New"/>
          <w:sz w:val="16"/>
          <w:szCs w:val="16"/>
          <w:color w:val="auto"/>
        </w:rPr>
        <w:t>Tax matters.</w:t>
      </w:r>
    </w:p>
    <w:p>
      <w:pPr>
        <w:spacing w:after="0" w:line="201"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(a) Allocation.</w:t>
      </w:r>
      <w:r>
        <w:rPr>
          <w:sz w:val="20"/>
          <w:szCs w:val="20"/>
          <w:color w:val="auto"/>
        </w:rPr>
        <w:tab/>
      </w:r>
      <w:r>
        <w:rPr>
          <w:rFonts w:ascii="Courier New" w:cs="Courier New" w:eastAsia="Courier New" w:hAnsi="Courier New"/>
          <w:sz w:val="16"/>
          <w:szCs w:val="16"/>
          <w:color w:val="auto"/>
        </w:rPr>
        <w:t>The parties hereto agree to allocate the Display Division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Purchase Consideration (plus the all consideration attributable to the portion of the Assumed Liabilities which are treated as purchase price for federal income tax purposes) to each Acquired Asset in accordance with the applicable provisions of Section 1060 of the Code (such election and allocation being referred to herein as the "Price Allocation"). Without limiting the foregoing, each party hereto agrees that the PixTech Warrant has the value specified in the Price Allocation and represents a payment of such amount made as of the Closing Date. Accordingly, each party hereto shall adopt and utilize such Price Allocation for purposes of all Tax Returns filed by them and shall not voluntarily take any position inconsistent with the foregoing in connection with any examination of any Tax Return, any refund claim, any litigation proceeding or otherwise. In the event that the foregoing is disputed by any taxing authority, the party receiving notice of the dispute shall promptly notify the other parties hereto of such dispute and the parties hereto shall consult with each other concerning resolution of the dispute. Each party agrees to timely Internal Revenue Service Form 8594 reflecting the Price Allocation with its applicable federal Tax Return for the taxable year that includes the Closing Date.</w:t>
      </w:r>
    </w:p>
    <w:p>
      <w:pPr>
        <w:spacing w:after="0" w:line="209" w:lineRule="exact"/>
        <w:rPr>
          <w:sz w:val="20"/>
          <w:szCs w:val="20"/>
          <w:color w:val="auto"/>
        </w:rPr>
      </w:pPr>
    </w:p>
    <w:p>
      <w:pPr>
        <w:ind w:left="960" w:hanging="425"/>
        <w:spacing w:after="0"/>
        <w:tabs>
          <w:tab w:leader="none" w:pos="9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Returns.  Micron shall prepare and file, or cause to be filed, all</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Tax Returns for Micron for all periods which include the operations of the Acquired Business or the ownership of the Acquired Assets for any period ending on or before the Closing Date. Subject to the last sentence of this Section 9.7(b), Micron will make all payments required with respect to any such Tax Return. PixTech shall prepare and file, or cause to be filed, all Tax Returns of PixTech which include the operations of the Acquired Business or the ownership of the Acquired Assets for all periods as to which Tax Returns are due (without regard to extensions) after the Closing Date (other than for Taxes with respect to periods for which the Tax Returns of Micron will include the operations of the Acquired Business or the ownership of the Acquired Assets pursuant to the second preceding sentence). PixTech will make all payments required with respect to any such Tax Return; provided, however, that Micron will reimburse PixTech concurrently therewith to the extent that any payment PixTech is making relates to the operations of the Acquired Business or the ownership of the Acquired Assets for any period ending on or before the Closing Date, or otherwise relates to any Tax liability which is an Excluded Liability. For purposes of this Section 9.7(b), in the case of any taxable period commencing on or before the Closing Date and ending after the Closing Date, the portion of any Tax that relates to any period on or before the Closing Date shall be (i) in the case of a Tax that is not based on net income, gross income, sales, premiums or gross receipts, the total amount of such Tax for the taxable period in question multiplied by a fraction, the numerator of which is the number of days in the portion of such taxable period ending on or before the Closing Date, and the</w:t>
      </w: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denominator of which is the total number of days in such taxable period, and</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Tax that is based on any of net income, gross income,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 premiums or gross receipts, the Tax that would be due with respect to the portion of such taxable period ending on or before the Closing Date if such period were a separate taxable period, except that exemptions, allowances, deductions or credits that are calculated on an annual basis (such as the deduction for depreciation or capital allowances) shall be apportioned on a per diem basis. In the event that Micron shall have properly filed a Tax Return which includes a payment of Tax by Micron related to the operations of the Acquired Business or the ownership of the Acquired Assets for any period beginning after the Closing Date for which Micron cannot receive a refund, PixTech shall reimburse Micron for such Tax (calculated in the same manner as set forth in the immediately preceding sentence).</w:t>
      </w:r>
    </w:p>
    <w:p>
      <w:pPr>
        <w:spacing w:after="0" w:line="210" w:lineRule="exact"/>
        <w:rPr>
          <w:sz w:val="20"/>
          <w:szCs w:val="20"/>
          <w:color w:val="auto"/>
        </w:rPr>
      </w:pPr>
    </w:p>
    <w:p>
      <w:pPr>
        <w:ind w:left="960" w:hanging="425"/>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Micron will be responsible for and make all payments required</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respect to, and will indemnify PixTech from and against, (i) any liabilities of Micron for unpaid Taxes (with respect to the Acquired Business or the ownership of the Acquired Assets, or otherwise) for the periods ending on or prior to the closing Date, including without limitation any Tax for which Micron is responsible under Section 9.7(b) hereof, and (ii) any liability for any income, transfer, sales, use, or other similar Taxes arising in connection with the consummation of the transactions contemplated by this Agreement. The parties shall cooperate with each other to the extent reasonably requested and legally permitted to minimize any such Taxes described in clause (ii) of the preceding sentence.</w:t>
      </w:r>
    </w:p>
    <w:p>
      <w:pPr>
        <w:spacing w:after="0" w:line="215" w:lineRule="exact"/>
        <w:rPr>
          <w:sz w:val="20"/>
          <w:szCs w:val="20"/>
          <w:color w:val="auto"/>
        </w:rPr>
      </w:pPr>
    </w:p>
    <w:p>
      <w:pPr>
        <w:ind w:left="960" w:hanging="425"/>
        <w:spacing w:after="0"/>
        <w:tabs>
          <w:tab w:leader="none" w:pos="9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If Micron files any Tax Return which includes payment of</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any Tax for which PixTech is responsible under this Section 9.7, PixTech shall promptly reimburse Micron for such Taxes when such Tax Return is filed. If PixTech files any Tax Return which includes payments of any Tax for which Micron is responsible under this Section 9.7, Micron shall promptly reimburse PixTech for such Taxes when such Tax Return is filed. PixTech and Micron shall timely provide to each other all information and documents within their possession (or their auditors, advisors or affiliates) and signatures and consents necessary for each party to properly prepare and file the Tax Returns described in this Section 9.7 or in connection with the determination of any Tax liability or any audit, examination or proceeding. Each party hereto shall reasonably cooperate (at their own expense) with the other party to obtain other information or documents necessary or appropriate to prepare and file Tax Returns or elections or necessary or appropriate in connection with the determination of any Tax liability or any audit, examination or proceeding.</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w:t>
      </w:r>
    </w:p>
    <w:p>
      <w:pPr>
        <w:ind w:left="2640"/>
        <w:spacing w:after="0" w:line="238" w:lineRule="auto"/>
        <w:rPr>
          <w:sz w:val="20"/>
          <w:szCs w:val="20"/>
          <w:color w:val="auto"/>
        </w:rPr>
      </w:pPr>
      <w:r>
        <w:rPr>
          <w:rFonts w:ascii="Courier New" w:cs="Courier New" w:eastAsia="Courier New" w:hAnsi="Courier New"/>
          <w:sz w:val="18"/>
          <w:szCs w:val="18"/>
          <w:color w:val="auto"/>
        </w:rPr>
        <w:t>LICENSED INTELLECTUAL PROPERTY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10.1. Licensed Intellectual Property. Micron grants to PixTech a perpetual, royalty-free license, including the right to sublicense its Subsidiaries, to all Non-Patent Intellectual Property used in the Display Division Business, except that: (a) no license is granted under Intellectual Property relating to Micron's process technology, equipment recipes and wafer form probe and test used to manufacture and test single-crystal silicon-substrate-based FED baseplates; (b) no license is granted to use the trademark "MICRON" in any form or combination; and (c) no license is granted to any Micron-originated or Micron-owned software, or to any documentation or materials relating thereto.</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41" w:name="page42"/>
    <w:bookmarkEnd w:id="41"/>
    <w:p>
      <w:pPr>
        <w:ind w:right="1779" w:firstLine="527"/>
        <w:spacing w:after="0" w:line="237" w:lineRule="auto"/>
        <w:rPr>
          <w:sz w:val="20"/>
          <w:szCs w:val="20"/>
          <w:color w:val="auto"/>
        </w:rPr>
      </w:pPr>
      <w:r>
        <w:rPr>
          <w:rFonts w:ascii="Courier New" w:cs="Courier New" w:eastAsia="Courier New" w:hAnsi="Courier New"/>
          <w:sz w:val="18"/>
          <w:szCs w:val="18"/>
          <w:color w:val="auto"/>
        </w:rPr>
        <w:t>No license is granted to Micron Non-Patent Intellectual Property, except as expressly provided herein, and no license is granted, either expressly or by implication, if PixTech is in possession of, or later learns of or acquires Micron Intellectual Property which is not within the scope of the license grant above in the preceding paragraph of this Section. PixTech agrees to return any such Micron Intellectual Property which is not Licensed Intellectual Property to Micron, and agrees to take steps, where appropriate, to preserve the confidentiality of any such information which is not manifestly public information.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license granted to PixTech under any Micron patents is governed exclusively by the Patent License attached as Exhibit A to this Acquisition Agreement, and the license granted under this Section does not grant any rights under patents of Micron or under any patents which may issue to Micron in the future. No sublicense granted under this Section shall be broader than the license granted herein. Accordingly, no sublicense under this Section may include or grant any rights, license or authority under any patent of Micron, either now-issued or later-issued.</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w:t>
      </w:r>
    </w:p>
    <w:p>
      <w:pPr>
        <w:ind w:left="3060"/>
        <w:spacing w:after="0" w:line="238" w:lineRule="auto"/>
        <w:rPr>
          <w:sz w:val="20"/>
          <w:szCs w:val="20"/>
          <w:color w:val="auto"/>
        </w:rPr>
      </w:pPr>
      <w:r>
        <w:rPr>
          <w:rFonts w:ascii="Courier New" w:cs="Courier New" w:eastAsia="Courier New" w:hAnsi="Courier New"/>
          <w:sz w:val="18"/>
          <w:szCs w:val="18"/>
          <w:color w:val="auto"/>
        </w:rPr>
        <w:t>CONDITIONS TO CLOSING</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11.1. Conditions to Obligations of Micron and PixTech. The obligations of Micron and PixTech to consummate the purchase and sale of the Acquired Assets and the assumption of the Assumed Liabilities, and the purchase and sale of the Shares and PixTech Warrant, are subject to the satisfaction or waiver of the following conditions.</w:t>
      </w:r>
    </w:p>
    <w:p>
      <w:pPr>
        <w:spacing w:after="0" w:line="209" w:lineRule="exact"/>
        <w:rPr>
          <w:sz w:val="20"/>
          <w:szCs w:val="20"/>
          <w:color w:val="auto"/>
        </w:rPr>
      </w:pPr>
    </w:p>
    <w:p>
      <w:pPr>
        <w:ind w:left="1580" w:right="1879" w:hanging="624"/>
        <w:spacing w:after="0" w:line="236"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sale of the Acquired Assets and the issuance of the Shares shall have expired or been terminated; and</w:t>
      </w:r>
    </w:p>
    <w:p>
      <w:pPr>
        <w:spacing w:after="0" w:line="208" w:lineRule="exact"/>
        <w:rPr>
          <w:rFonts w:ascii="Courier New" w:cs="Courier New" w:eastAsia="Courier New" w:hAnsi="Courier New"/>
          <w:sz w:val="18"/>
          <w:szCs w:val="18"/>
          <w:color w:val="auto"/>
        </w:rPr>
      </w:pPr>
    </w:p>
    <w:p>
      <w:pPr>
        <w:ind w:left="1580" w:right="2619" w:hanging="624"/>
        <w:spacing w:after="0" w:line="236"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any applicable law or regulation and no judgement, injunction, order or decree shall prohibit the consummation of the Closing.</w:t>
      </w:r>
    </w:p>
    <w:p>
      <w:pPr>
        <w:spacing w:after="0" w:line="209"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SECTION 11.2. Conditions to Obligations of Micron. The obligation of Micron to consummate the Closing is subject to the satisfaction of the following further conditions:</w:t>
      </w:r>
    </w:p>
    <w:p>
      <w:pPr>
        <w:spacing w:after="0" w:line="209" w:lineRule="exact"/>
        <w:rPr>
          <w:sz w:val="20"/>
          <w:szCs w:val="20"/>
          <w:color w:val="auto"/>
        </w:rPr>
      </w:pPr>
    </w:p>
    <w:p>
      <w:pPr>
        <w:ind w:left="1580" w:right="1779" w:hanging="624"/>
        <w:spacing w:after="0" w:line="237"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Ancillary Agreements, in form and substance reasonably satisfactory to Micron, shall have been executed and delivered by the parties thereto (other than Micron) and shall be in full force and effect;</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shall have obtained the PixTech Stockholder Approval</w:t>
      </w:r>
    </w:p>
    <w:p>
      <w:pPr>
        <w:spacing w:after="0" w:line="4" w:lineRule="exact"/>
        <w:rPr>
          <w:rFonts w:ascii="Courier New" w:cs="Courier New" w:eastAsia="Courier New" w:hAnsi="Courier New"/>
          <w:sz w:val="18"/>
          <w:szCs w:val="18"/>
          <w:color w:val="auto"/>
        </w:rPr>
      </w:pPr>
    </w:p>
    <w:p>
      <w:pPr>
        <w:jc w:val="both"/>
        <w:ind w:left="158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the waiver of Sumitomo Corporation as to Section 10.11 of the Credit Agreement dated as of July 21, 1997 by and between PixTech and Sumitomo Corporation, as referenced on Schedule 6.5 to the</w:t>
      </w:r>
    </w:p>
    <w:p>
      <w:pPr>
        <w:ind w:left="6120"/>
        <w:spacing w:after="0" w:line="233"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PixTech Disclosure Schedule;</w:t>
      </w:r>
    </w:p>
    <w:p>
      <w:pPr>
        <w:spacing w:after="0" w:line="201" w:lineRule="exact"/>
        <w:rPr>
          <w:sz w:val="20"/>
          <w:szCs w:val="20"/>
          <w:color w:val="auto"/>
        </w:rPr>
      </w:pPr>
    </w:p>
    <w:p>
      <w:pPr>
        <w:ind w:left="1580" w:hanging="624"/>
        <w:spacing w:after="0"/>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PixTech shall have performed in all material respects all</w:t>
      </w:r>
    </w:p>
    <w:p>
      <w:pPr>
        <w:spacing w:after="0" w:line="4" w:lineRule="exact"/>
        <w:rPr>
          <w:rFonts w:ascii="Courier New" w:cs="Courier New" w:eastAsia="Courier New" w:hAnsi="Courier New"/>
          <w:sz w:val="18"/>
          <w:szCs w:val="18"/>
          <w:color w:val="auto"/>
        </w:rPr>
      </w:pPr>
    </w:p>
    <w:p>
      <w:pPr>
        <w:ind w:left="15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its obligations hereunder required to be performed by it at or prior to the Closing Date, (ii) the representations and warranties of PixTech contained in this Agreement and in any certificate or other writing delivered by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42" w:name="page43"/>
    <w:bookmarkEnd w:id="42"/>
    <w:p>
      <w:pPr>
        <w:ind w:left="1580" w:right="1779"/>
        <w:spacing w:after="0" w:line="237" w:lineRule="auto"/>
        <w:rPr>
          <w:sz w:val="20"/>
          <w:szCs w:val="20"/>
          <w:color w:val="auto"/>
        </w:rPr>
      </w:pPr>
      <w:r>
        <w:rPr>
          <w:rFonts w:ascii="Courier New" w:cs="Courier New" w:eastAsia="Courier New" w:hAnsi="Courier New"/>
          <w:sz w:val="18"/>
          <w:szCs w:val="18"/>
          <w:color w:val="auto"/>
        </w:rPr>
        <w:t>PixTech pursuant hereto shall be true in all material respects at and as of the Closing Date, as if made at and as of such date, except for those representations and warranties that speak as of a specified date, which shall be true in all material respects at and as of such date, and (iii) Micron shall have received a certificate signed by an executive officer of PixTech to the foregoing effect;</w:t>
      </w:r>
    </w:p>
    <w:p>
      <w:pPr>
        <w:spacing w:after="0" w:line="211" w:lineRule="exact"/>
        <w:rPr>
          <w:sz w:val="20"/>
          <w:szCs w:val="20"/>
          <w:color w:val="auto"/>
        </w:rPr>
      </w:pPr>
    </w:p>
    <w:p>
      <w:pPr>
        <w:ind w:left="1580" w:right="1999" w:hanging="519"/>
        <w:spacing w:after="0" w:line="235"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Micron Guaranty shall be reasonably acceptable to Micron;</w:t>
      </w:r>
    </w:p>
    <w:p>
      <w:pPr>
        <w:spacing w:after="0" w:line="208"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by or in respect of or filings with any governmental body, agency, official or authority required to permit the consummation of the Closing shall have been taken, made or obtained, except for any such actions or filings the failure to take, make or obtain would not reasonably be expected to have a Material Adverse Effect as to Micron;</w:t>
      </w:r>
    </w:p>
    <w:p>
      <w:pPr>
        <w:spacing w:after="0" w:line="209"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and sale of the Shares and the PixTech Warrant pursuant to this Agreement shall be exempt from the registration requirements of the Securities Act and the registration or qualification requirements of all applicable state securities laws;</w:t>
      </w:r>
    </w:p>
    <w:p>
      <w:pPr>
        <w:spacing w:after="0" w:line="208" w:lineRule="exact"/>
        <w:rPr>
          <w:rFonts w:ascii="Courier New" w:cs="Courier New" w:eastAsia="Courier New" w:hAnsi="Courier New"/>
          <w:sz w:val="18"/>
          <w:szCs w:val="18"/>
          <w:color w:val="auto"/>
        </w:rPr>
      </w:pPr>
    </w:p>
    <w:p>
      <w:pPr>
        <w:ind w:left="1580" w:right="2099" w:hanging="519"/>
        <w:spacing w:after="0" w:line="236"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have received an opinion on behalf of PixTech, dated as of the Closing Date, from counsel to PixTech, in form and substance reasonably satisfactory to Micron;</w:t>
      </w:r>
    </w:p>
    <w:p>
      <w:pPr>
        <w:spacing w:after="0" w:line="208" w:lineRule="exact"/>
        <w:rPr>
          <w:rFonts w:ascii="Courier New" w:cs="Courier New" w:eastAsia="Courier New" w:hAnsi="Courier New"/>
          <w:sz w:val="18"/>
          <w:szCs w:val="18"/>
          <w:color w:val="auto"/>
        </w:rPr>
      </w:pPr>
    </w:p>
    <w:p>
      <w:pPr>
        <w:ind w:left="1580" w:right="1879" w:hanging="519"/>
        <w:spacing w:after="0" w:line="272"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have received a copy of PixTech's Annual Report on Form 10-K for the fiscal year ended December 31, 1998, certified by PixTech as fairly presenting, in conformity with GAAP applied on a consistent basis (except as may be indicated in such financial statements or the notes thereto), the consolidated financial position of PixTech and its consolidated Subsidiaries as at the date thereof and the consolidated results of their operations and cash flows for the period then ended;</w:t>
      </w:r>
    </w:p>
    <w:p>
      <w:pPr>
        <w:spacing w:after="0" w:line="385" w:lineRule="exact"/>
        <w:rPr>
          <w:rFonts w:ascii="Courier New" w:cs="Courier New" w:eastAsia="Courier New" w:hAnsi="Courier New"/>
          <w:sz w:val="16"/>
          <w:szCs w:val="16"/>
          <w:color w:val="auto"/>
        </w:rPr>
      </w:pPr>
    </w:p>
    <w:p>
      <w:pPr>
        <w:ind w:left="1580" w:right="2199" w:hanging="519"/>
        <w:spacing w:after="0" w:line="236"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have been afforded an opportunity to review the agreements to which PixTech is a party referred to in Section 2.8(ii) to the Patent Cross License Agreement; and</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have received all documents it may reasonably request relating to the existence of PixTech and the authority of PixTech to enter into this Agreement and the Ancillary Agreements, and to perform its obligations hereunder and thereunder, all in form and substance reasonably satisfactory to Micron.</w:t>
      </w:r>
    </w:p>
    <w:p>
      <w:pPr>
        <w:spacing w:after="0" w:line="210"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11.3. Conditions to Obligations of PixTech. The obligation of PixTech to consummate the Closing is subject to the satisfaction of the following further conditions:</w:t>
      </w:r>
    </w:p>
    <w:p>
      <w:pPr>
        <w:spacing w:after="0" w:line="209" w:lineRule="exact"/>
        <w:rPr>
          <w:sz w:val="20"/>
          <w:szCs w:val="20"/>
          <w:color w:val="auto"/>
        </w:rPr>
      </w:pPr>
    </w:p>
    <w:p>
      <w:pPr>
        <w:ind w:left="1580" w:right="1879" w:hanging="519"/>
        <w:spacing w:after="0" w:line="237"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Ancillary Agreements, in form and substance reasonably satisfactory to PixTech, shall have been executed and delivered by the parties thereto (other than PixTech) and shall be in full force and effect;</w:t>
      </w:r>
    </w:p>
    <w:p>
      <w:pPr>
        <w:spacing w:after="0" w:line="207" w:lineRule="exact"/>
        <w:rPr>
          <w:rFonts w:ascii="Courier New" w:cs="Courier New" w:eastAsia="Courier New" w:hAnsi="Courier New"/>
          <w:sz w:val="18"/>
          <w:szCs w:val="18"/>
          <w:color w:val="auto"/>
        </w:rPr>
      </w:pPr>
    </w:p>
    <w:p>
      <w:pPr>
        <w:ind w:left="1580" w:right="3159" w:hanging="519"/>
        <w:spacing w:after="0" w:line="290" w:lineRule="auto"/>
        <w:tabs>
          <w:tab w:leader="none" w:pos="15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PixTech Required Consents, including the PixTech Stockholder Approval, shall have been obtained;</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43" w:name="page44"/>
    <w:bookmarkEnd w:id="43"/>
    <w:p>
      <w:pPr>
        <w:ind w:left="1580" w:right="1779" w:hanging="519"/>
        <w:spacing w:after="0" w:line="270" w:lineRule="auto"/>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Micron shall have performed in all material respects of its obligations hereunder required to be performed by it on or prior to the Closing Date, (ii) the representations and warranties of Micron contained in this Agreement and in any certificate or other writing delivered by Micron pursuant hereto shall be true at and as of the Closing Date in all material respects, as if made at and as of such date, except for those representations and warranties that speak as of a specified date, which shall be true in all material respects at and as of such date, and (iii) PixTech shall have received a certificate signed by an officer of Micron to the foregoing effect;</w:t>
      </w:r>
    </w:p>
    <w:p>
      <w:pPr>
        <w:spacing w:after="0" w:line="391" w:lineRule="exact"/>
        <w:rPr>
          <w:rFonts w:ascii="Courier New" w:cs="Courier New" w:eastAsia="Courier New" w:hAnsi="Courier New"/>
          <w:sz w:val="16"/>
          <w:szCs w:val="16"/>
          <w:color w:val="auto"/>
        </w:rPr>
      </w:pPr>
    </w:p>
    <w:p>
      <w:pPr>
        <w:ind w:left="1580" w:right="1999" w:hanging="519"/>
        <w:spacing w:after="0" w:line="237"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by or in respect of or filings with any governmental body, agency, official or authority required to permit the consummation of the Closing shall have been taken, made or obtained, except for any such actions or filings the failure to take, make or obtain would not reasonably be expected to have a Material Adverse Effect as to PixTech;</w:t>
      </w:r>
    </w:p>
    <w:p>
      <w:pPr>
        <w:spacing w:after="0" w:line="209" w:lineRule="exact"/>
        <w:rPr>
          <w:rFonts w:ascii="Courier New" w:cs="Courier New" w:eastAsia="Courier New" w:hAnsi="Courier New"/>
          <w:sz w:val="18"/>
          <w:szCs w:val="18"/>
          <w:color w:val="auto"/>
        </w:rPr>
      </w:pPr>
    </w:p>
    <w:p>
      <w:pPr>
        <w:ind w:left="1580" w:right="1779" w:hanging="519"/>
        <w:spacing w:after="0" w:line="236"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shall have received an opinion on behalf of Micron, dated as of the Closing Date, from counsel to Micron, in form and substance reasonably satisfactory to PixTech;</w:t>
      </w:r>
    </w:p>
    <w:p>
      <w:pPr>
        <w:spacing w:after="0" w:line="208" w:lineRule="exact"/>
        <w:rPr>
          <w:rFonts w:ascii="Courier New" w:cs="Courier New" w:eastAsia="Courier New" w:hAnsi="Courier New"/>
          <w:sz w:val="18"/>
          <w:szCs w:val="18"/>
          <w:color w:val="auto"/>
        </w:rPr>
      </w:pPr>
    </w:p>
    <w:p>
      <w:pPr>
        <w:ind w:left="1580" w:right="1779" w:hanging="519"/>
        <w:spacing w:after="0" w:line="236"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shall be reasonably satisfied that Micron shall have ceased to engage in operations relating to the Small Area Display Business;</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shall have received all documents it may reasonably request relating to (i) the existence of Micron and the authority of Micron to enter into this Agreement and the Ancillary Agreements, and to perform its obligations hereunder and thereunder and (ii) the conveyance of the Acquired Assets, all in form and substance reasonably satisfactory to PixTech.</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SURVIVAL; INDEMNIFICATION</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12.1. Survival. The representations and warranties of the parties hereto contained in this Agreement or in any certificate or other writing delivered pursuant hereto or in connection herewith shall survive the Closing until one year after the Closing Date, except for (a) any representation or warranty concerning (i) the authority of either party to execute this Agreement and the Ancillary Agreements, (ii) any environmental matters, which representations and warranties shall survive indefinitely, and (b) any representation or warranty concerning tax matters, which shall survive until the expiration or lapse of the applicable statute of limitations. Notwithstanding the preceding sentence, any representation or warranty in respect of which indemnity may be sought under this Agreement shall survive the time at which it would otherwise terminate pursuant to the preceding sentence, if notice of the inaccuracy or breach thereof giving rise to such right of indemnity shall have been given to the party against whom such indemnity may be sought prior to such time.</w:t>
      </w:r>
    </w:p>
    <w:p>
      <w:pPr>
        <w:spacing w:after="0" w:line="202" w:lineRule="exact"/>
        <w:rPr>
          <w:sz w:val="20"/>
          <w:szCs w:val="20"/>
          <w:color w:val="auto"/>
        </w:rPr>
      </w:pPr>
    </w:p>
    <w:p>
      <w:pPr>
        <w:ind w:left="640"/>
        <w:spacing w:after="0"/>
        <w:tabs>
          <w:tab w:leader="none" w:pos="1560" w:val="left"/>
          <w:tab w:leader="none" w:pos="2520" w:val="left"/>
        </w:tabs>
        <w:rPr>
          <w:sz w:val="20"/>
          <w:szCs w:val="20"/>
          <w:color w:val="auto"/>
        </w:rPr>
      </w:pPr>
      <w:r>
        <w:rPr>
          <w:rFonts w:ascii="Courier New" w:cs="Courier New" w:eastAsia="Courier New" w:hAnsi="Courier New"/>
          <w:sz w:val="18"/>
          <w:szCs w:val="18"/>
          <w:color w:val="auto"/>
        </w:rPr>
        <w:t>SECTION</w:t>
        <w:tab/>
        <w:t>12.2.</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left="1580" w:right="1879" w:hanging="519"/>
        <w:spacing w:after="0" w:line="237" w:lineRule="auto"/>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hereby indemnifies PixTech and its Affiliates against and agrees to hold each of them harmless from any and all damage, loss, liability and expense (including, without limitation, reasonable expenses of investigation and reasonable attorneys' fees and expenses in connection with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4" w:name="page45"/>
    <w:bookmarkEnd w:id="44"/>
    <w:p>
      <w:pPr>
        <w:ind w:left="1580" w:right="1779"/>
        <w:spacing w:after="0" w:line="238" w:lineRule="auto"/>
        <w:rPr>
          <w:sz w:val="20"/>
          <w:szCs w:val="20"/>
          <w:color w:val="auto"/>
        </w:rPr>
      </w:pPr>
      <w:r>
        <w:rPr>
          <w:rFonts w:ascii="Courier New" w:cs="Courier New" w:eastAsia="Courier New" w:hAnsi="Courier New"/>
          <w:sz w:val="18"/>
          <w:szCs w:val="18"/>
          <w:color w:val="auto"/>
        </w:rPr>
        <w:t>any action, suit or proceeding) ("Damages") incurred or suffered by PixTech or any of its Affiliates arising out of (i) any misrepresentation or breach of warranty made by or covenant of Micron pursuant to this Agreement, or (ii) any Excluded Liability; provided that (x) Micron shall not be liable under this Section 12.2 unless the aggregate amount of Damages with respect to all matters referred to in this Section 12.2(a) exceeds $100,000 in the aggregate and then only to the extent of such excess and (y) Micron's maximum liability under this Section 12.2(a) shall not exceed $7,000,000, and provided further that the limitation set forth in clauses (x) and (y) shall not apply to Damages in respect of Excluded Liabilities.</w:t>
      </w:r>
    </w:p>
    <w:p>
      <w:pPr>
        <w:spacing w:after="0" w:line="201" w:lineRule="exact"/>
        <w:rPr>
          <w:sz w:val="20"/>
          <w:szCs w:val="20"/>
          <w:color w:val="auto"/>
        </w:rPr>
      </w:pPr>
    </w:p>
    <w:p>
      <w:pPr>
        <w:ind w:left="1580" w:hanging="519"/>
        <w:spacing w:after="0"/>
        <w:tabs>
          <w:tab w:leader="none" w:pos="15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hereby indemnifies Micron and its Affiliates against</w:t>
      </w:r>
    </w:p>
    <w:p>
      <w:pPr>
        <w:spacing w:after="0" w:line="4" w:lineRule="exact"/>
        <w:rPr>
          <w:rFonts w:ascii="Courier New" w:cs="Courier New" w:eastAsia="Courier New" w:hAnsi="Courier New"/>
          <w:sz w:val="18"/>
          <w:szCs w:val="18"/>
          <w:color w:val="auto"/>
        </w:rPr>
      </w:pPr>
    </w:p>
    <w:p>
      <w:pPr>
        <w:ind w:left="158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agrees to hold each of them harmless from any and all Damages incurred or suffered by Micron or any of its Affiliates arising out of (i) any misrepresentation or breach of warranty made by or covenant of PixTech pursuant to this Agreement or (ii) any Assumed Liability; provided that (x) PixTech shall not be liable under this Section 12.2(b) unless the aggregate amount of Damages with respect to all matters referred to in this Section 12.2 exceeds $100,000 in the aggregate and then only to the extent of such excess and (y) PixTech's maximum liability under this Section 12.2(b) shall not exceed $7,000,000, and provided further that the limitation set forth in clauses (x) and (y) shall not apply to Damages in respect of Assumed Liabilities.</w:t>
      </w:r>
    </w:p>
    <w:p>
      <w:pPr>
        <w:spacing w:after="0" w:line="181" w:lineRule="exact"/>
        <w:rPr>
          <w:sz w:val="20"/>
          <w:szCs w:val="20"/>
          <w:color w:val="auto"/>
        </w:rPr>
      </w:pPr>
    </w:p>
    <w:p>
      <w:pPr>
        <w:ind w:left="640"/>
        <w:spacing w:after="0"/>
        <w:tabs>
          <w:tab w:leader="none" w:pos="1560" w:val="left"/>
          <w:tab w:leader="none" w:pos="2720" w:val="left"/>
        </w:tabs>
        <w:rPr>
          <w:sz w:val="20"/>
          <w:szCs w:val="20"/>
          <w:color w:val="auto"/>
        </w:rPr>
      </w:pPr>
      <w:r>
        <w:rPr>
          <w:rFonts w:ascii="Courier New" w:cs="Courier New" w:eastAsia="Courier New" w:hAnsi="Courier New"/>
          <w:sz w:val="18"/>
          <w:szCs w:val="18"/>
          <w:color w:val="auto"/>
        </w:rPr>
        <w:t>SECTION</w:t>
        <w:tab/>
        <w:t>12.3.</w:t>
      </w:r>
      <w:r>
        <w:rPr>
          <w:sz w:val="20"/>
          <w:szCs w:val="20"/>
          <w:color w:val="auto"/>
        </w:rPr>
        <w:tab/>
      </w:r>
      <w:r>
        <w:rPr>
          <w:rFonts w:ascii="Courier New" w:cs="Courier New" w:eastAsia="Courier New" w:hAnsi="Courier New"/>
          <w:sz w:val="16"/>
          <w:szCs w:val="16"/>
          <w:color w:val="auto"/>
        </w:rPr>
        <w:t>Procedures.</w:t>
      </w:r>
    </w:p>
    <w:p>
      <w:pPr>
        <w:spacing w:after="0" w:line="207" w:lineRule="exact"/>
        <w:rPr>
          <w:sz w:val="20"/>
          <w:szCs w:val="20"/>
          <w:color w:val="auto"/>
        </w:rPr>
      </w:pPr>
    </w:p>
    <w:p>
      <w:pPr>
        <w:ind w:right="1779" w:firstLine="1061"/>
        <w:spacing w:after="0" w:line="237" w:lineRule="auto"/>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party seeking indemnification under Section 12.2 (the "Indemnified Party") agrees to give prompt notice to the party against whom indemnity is sought (the "Indemnifying Party") of the assertion of any claim, or the commencement of any suit, action or proceeding ("Claim") in respect of which indemnity may be sought under such Section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prejudiced the Indemnifying Party.</w:t>
      </w:r>
    </w:p>
    <w:p>
      <w:pPr>
        <w:spacing w:after="0" w:line="213" w:lineRule="exact"/>
        <w:rPr>
          <w:rFonts w:ascii="Courier New" w:cs="Courier New" w:eastAsia="Courier New" w:hAnsi="Courier New"/>
          <w:sz w:val="18"/>
          <w:szCs w:val="18"/>
          <w:color w:val="auto"/>
        </w:rPr>
      </w:pPr>
    </w:p>
    <w:p>
      <w:pPr>
        <w:ind w:right="1879" w:firstLine="1061"/>
        <w:spacing w:after="0" w:line="275" w:lineRule="auto"/>
        <w:tabs>
          <w:tab w:leader="none" w:pos="15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shall be entitled to participate in the defense of any Claim asserted by any third party ("Third Party Claim") and, subject to the limitations set forth in this Section, shall be entitled to control and appoint lead counsel for such defense, in each case at its expense.</w:t>
      </w:r>
    </w:p>
    <w:p>
      <w:pPr>
        <w:spacing w:after="0" w:line="176"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Indemnifying Party shall assume the control of the</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defense of any Third Party Claim in accordance with the provisions of this Section 12.3, (i) the Indemnifying Party shall obtain the prior written consent of the Indemnified Party (which shall not be unreasonably withheld) before entering into any settlement of such Third Party Claim, if the settlement does not release the Indemnified Party from all liabilities and obligations with respect to such Third Party Claim or the settlement imposes injunctive or other equitable relief against the Indemnified Party and (ii) the Indemnified Party shall be entitled to participate in the defense of such Third Party Claim and to employ separate counsel of its choice for such purpose. The fees and expenses of such separate counsel shall be paid by the Indemnified Party.</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5" w:name="page46"/>
    <w:bookmarkEnd w:id="45"/>
    <w:p>
      <w:pPr>
        <w:ind w:right="1879" w:firstLine="1061"/>
        <w:spacing w:after="0" w:line="237"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 trials or appeals, as may be reasonably requested in connection therewith.</w:t>
      </w:r>
    </w:p>
    <w:p>
      <w:pPr>
        <w:spacing w:after="0" w:line="203" w:lineRule="exact"/>
        <w:rPr>
          <w:sz w:val="20"/>
          <w:szCs w:val="20"/>
          <w:color w:val="auto"/>
        </w:rPr>
      </w:pPr>
    </w:p>
    <w:p>
      <w:pPr>
        <w:ind w:left="640"/>
        <w:spacing w:after="0"/>
        <w:tabs>
          <w:tab w:leader="none" w:pos="1560" w:val="left"/>
          <w:tab w:leader="none" w:pos="2620" w:val="left"/>
        </w:tabs>
        <w:rPr>
          <w:sz w:val="20"/>
          <w:szCs w:val="20"/>
          <w:color w:val="auto"/>
        </w:rPr>
      </w:pPr>
      <w:r>
        <w:rPr>
          <w:rFonts w:ascii="Courier New" w:cs="Courier New" w:eastAsia="Courier New" w:hAnsi="Courier New"/>
          <w:sz w:val="18"/>
          <w:szCs w:val="18"/>
          <w:color w:val="auto"/>
        </w:rPr>
        <w:t>SECTION</w:t>
        <w:tab/>
        <w:t>12.4.</w:t>
      </w:r>
      <w:r>
        <w:rPr>
          <w:sz w:val="20"/>
          <w:szCs w:val="20"/>
          <w:color w:val="auto"/>
        </w:rPr>
        <w:tab/>
      </w:r>
      <w:r>
        <w:rPr>
          <w:rFonts w:ascii="Courier New" w:cs="Courier New" w:eastAsia="Courier New" w:hAnsi="Courier New"/>
          <w:sz w:val="16"/>
          <w:szCs w:val="16"/>
          <w:color w:val="auto"/>
        </w:rPr>
        <w:t>Calculation of Damages.</w:t>
      </w:r>
    </w:p>
    <w:p>
      <w:pPr>
        <w:spacing w:after="0" w:line="207" w:lineRule="exact"/>
        <w:rPr>
          <w:sz w:val="20"/>
          <w:szCs w:val="20"/>
          <w:color w:val="auto"/>
        </w:rPr>
      </w:pPr>
    </w:p>
    <w:p>
      <w:pPr>
        <w:ind w:right="1779" w:firstLine="1061"/>
        <w:spacing w:after="0" w:line="237" w:lineRule="auto"/>
        <w:tabs>
          <w:tab w:leader="none" w:pos="15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Damages payable under Section 12.2 by the Indemnifying Party shall be reduced by (i) any amounts recovered or recoverable by the Indemnified Party under applicable insurance policies and (ii) any tax benefit realized by the Indemnified Party arising from the incurrence or payment of any such Damages.</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Indemnifying Party shall not be liable under Section 12.2</w:t>
      </w:r>
    </w:p>
    <w:p>
      <w:pPr>
        <w:spacing w:after="0" w:line="238" w:lineRule="auto"/>
        <w:rPr>
          <w:sz w:val="20"/>
          <w:szCs w:val="20"/>
          <w:color w:val="auto"/>
        </w:rPr>
      </w:pPr>
      <w:r>
        <w:rPr>
          <w:rFonts w:ascii="Courier New" w:cs="Courier New" w:eastAsia="Courier New" w:hAnsi="Courier New"/>
          <w:sz w:val="18"/>
          <w:szCs w:val="18"/>
          <w:color w:val="auto"/>
        </w:rPr>
        <w:t>for any consequential or punitive Damages or Damages for lost profits.</w:t>
      </w:r>
    </w:p>
    <w:p>
      <w:pPr>
        <w:spacing w:after="0" w:line="207" w:lineRule="exact"/>
        <w:rPr>
          <w:sz w:val="20"/>
          <w:szCs w:val="20"/>
          <w:color w:val="auto"/>
        </w:rPr>
      </w:pPr>
    </w:p>
    <w:p>
      <w:pPr>
        <w:ind w:right="1779" w:firstLine="1061"/>
        <w:spacing w:after="0" w:line="237" w:lineRule="auto"/>
        <w:tabs>
          <w:tab w:leader="none" w:pos="168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to the contrary, if on the Closing Date the Indemnified Party knows of any information that would cause on or more of the representations and warranties made by the Indemnifying Party to be inaccurate as of the date made, the Indemnified Party shall have not right or remedy after the Closing with respect to such inaccuracy and shall be deemed to have waived its rights to indemnification in respect thereof.</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12.5. Assignment of Claims. If the Indemnified Party receives any payment from an Indemnifying Party in respect of any Damages pursuant to Section 12.2 and the Indemnified Party could have recovered all or part of such Damages from a third party (a "Potential Contributor")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w:t>
      </w:r>
    </w:p>
    <w:p>
      <w:pPr>
        <w:spacing w:after="0" w:line="212"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12.6. Exclusivity. Except as specifically set forth in this Agreement, PixTech waives any rights and claims PixTech may have against Micron, whether in law or in equity, relating to the Display Division Business. The rights and claims waived by PixTech include, without limitation claims for contribution or other rights of recovery arising out of or relating to any Environmental Law, claims for breach of contract, breach of representation or warranty, negligent misrepresentation and all other claims for breach of duty. After the Closing, Section 12.2 will provide the exclusive remedy for any misrepresentation, breach of warranty, covenant or other agreement arising out of this Agreement or the transaction contemplated hereby.</w:t>
      </w:r>
    </w:p>
    <w:p>
      <w:pPr>
        <w:spacing w:after="0" w:line="381"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ARTICLE XIII</w:t>
      </w:r>
    </w:p>
    <w:p>
      <w:pPr>
        <w:jc w:val="right"/>
        <w:ind w:right="5479"/>
        <w:spacing w:after="0" w:line="238" w:lineRule="auto"/>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SECTION 13.1. Grounds for Termination. This Agreement maybe terminated at any time prior to the Closing:</w:t>
      </w:r>
    </w:p>
    <w:p>
      <w:pPr>
        <w:spacing w:after="0" w:line="203" w:lineRule="exact"/>
        <w:rPr>
          <w:sz w:val="20"/>
          <w:szCs w:val="20"/>
          <w:color w:val="auto"/>
        </w:rPr>
      </w:pPr>
    </w:p>
    <w:p>
      <w:pPr>
        <w:ind w:left="1580" w:hanging="624"/>
        <w:spacing w:after="0"/>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Micron and PixTech,</w:t>
      </w:r>
    </w:p>
    <w:p>
      <w:pPr>
        <w:spacing w:after="0" w:line="201"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6" w:name="page47"/>
    <w:bookmarkEnd w:id="46"/>
    <w:p>
      <w:pPr>
        <w:ind w:right="2099" w:firstLine="956"/>
        <w:spacing w:after="0" w:line="235"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Micron or PixTech if the Closing shall not have been consummated on or before May 20, 1999;</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Micron or PixTech if PixTech shall not have received the PixTech Stockholder Approval at a meeting of its stockholders duly convened therefor or at any adjournment thereof; or</w:t>
      </w:r>
    </w:p>
    <w:p>
      <w:pPr>
        <w:spacing w:after="0" w:line="208" w:lineRule="exact"/>
        <w:rPr>
          <w:rFonts w:ascii="Courier New" w:cs="Courier New" w:eastAsia="Courier New" w:hAnsi="Courier New"/>
          <w:sz w:val="18"/>
          <w:szCs w:val="18"/>
          <w:color w:val="auto"/>
        </w:rPr>
      </w:pPr>
    </w:p>
    <w:p>
      <w:pPr>
        <w:ind w:right="1999" w:firstLine="956"/>
        <w:spacing w:after="0" w:line="279" w:lineRule="auto"/>
        <w:tabs>
          <w:tab w:leader="none" w:pos="15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Micron or PixTech if consummation of the transactions contemplated hereby would violate any nonappealable final order, decree or judgment of any court or governmental body having competent jurisdiction; or</w:t>
      </w:r>
    </w:p>
    <w:p>
      <w:pPr>
        <w:spacing w:after="0" w:line="178" w:lineRule="exact"/>
        <w:rPr>
          <w:rFonts w:ascii="Courier New" w:cs="Courier New" w:eastAsia="Courier New" w:hAnsi="Courier New"/>
          <w:sz w:val="16"/>
          <w:szCs w:val="16"/>
          <w:color w:val="auto"/>
        </w:rPr>
      </w:pPr>
    </w:p>
    <w:p>
      <w:pPr>
        <w:jc w:val="both"/>
        <w:ind w:right="1779" w:firstLine="956"/>
        <w:spacing w:after="0" w:line="237" w:lineRule="auto"/>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Micron in the event of any action by the Board of Directors of PixTech to withdraw or modify its approval of this Agreement or the transactions contemplated hereby, or its recommendation to the stockholders of PixTech to grant the PixTech Stockholder Approval.</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party desiring to terminate this Agreement pursuant to clauses 13.1 (b), (c), (d) or (e) shall give notice of such termination to the other party.</w:t>
      </w:r>
    </w:p>
    <w:p>
      <w:pPr>
        <w:spacing w:after="0" w:line="17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13.2. Effect of Termination. If this Agreement is terminated as permitted by Section 13.1, such termination shall be without liability of either party (or any stockholder, director, officer, employee, agent, consultant or representative of such party) to the other party to this Agreement; provided that if such termination shall result from the willful (i) failure of either party to fulfill a condition to the performance of the obligations of the other party, (ii) failure to perform a covenant of this Agreement or (iii) breach by either party hereto of any representation or warranty or agreement contained herein, such party shall be fully liable for any and all Damages incurred or suffered by the other party as a result of such failure or breach.</w:t>
      </w:r>
    </w:p>
    <w:p>
      <w:pPr>
        <w:spacing w:after="0" w:line="200" w:lineRule="exact"/>
        <w:rPr>
          <w:sz w:val="20"/>
          <w:szCs w:val="20"/>
          <w:color w:val="auto"/>
        </w:rPr>
      </w:pPr>
    </w:p>
    <w:p>
      <w:pPr>
        <w:spacing w:after="0" w:line="38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XIV</w:t>
      </w:r>
    </w:p>
    <w:p>
      <w:pPr>
        <w:jc w:val="center"/>
        <w:ind w:right="187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7" w:name="page48"/>
    <w:bookmarkEnd w:id="47"/>
    <w:p>
      <w:pPr>
        <w:jc w:val="both"/>
        <w:ind w:right="1999" w:firstLine="632"/>
        <w:spacing w:after="0" w:line="236" w:lineRule="auto"/>
        <w:rPr>
          <w:sz w:val="20"/>
          <w:szCs w:val="20"/>
          <w:color w:val="auto"/>
        </w:rPr>
      </w:pPr>
      <w:r>
        <w:rPr>
          <w:rFonts w:ascii="Courier New" w:cs="Courier New" w:eastAsia="Courier New" w:hAnsi="Courier New"/>
          <w:sz w:val="18"/>
          <w:szCs w:val="18"/>
          <w:color w:val="auto"/>
        </w:rPr>
        <w:t>SECTION 14.1. Notices. All notices, requests and other communications to any party hereunder shall be in writing (including facsimile transmission) and shall be given,</w:t>
      </w:r>
    </w:p>
    <w:p>
      <w:pPr>
        <w:spacing w:after="0" w:line="203" w:lineRule="exact"/>
        <w:rPr>
          <w:sz w:val="20"/>
          <w:szCs w:val="20"/>
          <w:color w:val="auto"/>
        </w:rPr>
      </w:pPr>
    </w:p>
    <w:p>
      <w:pPr>
        <w:ind w:left="740"/>
        <w:spacing w:after="0"/>
        <w:tabs>
          <w:tab w:leader="none" w:pos="2300" w:val="left"/>
        </w:tabs>
        <w:rPr>
          <w:sz w:val="20"/>
          <w:szCs w:val="20"/>
          <w:color w:val="auto"/>
        </w:rPr>
      </w:pPr>
      <w:r>
        <w:rPr>
          <w:rFonts w:ascii="Courier New" w:cs="Courier New" w:eastAsia="Courier New" w:hAnsi="Courier New"/>
          <w:sz w:val="18"/>
          <w:szCs w:val="18"/>
          <w:color w:val="auto"/>
        </w:rPr>
        <w:t>if to Micron,</w:t>
      </w:r>
      <w:r>
        <w:rPr>
          <w:sz w:val="20"/>
          <w:szCs w:val="20"/>
          <w:color w:val="auto"/>
        </w:rPr>
        <w:tab/>
      </w:r>
      <w:r>
        <w:rPr>
          <w:rFonts w:ascii="Courier New" w:cs="Courier New" w:eastAsia="Courier New" w:hAnsi="Courier New"/>
          <w:sz w:val="16"/>
          <w:szCs w:val="16"/>
          <w:color w:val="auto"/>
        </w:rPr>
        <w:t>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Micron Technology, Inc.</w:t>
      </w:r>
    </w:p>
    <w:p>
      <w:pPr>
        <w:ind w:left="1900"/>
        <w:spacing w:after="0" w:line="238" w:lineRule="auto"/>
        <w:rPr>
          <w:sz w:val="20"/>
          <w:szCs w:val="20"/>
          <w:color w:val="auto"/>
        </w:rPr>
      </w:pPr>
      <w:r>
        <w:rPr>
          <w:rFonts w:ascii="Courier New" w:cs="Courier New" w:eastAsia="Courier New" w:hAnsi="Courier New"/>
          <w:sz w:val="18"/>
          <w:szCs w:val="18"/>
          <w:color w:val="auto"/>
        </w:rPr>
        <w:t>8000 S. Federal Way</w:t>
      </w:r>
    </w:p>
    <w:p>
      <w:pPr>
        <w:ind w:left="1900"/>
        <w:spacing w:after="0"/>
        <w:rPr>
          <w:sz w:val="20"/>
          <w:szCs w:val="20"/>
          <w:color w:val="auto"/>
        </w:rPr>
      </w:pPr>
      <w:r>
        <w:rPr>
          <w:rFonts w:ascii="Courier New" w:cs="Courier New" w:eastAsia="Courier New" w:hAnsi="Courier New"/>
          <w:sz w:val="18"/>
          <w:szCs w:val="18"/>
          <w:color w:val="auto"/>
        </w:rPr>
        <w:t>Boise, ID 83716-9632</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Telecopy:</w:t>
        <w:tab/>
        <w:t>(208) 368-4540</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(208) 368-4000</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Wilson Sonsini Goodrich &amp; Rosati</w:t>
      </w:r>
    </w:p>
    <w:p>
      <w:pPr>
        <w:ind w:left="1900"/>
        <w:spacing w:after="0" w:line="238" w:lineRule="auto"/>
        <w:rPr>
          <w:sz w:val="20"/>
          <w:szCs w:val="20"/>
          <w:color w:val="auto"/>
        </w:rPr>
      </w:pPr>
      <w:r>
        <w:rPr>
          <w:rFonts w:ascii="Courier New" w:cs="Courier New" w:eastAsia="Courier New" w:hAnsi="Courier New"/>
          <w:sz w:val="18"/>
          <w:szCs w:val="18"/>
          <w:color w:val="auto"/>
        </w:rPr>
        <w:t>650 Page Mill Road</w:t>
      </w:r>
    </w:p>
    <w:p>
      <w:pPr>
        <w:ind w:left="1900"/>
        <w:spacing w:after="0"/>
        <w:rPr>
          <w:sz w:val="20"/>
          <w:szCs w:val="20"/>
          <w:color w:val="auto"/>
        </w:rPr>
      </w:pPr>
      <w:r>
        <w:rPr>
          <w:rFonts w:ascii="Courier New" w:cs="Courier New" w:eastAsia="Courier New" w:hAnsi="Courier New"/>
          <w:sz w:val="18"/>
          <w:szCs w:val="18"/>
          <w:color w:val="auto"/>
        </w:rPr>
        <w:t>Palo Alto, California 94034</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John A. Fore, Esq.</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Telecopy:</w:t>
        <w:tab/>
        <w:t>650-493-6811</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650-493-9300</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if to PixTech,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PixTech, Inc.</w:t>
      </w:r>
    </w:p>
    <w:p>
      <w:pPr>
        <w:ind w:left="1900"/>
        <w:spacing w:after="0" w:line="238" w:lineRule="auto"/>
        <w:rPr>
          <w:sz w:val="20"/>
          <w:szCs w:val="20"/>
          <w:color w:val="auto"/>
        </w:rPr>
      </w:pPr>
      <w:r>
        <w:rPr>
          <w:rFonts w:ascii="Courier New" w:cs="Courier New" w:eastAsia="Courier New" w:hAnsi="Courier New"/>
          <w:sz w:val="18"/>
          <w:szCs w:val="18"/>
          <w:color w:val="auto"/>
        </w:rPr>
        <w:t>Avenue Olivier Perroy</w:t>
      </w:r>
    </w:p>
    <w:p>
      <w:pPr>
        <w:ind w:left="1900"/>
        <w:spacing w:after="0"/>
        <w:rPr>
          <w:sz w:val="20"/>
          <w:szCs w:val="20"/>
          <w:color w:val="auto"/>
        </w:rPr>
      </w:pPr>
      <w:r>
        <w:rPr>
          <w:rFonts w:ascii="Courier New" w:cs="Courier New" w:eastAsia="Courier New" w:hAnsi="Courier New"/>
          <w:sz w:val="18"/>
          <w:szCs w:val="18"/>
          <w:color w:val="auto"/>
        </w:rPr>
        <w:t>Zone Industrielle de Rousset</w:t>
      </w:r>
    </w:p>
    <w:p>
      <w:pPr>
        <w:ind w:left="1900"/>
        <w:spacing w:after="0" w:line="237" w:lineRule="auto"/>
        <w:rPr>
          <w:sz w:val="20"/>
          <w:szCs w:val="20"/>
          <w:color w:val="auto"/>
        </w:rPr>
      </w:pPr>
      <w:r>
        <w:rPr>
          <w:rFonts w:ascii="Courier New" w:cs="Courier New" w:eastAsia="Courier New" w:hAnsi="Courier New"/>
          <w:sz w:val="18"/>
          <w:szCs w:val="18"/>
          <w:color w:val="auto"/>
        </w:rPr>
        <w:t>Rousset 13790 FRANCE</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President</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Telecopy:</w:t>
        <w:tab/>
        <w:t>011-33-4-47-29-05-09</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011-33-4-42-29-10-00</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Palmer &amp; Dodge LLP</w:t>
      </w:r>
    </w:p>
    <w:p>
      <w:pPr>
        <w:ind w:left="1900"/>
        <w:spacing w:after="0" w:line="238" w:lineRule="auto"/>
        <w:rPr>
          <w:sz w:val="20"/>
          <w:szCs w:val="20"/>
          <w:color w:val="auto"/>
        </w:rPr>
      </w:pPr>
      <w:r>
        <w:rPr>
          <w:rFonts w:ascii="Courier New" w:cs="Courier New" w:eastAsia="Courier New" w:hAnsi="Courier New"/>
          <w:sz w:val="18"/>
          <w:szCs w:val="18"/>
          <w:color w:val="auto"/>
        </w:rPr>
        <w:t>One Beacon Street</w:t>
      </w:r>
    </w:p>
    <w:p>
      <w:pPr>
        <w:ind w:left="1900"/>
        <w:spacing w:after="0"/>
        <w:rPr>
          <w:sz w:val="20"/>
          <w:szCs w:val="20"/>
          <w:color w:val="auto"/>
        </w:rPr>
      </w:pPr>
      <w:r>
        <w:rPr>
          <w:rFonts w:ascii="Courier New" w:cs="Courier New" w:eastAsia="Courier New" w:hAnsi="Courier New"/>
          <w:sz w:val="18"/>
          <w:szCs w:val="18"/>
          <w:color w:val="auto"/>
        </w:rPr>
        <w:t>Boston, MA 02108-3190</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Michael Lytton, Esq.</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Telecopy:</w:t>
        <w:tab/>
        <w:t>(617) 573-0100</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(617) 227-4420</w:t>
      </w:r>
    </w:p>
    <w:p>
      <w:pPr>
        <w:spacing w:after="0" w:line="206"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All such notices, requests and other communications shall be deemed received on the date of receipt by the recipient thereof if received prior to 5 p.m. in the place of receipt and such day is a business day in the place of receipt.</w:t>
      </w:r>
    </w:p>
    <w:p>
      <w:pPr>
        <w:spacing w:after="0" w:line="1"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Otherwise, any such notice, request or communication shall be deemed not to have been received until the next succeeding business day in the place of receipt.</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8" w:name="page49"/>
    <w:bookmarkEnd w:id="48"/>
    <w:p>
      <w:pPr>
        <w:ind w:left="640"/>
        <w:spacing w:after="0"/>
        <w:tabs>
          <w:tab w:leader="none" w:pos="1560" w:val="left"/>
          <w:tab w:leader="none" w:pos="2620" w:val="left"/>
        </w:tabs>
        <w:rPr>
          <w:sz w:val="20"/>
          <w:szCs w:val="20"/>
          <w:color w:val="auto"/>
        </w:rPr>
      </w:pPr>
      <w:r>
        <w:rPr>
          <w:rFonts w:ascii="Courier New" w:cs="Courier New" w:eastAsia="Courier New" w:hAnsi="Courier New"/>
          <w:sz w:val="18"/>
          <w:szCs w:val="18"/>
          <w:color w:val="auto"/>
        </w:rPr>
        <w:t>SECTION</w:t>
        <w:tab/>
        <w:t>14.2.</w:t>
      </w:r>
      <w:r>
        <w:rPr>
          <w:sz w:val="20"/>
          <w:szCs w:val="20"/>
          <w:color w:val="auto"/>
        </w:rPr>
        <w:tab/>
      </w:r>
      <w:r>
        <w:rPr>
          <w:rFonts w:ascii="Courier New" w:cs="Courier New" w:eastAsia="Courier New" w:hAnsi="Courier New"/>
          <w:sz w:val="16"/>
          <w:szCs w:val="16"/>
          <w:color w:val="auto"/>
        </w:rPr>
        <w:t>Amendments and Waivers.</w:t>
      </w:r>
    </w:p>
    <w:p>
      <w:pPr>
        <w:spacing w:after="0" w:line="207" w:lineRule="exact"/>
        <w:rPr>
          <w:sz w:val="20"/>
          <w:szCs w:val="20"/>
          <w:color w:val="auto"/>
        </w:rPr>
      </w:pPr>
    </w:p>
    <w:p>
      <w:pPr>
        <w:ind w:right="1779" w:firstLine="851"/>
        <w:spacing w:after="0" w:line="237" w:lineRule="auto"/>
        <w:tabs>
          <w:tab w:leader="none" w:pos="15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207" w:lineRule="exact"/>
        <w:rPr>
          <w:rFonts w:ascii="Courier New" w:cs="Courier New" w:eastAsia="Courier New" w:hAnsi="Courier New"/>
          <w:sz w:val="18"/>
          <w:szCs w:val="18"/>
          <w:color w:val="auto"/>
        </w:rPr>
      </w:pPr>
    </w:p>
    <w:p>
      <w:pPr>
        <w:ind w:right="1879" w:firstLine="851"/>
        <w:spacing w:after="0" w:line="237" w:lineRule="auto"/>
        <w:tabs>
          <w:tab w:leader="none" w:pos="136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in exercising any right, power or privilege hereunder shall operate as a waiver thereof nor shall any single or partial exercise thereof preclude any or other further exercise thereof or the exercise of any other right, power or privilege. The rights and remedies herein provided shall be cumulative and not exclusive of any rights or remedies provided by law.</w:t>
      </w:r>
    </w:p>
    <w:p>
      <w:pPr>
        <w:spacing w:after="0" w:line="210"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SECTION 14.3. Expenses. All costs and expenses incurred in connection with this Agreement shall be paid by the party incurring such cost or expense.</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14.4.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w:t>
      </w:r>
    </w:p>
    <w:p>
      <w:pPr>
        <w:spacing w:after="0" w:line="209"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SECTION 14.5. Governing Law. This Agreement shall be governed by and construed in accordance with the law of the State of Delaware, without regard to the conflicts of law rules of such state.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14.6. Counterparts; Third Party Beneficiaries.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No provision of this Agreement is intended to confer upon any Person other than the parties hereto any rights or remedies hereunder.</w:t>
      </w:r>
    </w:p>
    <w:p>
      <w:pPr>
        <w:spacing w:after="0" w:line="211"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14.7. Entire Agreement. This Agreement, together with the Ancillary Agreements and the Non-Disclosure Agreement, constitute the entire agreement between the parties with respect to the subject matter of this Agreement and supersede all prior agreements and understandings, both oral and written, between the parties with respect to the subject matter of this Agreement, except for Section 16 of that certain letter of intent between the parties dated January 22, 1999, which shall survive execution of this Agreement.</w:t>
      </w:r>
    </w:p>
    <w:p>
      <w:pPr>
        <w:spacing w:after="0" w:line="188"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SECTION 14.8. Captions. The captions herein are included for convenience of reference only and shall be ignored in the construction or interpretation 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14.9. Disclosure Schedules. The parties acknowledge and agree that (i) the Schedules to this Agreement may include certain items and information solely for informational purposes for the convenience of the parties and (ii) the disclosure by a party of any matter in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Schedules shall not be deemed to constitute an acknowledgment by the other party that the matter is required to be disclosed by the terms of this Agreement or that the matter is material. If any Schedule discloses an item or information in such a way as to make its relevance to the disclosure required by another Schedule readily apparent, the matter shall be deemed to have been disclosed in such other Schedule, notwithstanding the omission of an appropriate cross-reference to such other Schedule.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50" w:name="page51"/>
    <w:bookmarkEnd w:id="50"/>
    <w:p>
      <w:pPr>
        <w:ind w:right="187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Acquisition Agreement to be duly executed by their respective authorized officers as of the day and year first above written.</w:t>
      </w: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Steven R. Appleton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PIXTECH,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Dieter Mezger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51" w:name="page52"/>
    <w:bookmarkEnd w:id="51"/>
    <w:p>
      <w:pPr>
        <w:ind w:left="2120"/>
        <w:spacing w:after="0"/>
        <w:rPr>
          <w:sz w:val="20"/>
          <w:szCs w:val="20"/>
          <w:color w:val="auto"/>
        </w:rPr>
      </w:pPr>
      <w:r>
        <w:rPr>
          <w:rFonts w:ascii="Courier New" w:cs="Courier New" w:eastAsia="Courier New" w:hAnsi="Courier New"/>
          <w:sz w:val="18"/>
          <w:szCs w:val="18"/>
          <w:color w:val="auto"/>
        </w:rPr>
        <w:t>Amendment No. 1 to Acquisition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Amendment No. 1 to Acquisition Agreement (the "Amendment") is dated as of April 23, 1999 and amends that certain Acquisition Agreement (the "Acquisition Agreement") dated as of March 19, 1999 between Micron Technology, Inc. ("Micron") and PixTech Inc. ("PixTech"). Capitalized terms used but not defined herein shall have the meaning given them in the Acquisition Agreement.</w:t>
      </w:r>
    </w:p>
    <w:p>
      <w:pPr>
        <w:spacing w:after="0" w:line="209"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WHEREAS, Micron and PixTech have entered into the Acquisition Agreement relating to the acquisition by PixTech of certain assets of Micron's Display Division.</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WHEREAS, Micron and PixTech desire to amend the Acquisition Agreement as set forth herein.</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including the consideration referred to in paragraph 2 below, the sufficiency of which is hereby acknowledged, the parties hereto agree as follows.</w:t>
      </w:r>
    </w:p>
    <w:p>
      <w:pPr>
        <w:spacing w:after="0" w:line="203" w:lineRule="exact"/>
        <w:rPr>
          <w:sz w:val="20"/>
          <w:szCs w:val="20"/>
          <w:color w:val="auto"/>
        </w:rPr>
      </w:pPr>
    </w:p>
    <w:p>
      <w:pPr>
        <w:ind w:left="1060" w:hanging="525"/>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Acquisition Agreement.</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1.1 Section 2.6 of the Acquisition Agreement shall be amended by deleting the last sentence thereof in its entirety.</w:t>
      </w:r>
    </w:p>
    <w:p>
      <w:pPr>
        <w:spacing w:after="0" w:line="208"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1.2 Schedule 1.1-B to the Acquisition Agreement shall be amended by deleting the contract entitled "DABT63-97-C-0001 executed March 25, 1997" from such Schedule.</w:t>
      </w:r>
    </w:p>
    <w:p>
      <w:pPr>
        <w:spacing w:after="0" w:line="209" w:lineRule="exact"/>
        <w:rPr>
          <w:sz w:val="20"/>
          <w:szCs w:val="20"/>
          <w:color w:val="auto"/>
        </w:rPr>
      </w:pPr>
    </w:p>
    <w:p>
      <w:pPr>
        <w:ind w:right="1779" w:firstLine="535"/>
        <w:spacing w:after="0" w:line="269" w:lineRule="auto"/>
        <w:tabs>
          <w:tab w:leader="none" w:pos="1053"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acknowledge and agree that as a result of the foregoing amendments, DARPA Contract No. DABT63-97-C-0001 executed March 25, 1997 (the "Specified Contract") will not be among the Assumed Contracts and Assumed Liabilities to be acquired by PixTech pursuant to the Acquisition Agreement, and the Specified Contract shall remain the asset and liability of Micron. In consideration for deleting the Specified Contract from the Assumed Contracts and Assumed Liabilities to be acquired by PixTech, PixTech agrees that it shall cooperate fully with Micron to permit Micron to satisfy all of its obligations under the Specified Contract. Among other things, PixTech agrees that (i) Micron shall be entitled to satisfy its obligations under the Specified Contract with all necessary assistance, whether technological, financial or otherwise, from PixTech, at no expense to Micron, (ii) if requested by Micron, PixTech shall cooperate with Micron to obtain an amendment to the Specified Contract, whether prior to or following the Closing, to provide that Micron may utilize PixTech's technology and fabrication resources, including its base plate technology, to manufacture displays required to be delivered by Micron to DARPA under the Specified Contract, and (iii) if requested by Micron, PixTech shall deliver to Micron, at no cost to Micron [*]. Each of the displays referenced in clause (iii) above shall have sufficient electronics to run video images from a PixTech-provided video source or sources. Process, design details, and all run cards and probe/test results of the foregoing displays will be provided to Micron by PixTech. Micron will have the right to share or use such information, documents and displays with the U.S. Department of Defense, as it deems appropriate.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5" w:lineRule="exact"/>
        <w:rPr>
          <w:rFonts w:ascii="Courier New" w:cs="Courier New" w:eastAsia="Courier New" w:hAnsi="Courier New"/>
          <w:sz w:val="16"/>
          <w:szCs w:val="16"/>
          <w:color w:val="auto"/>
        </w:rPr>
      </w:pPr>
    </w:p>
    <w:p>
      <w:pPr>
        <w:ind w:right="2319" w:firstLine="8"/>
        <w:spacing w:after="0" w:line="236" w:lineRule="auto"/>
        <w:tabs>
          <w:tab w:leader="none" w:pos="4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has been omitted and separately filed with the Commission. Confidential treatment requested with respect to the omitted portion.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52" w:name="page53"/>
    <w:bookmarkEnd w:id="52"/>
    <w:p>
      <w:pPr>
        <w:ind w:right="1779"/>
        <w:spacing w:after="0" w:line="271" w:lineRule="auto"/>
        <w:rPr>
          <w:sz w:val="20"/>
          <w:szCs w:val="20"/>
          <w:color w:val="auto"/>
        </w:rPr>
      </w:pPr>
      <w:r>
        <w:rPr>
          <w:rFonts w:ascii="Courier New" w:cs="Courier New" w:eastAsia="Courier New" w:hAnsi="Courier New"/>
          <w:sz w:val="16"/>
          <w:szCs w:val="16"/>
          <w:color w:val="auto"/>
        </w:rPr>
        <w:t>Micron, together with representatives of the U.S. Department of Defense, will be allowed to observe and actively participate in any and all fabrication and testing steps in connection with the displays, and to discuss the fabrication and testing of the displays with PixTech technical staff. The parties further agree that in no event shall any activities by Micron to satisfy its obligations under the Specified Contract be construed as a violation of Micron's agreement not to compete set forth in Section 7.4 of the Acquisition Agreement, and the provisions of such Section 7.4 shall be suspended for such purpose.</w:t>
      </w:r>
    </w:p>
    <w:p>
      <w:pPr>
        <w:spacing w:after="0" w:line="186" w:lineRule="exact"/>
        <w:rPr>
          <w:sz w:val="20"/>
          <w:szCs w:val="20"/>
          <w:color w:val="auto"/>
        </w:rPr>
      </w:pPr>
    </w:p>
    <w:p>
      <w:pPr>
        <w:ind w:right="1779" w:firstLine="535"/>
        <w:spacing w:after="0" w:line="236"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several counterparts, each of which shall be deemed an original, but all of which together shall constitute one and the same instrument.</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by their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TECHNOLOGIES,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David A. Cathey, Jr.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Vice President and General Manager-</w:t>
      </w:r>
    </w:p>
    <w:p>
      <w:pPr>
        <w:ind w:left="3580"/>
        <w:spacing w:after="0" w:line="237" w:lineRule="auto"/>
        <w:rPr>
          <w:sz w:val="20"/>
          <w:szCs w:val="20"/>
          <w:color w:val="auto"/>
        </w:rPr>
      </w:pPr>
      <w:r>
        <w:rPr>
          <w:rFonts w:ascii="Courier New" w:cs="Courier New" w:eastAsia="Courier New" w:hAnsi="Courier New"/>
          <w:sz w:val="18"/>
          <w:szCs w:val="18"/>
          <w:color w:val="auto"/>
        </w:rPr>
        <w:t>Display Division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PIXTECH,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Dieter Mezger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3" w:name="page54"/>
    <w:bookmarkEnd w:id="53"/>
    <w:p>
      <w:pPr>
        <w:ind w:left="2120"/>
        <w:spacing w:after="0"/>
        <w:rPr>
          <w:sz w:val="20"/>
          <w:szCs w:val="20"/>
          <w:color w:val="auto"/>
        </w:rPr>
      </w:pPr>
      <w:r>
        <w:rPr>
          <w:rFonts w:ascii="Courier New" w:cs="Courier New" w:eastAsia="Courier New" w:hAnsi="Courier New"/>
          <w:sz w:val="18"/>
          <w:szCs w:val="18"/>
          <w:color w:val="auto"/>
        </w:rPr>
        <w:t>Amendment No. 2 to Acquisition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Amendment No. 2 to Acquisition Agreement (the "Amendment") is dated as of May 17, 1999 and amends that certain Acquisition Agreement dated as of March 19, 1999, as amended by an Amendment No. 1 dated as of April 23, 1999 (as amended, the "Acquisition Agreement"), between Micron Technology, Inc. ("Micron") and PixTech Inc. ("PixTech"). Capitalized terms used but not defined herein shall have the meaning given them in the Acquisition Agreement.</w:t>
      </w:r>
    </w:p>
    <w:p>
      <w:pPr>
        <w:spacing w:after="0" w:line="210"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WHEREAS, Micron and PixTech have entered into the Acquisition Agreement relating to the acquisition by PixTech of certain assets of Micron's Display Division.</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WHEREAS, Micron and PixTech desire to amend the Acquisition Agreement as set forth herein.</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NOW THEREFORE, for good and valuable consideration, the sufficiency of which is hereby acknowledged, the parties hereto agree as follows.</w:t>
      </w:r>
    </w:p>
    <w:p>
      <w:pPr>
        <w:spacing w:after="0" w:line="203" w:lineRule="exact"/>
        <w:rPr>
          <w:sz w:val="20"/>
          <w:szCs w:val="20"/>
          <w:color w:val="auto"/>
        </w:rPr>
      </w:pPr>
    </w:p>
    <w:p>
      <w:pPr>
        <w:ind w:left="960" w:hanging="425"/>
        <w:spacing w:after="0"/>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Acquisition Agreement.</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1.1 The second sentence of Section 9.4 of the Acquisition Agreement shall be amended by adding the following clause in front of the period at the end thereof:</w:t>
      </w:r>
    </w:p>
    <w:p>
      <w:pPr>
        <w:spacing w:after="0" w:line="209" w:lineRule="exact"/>
        <w:rPr>
          <w:sz w:val="20"/>
          <w:szCs w:val="20"/>
          <w:color w:val="auto"/>
        </w:rPr>
      </w:pPr>
    </w:p>
    <w:p>
      <w:pPr>
        <w:ind w:left="540" w:right="2419"/>
        <w:spacing w:after="0" w:line="236" w:lineRule="auto"/>
        <w:rPr>
          <w:sz w:val="20"/>
          <w:szCs w:val="20"/>
          <w:color w:val="auto"/>
        </w:rPr>
      </w:pPr>
      <w:r>
        <w:rPr>
          <w:rFonts w:ascii="Courier New" w:cs="Courier New" w:eastAsia="Courier New" w:hAnsi="Courier New"/>
          <w:sz w:val="18"/>
          <w:szCs w:val="18"/>
          <w:color w:val="auto"/>
        </w:rPr>
        <w:t>"(including any requirement that Micron expend any money or incur any expense or obligation to obtain additional or replacement software licenses)"</w:t>
      </w:r>
    </w:p>
    <w:p>
      <w:pPr>
        <w:spacing w:after="0" w:line="209"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1.2 The last sentence of Section 9.4 of the Acquisition Agreement shall be amended to read in full as follows:</w:t>
      </w:r>
    </w:p>
    <w:p>
      <w:pPr>
        <w:spacing w:after="0" w:line="208"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"If the applicable vendor does not give its consent, or such consent is subject to any condition other than the payment or a fee, or the giving of such consent would for any reason require Micron to obtain additional or replacement software licenses, then such contract shall not be considered an Assumed Contract."</w:t>
      </w: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1.3 The last sentence of Section 9.5(a) to the Acquisition Agreement is amended to read in full as follows:</w:t>
      </w:r>
    </w:p>
    <w:p>
      <w:pPr>
        <w:spacing w:after="0" w:line="20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exercise price of the stock options will be the lesser of (i) $2.25313 or (ii) the closing price for PixTech Common Stock on the Closing Date; provided that if the exercise price as so calculated is more than $1.825 per share, then PixTech will issue additional stock options to the Transferred Employees at such exercise price. The number of additional stock options to be issued will be mutually agreed upon by Micron and PixTech.</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PixTech hereby agrees to indemnify Micron pursuant and subject to Article XII of the Acquisition Agreement from Damages incurred or suffered by Micron or any of its Affiliates as a result of the foregoing amendment to Section 9.5(a) to the Acquisition Agreement.</w:t>
      </w:r>
    </w:p>
    <w:p>
      <w:pPr>
        <w:spacing w:after="0" w:line="207" w:lineRule="exact"/>
        <w:rPr>
          <w:sz w:val="20"/>
          <w:szCs w:val="20"/>
          <w:color w:val="auto"/>
        </w:rPr>
      </w:pPr>
    </w:p>
    <w:p>
      <w:pPr>
        <w:ind w:right="2199" w:firstLine="535"/>
        <w:spacing w:after="0" w:line="236" w:lineRule="auto"/>
        <w:tabs>
          <w:tab w:leader="none" w:pos="105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PixTech hereby agrees that it will preserve all books, records, documents and technological and other information that PixTech acquires from Micron in connection with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sectPr>
      </w:pPr>
    </w:p>
    <w:bookmarkStart w:id="54" w:name="page55"/>
    <w:bookmarkEnd w:id="54"/>
    <w:p>
      <w:pPr>
        <w:ind w:right="1879"/>
        <w:spacing w:after="0" w:line="237" w:lineRule="auto"/>
        <w:rPr>
          <w:sz w:val="20"/>
          <w:szCs w:val="20"/>
          <w:color w:val="auto"/>
        </w:rPr>
      </w:pPr>
      <w:r>
        <w:rPr>
          <w:rFonts w:ascii="Courier New" w:cs="Courier New" w:eastAsia="Courier New" w:hAnsi="Courier New"/>
          <w:sz w:val="18"/>
          <w:szCs w:val="18"/>
          <w:color w:val="auto"/>
        </w:rPr>
        <w:t>Acquired Assets and Assumed Liabilities for a minimum period of five years following the Closing Date. Micron and PixTech acknowledge that all such books, records, documents and technological and other information will be subject to the confidentiality provisions of the Non-Disclosure Agreement. Notwithstanding the foregoing, PixTech may dispose of, transfer, sell, convey, hypothecate, lease or deliver any of the Acquired Assets as it deems fit during such five year period.</w:t>
      </w:r>
    </w:p>
    <w:p>
      <w:pPr>
        <w:spacing w:after="0" w:line="211" w:lineRule="exact"/>
        <w:rPr>
          <w:sz w:val="20"/>
          <w:szCs w:val="20"/>
          <w:color w:val="auto"/>
        </w:rPr>
      </w:pPr>
    </w:p>
    <w:p>
      <w:pPr>
        <w:ind w:right="1779" w:firstLine="535"/>
        <w:spacing w:after="0" w:line="236" w:lineRule="auto"/>
        <w:tabs>
          <w:tab w:leader="none" w:pos="105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several counterparts, each of which shall be deemed an original, but all of which together shall constitute one and the same instrument.</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by their authorized officers as of the day and year first above written.</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PIXTECH,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3720" w:space="720"/>
            <w:col w:w="5779"/>
          </w:cols>
          <w:pgMar w:left="240" w:top="723" w:right="1440" w:bottom="1440" w:gutter="0" w:footer="0" w:header="0"/>
          <w:type w:val="continuous"/>
        </w:sectPr>
      </w:pPr>
    </w:p>
    <w:p>
      <w:pPr>
        <w:spacing w:after="0" w:line="24" w:lineRule="exact"/>
        <w:rPr>
          <w:sz w:val="20"/>
          <w:szCs w:val="20"/>
          <w:color w:val="auto"/>
        </w:rPr>
      </w:pPr>
    </w:p>
    <w:p>
      <w:pPr>
        <w:jc w:val="both"/>
        <w:ind w:left="420" w:right="660" w:hanging="419"/>
        <w:spacing w:after="0" w:line="237" w:lineRule="auto"/>
        <w:tabs>
          <w:tab w:leader="none" w:pos="400" w:val="left"/>
        </w:tabs>
        <w:rPr>
          <w:sz w:val="20"/>
          <w:szCs w:val="20"/>
          <w:color w:val="auto"/>
        </w:rPr>
      </w:pPr>
      <w:r>
        <w:rPr>
          <w:rFonts w:ascii="Courier New" w:cs="Courier New" w:eastAsia="Courier New" w:hAnsi="Courier New"/>
          <w:sz w:val="18"/>
          <w:szCs w:val="18"/>
          <w:color w:val="auto"/>
        </w:rPr>
        <w:t>By:</w:t>
        <w:tab/>
        <w:t>/s/ Dieter Mezger ----------------------------- President and Chief Executive Officer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319" w:hanging="419"/>
        <w:spacing w:after="0" w:line="237" w:lineRule="auto"/>
        <w:rPr>
          <w:sz w:val="20"/>
          <w:szCs w:val="20"/>
          <w:color w:val="auto"/>
        </w:rPr>
      </w:pPr>
      <w:r>
        <w:rPr>
          <w:rFonts w:ascii="Courier New" w:cs="Courier New" w:eastAsia="Courier New" w:hAnsi="Courier New"/>
          <w:sz w:val="18"/>
          <w:szCs w:val="18"/>
          <w:color w:val="auto"/>
        </w:rPr>
        <w:t>By:</w:t>
      </w:r>
      <w:r>
        <w:rPr>
          <w:sz w:val="20"/>
          <w:szCs w:val="20"/>
          <w:color w:val="auto"/>
        </w:rPr>
        <w:t xml:space="preserve"> </w:t>
      </w:r>
      <w:r>
        <w:rPr>
          <w:rFonts w:ascii="Courier New" w:cs="Courier New" w:eastAsia="Courier New" w:hAnsi="Courier New"/>
          <w:sz w:val="18"/>
          <w:szCs w:val="18"/>
          <w:color w:val="auto"/>
        </w:rPr>
        <w:t>/s/ W.G. Stover, Jr. ----------------------------- Vice President of Finance and Chief Financial Officer</w:t>
      </w:r>
    </w:p>
    <w:p>
      <w:pPr>
        <w:spacing w:after="0" w:line="200" w:lineRule="exact"/>
        <w:rPr>
          <w:sz w:val="20"/>
          <w:szCs w:val="20"/>
          <w:color w:val="auto"/>
        </w:rPr>
      </w:pPr>
    </w:p>
    <w:p>
      <w:pPr>
        <w:sectPr>
          <w:pgSz w:w="11900" w:h="16838" w:orient="portrait"/>
          <w:cols w:equalWidth="0" w:num="2">
            <w:col w:w="4140" w:space="720"/>
            <w:col w:w="5359"/>
          </w:cols>
          <w:pgMar w:left="240" w:top="723" w:right="1440" w:bottom="1440" w:gutter="0" w:footer="0" w:header="0"/>
          <w:type w:val="continuous"/>
        </w:sectPr>
      </w:pP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723" w:right="1440" w:bottom="1440" w:gutter="0" w:footer="0" w:header="0"/>
          <w:type w:val="continuous"/>
        </w:sectPr>
      </w:pPr>
    </w:p>
    <w:bookmarkStart w:id="55" w:name="page56"/>
    <w:bookmarkEnd w:id="55"/>
    <w:p>
      <w:pPr>
        <w:jc w:val="right"/>
        <w:ind w:right="1779"/>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INVESTOR RIGHTS AGREEMENT</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This Investor Rights Agreement (this "Agreement") is made and entered into</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 of May 19, 1999, by and among Micron Technology, Inc., a Delaware corporation (the "Investor"), and PixTech Incorporated, a Delaware corporation (the</w:t>
      </w:r>
    </w:p>
    <w:p>
      <w:pPr>
        <w:ind w:left="64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"Company").</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 E C I T A L S</w:t>
      </w:r>
    </w:p>
    <w:p>
      <w:pPr>
        <w:ind w:left="3380"/>
        <w:spacing w:after="0" w:line="238" w:lineRule="auto"/>
        <w:rPr>
          <w:sz w:val="20"/>
          <w:szCs w:val="20"/>
          <w:color w:val="auto"/>
        </w:rPr>
      </w:pPr>
      <w:r>
        <w:rPr>
          <w:rFonts w:ascii="Courier New" w:cs="Courier New" w:eastAsia="Courier New" w:hAnsi="Courier New"/>
          <w:sz w:val="18"/>
          <w:szCs w:val="18"/>
          <w:color w:val="auto"/>
        </w:rPr>
        <w:t>- - - - - - - -</w:t>
      </w:r>
    </w:p>
    <w:p>
      <w:pPr>
        <w:spacing w:after="0" w:line="207" w:lineRule="exact"/>
        <w:rPr>
          <w:sz w:val="20"/>
          <w:szCs w:val="20"/>
          <w:color w:val="auto"/>
        </w:rPr>
      </w:pPr>
    </w:p>
    <w:p>
      <w:pPr>
        <w:ind w:right="1879" w:firstLine="535"/>
        <w:spacing w:after="0" w:line="268" w:lineRule="auto"/>
        <w:tabs>
          <w:tab w:leader="none" w:pos="105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Investor has agreed to purchase from the Company, and the Company has agreed to sell to the Investor, (i) shares of the Company's Common Stock (the "Common Stock") on the terms and conditions set forth in the Acquisition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 between Investor and the Company, dated as of March 19, 1999 (the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Agreement"), and (ii) a warrant ("Warrant") on terms and conditions</w:t>
      </w:r>
    </w:p>
    <w:p>
      <w:pPr>
        <w:spacing w:after="0" w:line="16"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 forth in the Common Stock Warrant between Investor and the Company, dated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May 19, 1999 (the "Warrant Agreement").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35"/>
        <w:spacing w:after="0" w:line="290" w:lineRule="auto"/>
        <w:tabs>
          <w:tab w:leader="none" w:pos="105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an inducement and a condition to entering into the Acquisition Agreement, the Company has agreed to enter into the Agreement.</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the mutual covenants and agreements hereinafter set forth, and other good and valuable consideration, the receipt and sufficiency of which are hereby acknowledged, the parties hereto hereby agree as follows:</w:t>
      </w:r>
    </w:p>
    <w:p>
      <w:pPr>
        <w:spacing w:after="0" w:line="202" w:lineRule="exact"/>
        <w:rPr>
          <w:sz w:val="20"/>
          <w:szCs w:val="20"/>
          <w:color w:val="auto"/>
        </w:rPr>
      </w:pPr>
    </w:p>
    <w:p>
      <w:pPr>
        <w:ind w:left="540" w:hanging="532"/>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RIGHTS.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  Financial Information.  The Company covenants and agrees that,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commencing on the date of this Agreement, for so long as the Investor holds shares of Common Stock issued under this Agreement or the Acquisition Agreement or shares of Common Stock issued or issuable pursuant to exercise of the Warrant, the Company will:</w:t>
      </w:r>
    </w:p>
    <w:p>
      <w:pPr>
        <w:spacing w:after="0" w:line="202" w:lineRule="exact"/>
        <w:rPr>
          <w:sz w:val="20"/>
          <w:szCs w:val="20"/>
          <w:color w:val="auto"/>
        </w:rPr>
      </w:pPr>
    </w:p>
    <w:p>
      <w:pPr>
        <w:ind w:left="1480" w:hanging="419"/>
        <w:spacing w:after="0"/>
        <w:tabs>
          <w:tab w:leader="none" w:pos="14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Reports.  Furnish to the Investor promptly following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filing of such report with the U.S. Securities and Exchange Commission (the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a copy of the Company's Annual Report on Form 10-K for each fiscal year,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which shall include the financial information required by such Annual Report. In the event the Company shall no longer be required to file Annual Reports on Form 10-K, the Company shall, within ninety (90) days following the end of each respective fiscal year, deliver to the Investor a copy of the financial information required by such Annual Report.</w:t>
      </w:r>
    </w:p>
    <w:p>
      <w:pPr>
        <w:spacing w:after="0" w:line="209" w:lineRule="exact"/>
        <w:rPr>
          <w:sz w:val="20"/>
          <w:szCs w:val="20"/>
          <w:color w:val="auto"/>
        </w:rPr>
      </w:pPr>
    </w:p>
    <w:p>
      <w:pPr>
        <w:ind w:left="1480" w:hanging="419"/>
        <w:spacing w:after="0"/>
        <w:tabs>
          <w:tab w:leader="none" w:pos="1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Reports.  Furnish to the Investor promptly following the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filing of such report with the SEC, a copy of each of the Company's Quarterly Reports on Form 10-Q, which shall include the financial information required by such form. In the event the Company shall no longer be required to file Quarterly Reports on Form 10-Q, the Company shall, within forty-five (45) days following the end of each of the first three (3) fiscal quarters of each fiscal year, deliver to the Investor the financial information required by such form.</w:t>
      </w:r>
    </w:p>
    <w:p>
      <w:pPr>
        <w:sectPr>
          <w:pgSz w:w="11900" w:h="16838" w:orient="portrait"/>
          <w:cols w:equalWidth="0" w:num="1">
            <w:col w:w="10219"/>
          </w:cols>
          <w:pgMar w:left="240" w:top="541" w:right="1440" w:bottom="1440" w:gutter="0" w:footer="0" w:header="0"/>
        </w:sectPr>
      </w:pPr>
    </w:p>
    <w:bookmarkStart w:id="56" w:name="page57"/>
    <w:bookmarkEnd w:id="56"/>
    <w:p>
      <w:pPr>
        <w:ind w:left="1480" w:hanging="419"/>
        <w:spacing w:after="0"/>
        <w:tabs>
          <w:tab w:leader="none" w:pos="14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Filing.  The Company shall deliver to the Investor copies of</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each other document filed with the SEC (as defined herein) promptly following the filing of such document with the SEC.</w:t>
      </w:r>
    </w:p>
    <w:p>
      <w:pPr>
        <w:spacing w:after="0" w:line="203" w:lineRule="exact"/>
        <w:rPr>
          <w:sz w:val="20"/>
          <w:szCs w:val="20"/>
          <w:color w:val="auto"/>
        </w:rPr>
      </w:pPr>
    </w:p>
    <w:p>
      <w:pPr>
        <w:ind w:left="540"/>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1.2</w:t>
        <w:tab/>
        <w:t>Board Observer.</w:t>
      </w:r>
      <w:r>
        <w:rPr>
          <w:sz w:val="20"/>
          <w:szCs w:val="20"/>
          <w:color w:val="auto"/>
        </w:rPr>
        <w:tab/>
      </w:r>
      <w:r>
        <w:rPr>
          <w:rFonts w:ascii="Courier New" w:cs="Courier New" w:eastAsia="Courier New" w:hAnsi="Courier New"/>
          <w:sz w:val="16"/>
          <w:szCs w:val="16"/>
          <w:color w:val="auto"/>
        </w:rPr>
        <w:t>So long as the Investor, together with 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subsidiaries holds at least the number of shares of the Company's Common Stock equal to ten percent (10%) of the number of shares of the Company's Common Stock outstanding the Company will permit a representative of the Investor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"Observer"), to attend all meetings of the Company's Board of Directors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"Board") in a nonvoting, observer capacity and shall provide to the Investor,</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concurrently with the members of the Board, notice of such meeting and a copy of all materials provided to such members. At the Observer's option, he may attend the meetings either by teleconference or in person. In lieu of attending the meeting in person, the Observer may choose to participate in the meeting telephonically from the same location as the Company's Chief Executive Officer or the Chairman. For so long as the Investor shall be entitled to appoint an Observer pursuant to this Section, the Investor shall, by written election delivered to the Company, be entitled to designate a representative for appointment or election to the Board (the "Representative"), in lieu of the</w:t>
      </w:r>
    </w:p>
    <w:p>
      <w:pPr>
        <w:ind w:left="454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Observer contemplated above. Upon written request of the Investor, the Company shall use its best efforts to cause the Representative designated by the Investor to be elected to the Board, including recommending to the stockholders of the Company that they vote for the election to the Board of the individual designated by the Investor of the Representative to the Board at the next regularly scheduled meeting of the stockholders of the Company.</w:t>
      </w:r>
    </w:p>
    <w:p>
      <w:pPr>
        <w:spacing w:after="0" w:line="204"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  Definitions.  For purposes of this Section 2:</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The terms "register," "registered" and</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"registration" refer to a registration effected by preparing and filing a</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registration statement in compliance with the Securities Act of 1933, as amended (the "Securities Act"), and the declaration or ordering of effectiveness of such</w:t>
      </w:r>
    </w:p>
    <w:p>
      <w:pPr>
        <w:ind w:left="64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registration statement.</w:t>
      </w:r>
    </w:p>
    <w:p>
      <w:pPr>
        <w:spacing w:after="0" w:line="206" w:lineRule="exact"/>
        <w:rPr>
          <w:sz w:val="20"/>
          <w:szCs w:val="20"/>
          <w:color w:val="auto"/>
        </w:rPr>
      </w:pPr>
    </w:p>
    <w:p>
      <w:pPr>
        <w:ind w:left="1480" w:hanging="419"/>
        <w:spacing w:after="0"/>
        <w:tabs>
          <w:tab w:leader="none" w:pos="148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The term "Registrable Securities" means:</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right="1999" w:firstLine="8"/>
        <w:spacing w:after="0" w:line="268" w:lineRule="auto"/>
        <w:tabs>
          <w:tab w:leader="none" w:pos="42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shares of Common Stock of the Company issued or issuable (A) under the Acquisition Agreement, and (B) pursuant to an exercise of the Warrant (shares issued or issuable upon exercise of the Warrant are referred to herein as the "Warrant Shares"), and (2) any shares of Common Stock of the Company</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issued as (or issuable upon the conversion or exercise of any warrant, right or other security which is issued as) a dividend or other distribution with respect to, or in exchange for or in replacement of, any such shares of Common Stock described in clause (1) of this subsection (b).</w:t>
      </w:r>
    </w:p>
    <w:p>
      <w:pPr>
        <w:spacing w:after="0" w:line="207" w:lineRule="exact"/>
        <w:rPr>
          <w:rFonts w:ascii="Courier New" w:cs="Courier New" w:eastAsia="Courier New" w:hAnsi="Courier New"/>
          <w:sz w:val="16"/>
          <w:szCs w:val="16"/>
          <w:color w:val="auto"/>
        </w:rPr>
      </w:pPr>
    </w:p>
    <w:p>
      <w:pPr>
        <w:ind w:left="1480" w:hanging="419"/>
        <w:spacing w:after="0"/>
        <w:tabs>
          <w:tab w:leader="none" w:pos="148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Then Outstanding.  The number of shares of</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"Registrable Securities then outstanding" shall mean the number of shares of</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Common Stock that are Registrable Securities and (1) are then issued and outstanding or (2) are then issuable pursuant to an exercise of the Warrant.</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7" w:name="page58"/>
    <w:bookmarkEnd w:id="57"/>
    <w:p>
      <w:pPr>
        <w:ind w:left="1060"/>
        <w:spacing w:after="0"/>
        <w:tabs>
          <w:tab w:leader="none" w:pos="2420" w:val="left"/>
        </w:tabs>
        <w:rPr>
          <w:sz w:val="20"/>
          <w:szCs w:val="20"/>
          <w:color w:val="auto"/>
        </w:rPr>
      </w:pPr>
      <w:r>
        <w:rPr>
          <w:rFonts w:ascii="Courier New" w:cs="Courier New" w:eastAsia="Courier New" w:hAnsi="Courier New"/>
          <w:sz w:val="18"/>
          <w:szCs w:val="18"/>
          <w:color w:val="auto"/>
        </w:rPr>
        <w:t>(d) Holder.</w:t>
      </w:r>
      <w:r>
        <w:rPr>
          <w:sz w:val="20"/>
          <w:szCs w:val="20"/>
          <w:color w:val="auto"/>
        </w:rPr>
        <w:tab/>
      </w:r>
      <w:r>
        <w:rPr>
          <w:rFonts w:ascii="Courier New" w:cs="Courier New" w:eastAsia="Courier New" w:hAnsi="Courier New"/>
          <w:sz w:val="16"/>
          <w:szCs w:val="16"/>
          <w:color w:val="auto"/>
        </w:rPr>
        <w:t>For purposes of this Section 2, the term "Holder" means</w:t>
      </w:r>
    </w:p>
    <w:p>
      <w:pPr>
        <w:ind w:left="1480"/>
        <w:spacing w:after="0" w:line="238" w:lineRule="auto"/>
        <w:tabs>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20"/>
                <w:szCs w:val="20"/>
                <w:color w:val="auto"/>
              </w:rPr>
            </w:pPr>
            <w:r>
              <w:rPr>
                <w:rFonts w:ascii="Courier New" w:cs="Courier New" w:eastAsia="Courier New" w:hAnsi="Courier New"/>
                <w:sz w:val="18"/>
                <w:szCs w:val="18"/>
                <w:color w:val="auto"/>
              </w:rPr>
              <w:t>any</w:t>
            </w:r>
          </w:p>
        </w:tc>
        <w:tc>
          <w:tcPr>
            <w:tcW w:w="7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person owning of record Registrable Securities that have not been sold</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public or pursuant to Rule 144 promulgated under</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Securities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 or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w:t>
            </w:r>
          </w:p>
        </w:tc>
      </w:tr>
      <w:tr>
        <w:trPr>
          <w:trHeight w:val="203"/>
        </w:trPr>
        <w:tc>
          <w:tcPr>
            <w:tcW w:w="6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permitted assignee of record of such Registrable Securities to</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whom</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under</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this Section 2 have been duly assigned in accordance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this</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Agreement.</w:t>
            </w:r>
          </w:p>
        </w:tc>
        <w:tc>
          <w:tcPr>
            <w:tcW w:w="580" w:type="dxa"/>
            <w:vAlign w:val="bottom"/>
          </w:tcPr>
          <w:p>
            <w:pPr>
              <w:spacing w:after="0"/>
              <w:rPr>
                <w:sz w:val="17"/>
                <w:szCs w:val="17"/>
                <w:color w:val="auto"/>
              </w:rPr>
            </w:pPr>
          </w:p>
        </w:tc>
      </w:tr>
    </w:tbl>
    <w:p>
      <w:pPr>
        <w:spacing w:after="0" w:line="201"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(e) Form S-3.</w:t>
      </w:r>
      <w:r>
        <w:rPr>
          <w:sz w:val="20"/>
          <w:szCs w:val="20"/>
          <w:color w:val="auto"/>
        </w:rPr>
        <w:tab/>
      </w:r>
      <w:r>
        <w:rPr>
          <w:rFonts w:ascii="Courier New" w:cs="Courier New" w:eastAsia="Courier New" w:hAnsi="Courier New"/>
          <w:sz w:val="16"/>
          <w:szCs w:val="16"/>
          <w:color w:val="auto"/>
        </w:rPr>
        <w:t>The term "Form S-3" means such form under the</w:t>
      </w:r>
    </w:p>
    <w:p>
      <w:pPr>
        <w:ind w:left="1480"/>
        <w:spacing w:after="0" w:line="238" w:lineRule="auto"/>
        <w:tabs>
          <w:tab w:leader="none" w:pos="3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Securities Act as is in effect on the date hereof or any successor registration form under the Securities Act subsequently adopted by the SEC which permits inclusion or incorporation of substantial information by reference to other documents filed by the Company with the SEC.</w:t>
      </w:r>
    </w:p>
    <w:p>
      <w:pPr>
        <w:sectPr>
          <w:pgSz w:w="11900" w:h="16838" w:orient="portrait"/>
          <w:cols w:equalWidth="0" w:num="1">
            <w:col w:w="10219"/>
          </w:cols>
          <w:pgMar w:left="240" w:top="717" w:right="1440" w:bottom="1440" w:gutter="0" w:footer="0" w:header="0"/>
        </w:sectPr>
      </w:pP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 SEC.</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Commission.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term "SEC" or "Commission" means the U.S. Securities and</w:t>
      </w:r>
    </w:p>
    <w:p>
      <w:pPr>
        <w:spacing w:after="0" w:line="16" w:lineRule="exact"/>
        <w:rPr>
          <w:sz w:val="20"/>
          <w:szCs w:val="20"/>
          <w:color w:val="auto"/>
        </w:rPr>
      </w:pPr>
    </w:p>
    <w:p>
      <w:pPr>
        <w:ind w:left="1040"/>
        <w:spacing w:after="0"/>
        <w:tabs>
          <w:tab w:leader="none" w:pos="1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85" w:lineRule="exact"/>
        <w:rPr>
          <w:sz w:val="20"/>
          <w:szCs w:val="20"/>
          <w:color w:val="auto"/>
        </w:rPr>
      </w:pPr>
    </w:p>
    <w:p>
      <w:pPr>
        <w:sectPr>
          <w:pgSz w:w="11900" w:h="16838" w:orient="portrait"/>
          <w:cols w:equalWidth="0" w:num="2">
            <w:col w:w="2120" w:space="0"/>
            <w:col w:w="8099"/>
          </w:cols>
          <w:pgMar w:left="240" w:top="717" w:right="1440" w:bottom="1440" w:gutter="0" w:footer="0" w:header="0"/>
          <w:type w:val="continuous"/>
        </w:sectPr>
      </w:pPr>
    </w:p>
    <w:p>
      <w:pPr>
        <w:spacing w:after="0" w:line="1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Demand Registration.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p>
      <w:pPr>
        <w:spacing w:after="0" w:line="202" w:lineRule="exact"/>
        <w:rPr>
          <w:sz w:val="20"/>
          <w:szCs w:val="20"/>
          <w:color w:val="auto"/>
        </w:rPr>
      </w:pPr>
    </w:p>
    <w:p>
      <w:pPr>
        <w:ind w:left="1480" w:hanging="419"/>
        <w:spacing w:after="0"/>
        <w:tabs>
          <w:tab w:leader="none" w:pos="14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by Holders.  If the Company shall at any time after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nine month anniversary of the Closing, as defined in the Acquisition Agreement, receive a written request from the Holders of at least twenty-five percent (25%) of the Registrable Securities then outstanding that the Company file a registration statement under the Securities Act covering the registration of Registrable Securities pursuant to this Section 2.2, then the Company shall, within ten (10) business days of the receipt of such written request, give written notice of such request ("Request Notice") to all Holders, and use its</w:t>
      </w:r>
    </w:p>
    <w:p>
      <w:pPr>
        <w:ind w:left="348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best efforts to effect, as soon as practicable, the registration under the Securities Act of all Registrable Securities that Holders request to be registered and included in such registration by written notice given by such Holders to the Company within twenty (20) days after receipt of the Request Notice, subject only to the limitations of this Section 2.2. No registration shall be required under this section unless shares requested to be included have an aggregate market value as of the date of Request Notice of at least $500,000.</w:t>
      </w:r>
    </w:p>
    <w:p>
      <w:pPr>
        <w:spacing w:after="0" w:line="188" w:lineRule="exact"/>
        <w:rPr>
          <w:sz w:val="20"/>
          <w:szCs w:val="20"/>
          <w:color w:val="auto"/>
        </w:rPr>
      </w:pPr>
    </w:p>
    <w:p>
      <w:pPr>
        <w:ind w:left="1480" w:hanging="419"/>
        <w:spacing w:after="0"/>
        <w:tabs>
          <w:tab w:leader="none" w:pos="14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If the Holders initiating the registration request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under this Section 2.2 ("Initiating Holders") intend to distribute the</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Registrable Securities covered by their request by means of an underwriting, then they shall so advise the Company as a part of their request made pursuant to this Section 2.2 and the Company shall include such information in the written notice referred to in subsection 2.2(a).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 ment in customary form with the managing underwriter or underwriters selected for such underwriting by the Holders of a majority of the Registrable Securities being registered and reasonably acceptable to the Company (including a market stand-off agreement of up to 180 days if required by such under writers). Notwithstanding any other provision of this Section 2.2, if the managing underwriter advises the Company in writing that marketing factors require a limitation of the number of securities to be under written then the Company shall so advise all Holders of Registrable Securities which would otherwise be registered and underwritten pursuant hereto, and the number of Registrable Securities that may be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type w:val="continuous"/>
        </w:sectPr>
      </w:pPr>
    </w:p>
    <w:bookmarkStart w:id="58" w:name="page59"/>
    <w:bookmarkEnd w:id="58"/>
    <w:p>
      <w:pPr>
        <w:ind w:right="1879"/>
        <w:spacing w:after="0" w:line="268" w:lineRule="auto"/>
        <w:rPr>
          <w:sz w:val="20"/>
          <w:szCs w:val="20"/>
          <w:color w:val="auto"/>
        </w:rPr>
      </w:pPr>
      <w:r>
        <w:rPr>
          <w:rFonts w:ascii="Courier New" w:cs="Courier New" w:eastAsia="Courier New" w:hAnsi="Courier New"/>
          <w:sz w:val="16"/>
          <w:szCs w:val="16"/>
          <w:color w:val="auto"/>
        </w:rPr>
        <w:t>included in the underwriting shall be reduced as required by the underwriters and allocated among the Holders of Registrable Securities on a pro rata basis according to the number of Registrable Securities then outstanding held by each Holder requesting registration (including the Initiating Holders); provided,</w:t>
      </w:r>
    </w:p>
    <w:p>
      <w:pPr>
        <w:ind w:left="7060"/>
        <w:spacing w:after="0" w:line="234"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however, that, subject to the rights of those existing stockholders of the</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 who have previously been granted registration rights, the number of shares of Registrable Securities to be included in such underwriting and registration shall not be reduced unless all other securities of the Company are first entirely excluded from the underwriting and registration. Any Registrable Securities excluded and withdrawn from such underwriting shall be withdrawn from the registration.</w:t>
      </w:r>
    </w:p>
    <w:p>
      <w:pPr>
        <w:spacing w:after="0" w:line="204" w:lineRule="exact"/>
        <w:rPr>
          <w:sz w:val="20"/>
          <w:szCs w:val="20"/>
          <w:color w:val="auto"/>
        </w:rPr>
      </w:pPr>
    </w:p>
    <w:p>
      <w:pPr>
        <w:ind w:left="1480" w:hanging="419"/>
        <w:spacing w:after="0"/>
        <w:tabs>
          <w:tab w:leader="none" w:pos="14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Number of Demand Registrations. The Company shall be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obligated to effect up to six (6) such registrations pursuant to this Section 2.2. Such registration shall be available to Holders only at such times as a Form S-3 registration pursuant to Section 2.4 is not available to the Company. The total number of registrations under Section 2.2 and Section 2.4 cannot exceed twelve (12).</w:t>
      </w:r>
    </w:p>
    <w:p>
      <w:pPr>
        <w:spacing w:after="0" w:line="203"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(d) Deferral.</w:t>
      </w:r>
      <w:r>
        <w:rPr>
          <w:sz w:val="20"/>
          <w:szCs w:val="20"/>
          <w:color w:val="auto"/>
        </w:rPr>
        <w:tab/>
      </w:r>
      <w:r>
        <w:rPr>
          <w:rFonts w:ascii="Courier New" w:cs="Courier New" w:eastAsia="Courier New" w:hAnsi="Courier New"/>
          <w:sz w:val="16"/>
          <w:szCs w:val="16"/>
          <w:color w:val="auto"/>
        </w:rPr>
        <w:t>Notwithstanding the foregoing, if the Company shall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furnish to Holders requesting the filing of a registration statement pursuant to this Section 2.2, a certificate signed by the President or Chief Executive Officer of the Company stating that in the good faith judgment of the Board, it would be materially detrimental to the Company and its stockholders for such registration statement to be filed, then the Company shall have the right to defer such filing for a period of not more than one hundred twenty (120) days after receipt of the request of the Initiating Holders; provided, however, that</w:t>
      </w:r>
    </w:p>
    <w:p>
      <w:pPr>
        <w:ind w:left="5900"/>
        <w:spacing w:after="0" w:line="234" w:lineRule="auto"/>
        <w:tabs>
          <w:tab w:leader="none" w:pos="694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may not utilize this right more than once in any twelve-month period.</w:t>
      </w:r>
    </w:p>
    <w:p>
      <w:pPr>
        <w:spacing w:after="0" w:line="203" w:lineRule="exact"/>
        <w:rPr>
          <w:sz w:val="20"/>
          <w:szCs w:val="20"/>
          <w:color w:val="auto"/>
        </w:rPr>
      </w:pPr>
    </w:p>
    <w:p>
      <w:pPr>
        <w:ind w:left="1480" w:hanging="419"/>
        <w:spacing w:after="0"/>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All expenses incurred in connection with 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registration pursuant to this Section 2.2, including, without limitation, all federal and "blue sky" registration, filing and qualifica tion fees, printer's and accounting fees, and fees and disbursements of counsel for the Company (but excluding underwriters' discounts and commissions relating to shares sold by the Holders and legal fees of counsel for the Holders), shall be borne by the Company. Each Holder participating in a registration pursuant to this Section 2.2 shall bear such Holder's proportionate share (based on the total number of shares sold in such registration other than for the account of the Company) of all discounts, commissions or other amounts payable to underwriters or brokers, and the Holder's legal fees, in connection with such offering by the Holders.</w:t>
      </w:r>
    </w:p>
    <w:p>
      <w:pPr>
        <w:spacing w:after="0" w:line="184" w:lineRule="exact"/>
        <w:rPr>
          <w:sz w:val="20"/>
          <w:szCs w:val="20"/>
          <w:color w:val="auto"/>
        </w:rPr>
      </w:pPr>
    </w:p>
    <w:p>
      <w:pPr>
        <w:ind w:left="540"/>
        <w:spacing w:after="0"/>
        <w:tabs>
          <w:tab w:leader="none" w:pos="1040" w:val="left"/>
          <w:tab w:leader="none" w:pos="3780" w:val="left"/>
        </w:tabs>
        <w:rPr>
          <w:sz w:val="20"/>
          <w:szCs w:val="20"/>
          <w:color w:val="auto"/>
        </w:rPr>
      </w:pPr>
      <w:r>
        <w:rPr>
          <w:rFonts w:ascii="Courier New" w:cs="Courier New" w:eastAsia="Courier New" w:hAnsi="Courier New"/>
          <w:sz w:val="18"/>
          <w:szCs w:val="18"/>
          <w:color w:val="auto"/>
        </w:rPr>
        <w:t>2.3</w:t>
        <w:tab/>
        <w:t>Piggyback Registrations.</w:t>
      </w:r>
      <w:r>
        <w:rPr>
          <w:sz w:val="20"/>
          <w:szCs w:val="20"/>
          <w:color w:val="auto"/>
        </w:rPr>
        <w:tab/>
      </w:r>
      <w:r>
        <w:rPr>
          <w:rFonts w:ascii="Courier New" w:cs="Courier New" w:eastAsia="Courier New" w:hAnsi="Courier New"/>
          <w:sz w:val="16"/>
          <w:szCs w:val="16"/>
          <w:color w:val="auto"/>
        </w:rPr>
        <w:t>The Company shall notify all Holders of</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Registrable Securities in writing at least thirty (30) days prior to filing any registration statement under the Securities Act for purposes of effecting a public offering of securities of the Company (including, but not limited to, regis tration statements relating to secondary offerings of securities of the Company (but excluding registration statements relating to any registration under Section 2.2 or Section 2.4 of this Agreement, to any employee benefit plan or to any merger or other corporate reorganization)) and will afford each such Holder an opportunity to include in such registration statement all or any part of the Registrable Securities then held by such Holder. Each Holder desiring to include in any such registration statement all or any part of the Registrable Securities held by such Holder shall within twenty (20) days after receipt of the above-described notice from the Company, so notify the Company in writing, and in such notice shall inform the Company of the number of Registrable Securities such Holder wishes to include in such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72" w:lineRule="auto"/>
        <w:rPr>
          <w:sz w:val="20"/>
          <w:szCs w:val="20"/>
          <w:color w:val="auto"/>
        </w:rPr>
      </w:pPr>
      <w:r>
        <w:rPr>
          <w:rFonts w:ascii="Courier New" w:cs="Courier New" w:eastAsia="Courier New" w:hAnsi="Courier New"/>
          <w:sz w:val="16"/>
          <w:szCs w:val="16"/>
          <w:color w:val="auto"/>
        </w:rPr>
        <w:t>registration statement. If a Holder decides not to include all of its Registrable Securities in any registra 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86" w:lineRule="exact"/>
        <w:rPr>
          <w:sz w:val="20"/>
          <w:szCs w:val="20"/>
          <w:color w:val="auto"/>
        </w:rPr>
      </w:pPr>
    </w:p>
    <w:p>
      <w:pPr>
        <w:ind w:left="1480" w:hanging="419"/>
        <w:spacing w:after="0"/>
        <w:tabs>
          <w:tab w:leader="none" w:pos="14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If a registration statement under which the Company</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gives notice under this Section 2.3 is for an underwritten offering, then the Company shall so advise the Holders of Registrable Securities. In such event, the right of any such Holder's Registrable Securities to be included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 ing shall enter into an underwriting agreement in customary form with the manager underwriter or under writers selected for such underwriting (including a market stand-off agreement of up to 180 days if required by such underwriters). Notwithstanding any other provision of this Agreement, if the managing underwriter determine(s) in good faith that marketing factors require a limitation of the number of shares to be underwritten, then the managing underwriter(s) may exclude shares from the registration and the underwriting, and the number of shares that may be included in the registration and the underwriting shall be allocated, first to the Company, and second to each of the</w:t>
      </w:r>
    </w:p>
    <w:p>
      <w:pPr>
        <w:spacing w:after="0" w:line="188" w:lineRule="exact"/>
        <w:rPr>
          <w:sz w:val="20"/>
          <w:szCs w:val="20"/>
          <w:color w:val="auto"/>
        </w:rPr>
      </w:pPr>
    </w:p>
    <w:p>
      <w:pPr>
        <w:ind w:left="3480"/>
        <w:spacing w:after="0"/>
        <w:tabs>
          <w:tab w:leader="none" w:pos="6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Holders and other holders of registration rights on a parity with the Holders or who have been previously granted registration rights by the Company requesting inclusion of their Registrable Securities in such registration statement on a pro rata basis based on the total number of Registrable Securities and other securities entitled to registration then held by each such Holder or other holder; provided, however, that, subject to the rights of those existing</w:t>
      </w:r>
    </w:p>
    <w:p>
      <w:pPr>
        <w:ind w:left="860"/>
        <w:spacing w:after="0" w:line="234" w:lineRule="auto"/>
        <w:tabs>
          <w:tab w:leader="none" w:pos="188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stockholders of the Company who have previously been granted registration rights, the right of the underwriters to exclude shares (including Registrable Securities) from the registration and underwriting as described above shall be restricted so that (i) the number of Registrable Securities included in any such registration is not reduced below twenty-five percent (25%) of the aggregate number of Registrable Securities for which inclusion has been requested; and</w:t>
      </w:r>
    </w:p>
    <w:p>
      <w:pPr>
        <w:spacing w:after="0" w:line="1" w:lineRule="exact"/>
        <w:rPr>
          <w:sz w:val="20"/>
          <w:szCs w:val="20"/>
          <w:color w:val="auto"/>
        </w:rPr>
      </w:pPr>
    </w:p>
    <w:p>
      <w:pPr>
        <w:ind w:right="1779" w:firstLine="8"/>
        <w:spacing w:after="0" w:line="268" w:lineRule="auto"/>
        <w:tabs>
          <w:tab w:leader="none" w:pos="52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that are not Registrable Securities and are held by any other person, including, without limitation, any person who is an employee, officer or director of the Company (or any subsidiary of the Company) shall first be excluded from such registration and underwriting before any Registrable Securities are so excluded (other than to the extent that such persons are nonemployee directors or other nonemployees of the Company who hold registra tion rights on a parity with the Holders, such nonemployee directors and other nonemployees being entitled to participate with the participating Holders on the basis described under "second" above). If any Holder disapproves of the terms</w:t>
      </w:r>
    </w:p>
    <w:p>
      <w:pPr>
        <w:ind w:left="244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 registration.</w:t>
      </w:r>
    </w:p>
    <w:p>
      <w:pPr>
        <w:spacing w:after="0" w:line="209" w:lineRule="exact"/>
        <w:rPr>
          <w:sz w:val="20"/>
          <w:szCs w:val="20"/>
          <w:color w:val="auto"/>
        </w:rPr>
      </w:pPr>
    </w:p>
    <w:p>
      <w:pPr>
        <w:ind w:left="1480" w:hanging="419"/>
        <w:spacing w:after="0"/>
        <w:tabs>
          <w:tab w:leader="none" w:pos="1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All expenses incurred in connection with a registration</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this Section 2.3 (excluding underwriters' and brokers' discounts and commissions relating to shares sold by the Holders and legal fees of counsel for the Holders), including, without limitation, all federal and "blue sky" registration, filing and qualification fees, printers' and accounting fees, and fees and disbursements of counsel for the Company, shall be borne by the Company.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60" w:name="page61"/>
    <w:bookmarkEnd w:id="60"/>
    <w:p>
      <w:pPr>
        <w:ind w:left="1480" w:hanging="419"/>
        <w:spacing w:after="0"/>
        <w:tabs>
          <w:tab w:leader="none" w:pos="14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Demand Registration.  Registration pursuant to this Section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2.3 shall not be deemed to be a demand registration as described in Section 2.2 above. Except as otherwise provided herein, there shall be no limit on the number of times the Holders may request registration of Registrable Securities under this Section 2.3.</w:t>
      </w:r>
    </w:p>
    <w:p>
      <w:pPr>
        <w:spacing w:after="0" w:line="202" w:lineRule="exact"/>
        <w:rPr>
          <w:sz w:val="20"/>
          <w:szCs w:val="20"/>
          <w:color w:val="auto"/>
        </w:rPr>
      </w:pPr>
    </w:p>
    <w:p>
      <w:pPr>
        <w:ind w:left="540"/>
        <w:spacing w:after="0"/>
        <w:tabs>
          <w:tab w:leader="none" w:pos="1040" w:val="left"/>
          <w:tab w:leader="none" w:pos="3560" w:val="left"/>
        </w:tabs>
        <w:rPr>
          <w:sz w:val="20"/>
          <w:szCs w:val="20"/>
          <w:color w:val="auto"/>
        </w:rPr>
      </w:pPr>
      <w:r>
        <w:rPr>
          <w:rFonts w:ascii="Courier New" w:cs="Courier New" w:eastAsia="Courier New" w:hAnsi="Courier New"/>
          <w:sz w:val="18"/>
          <w:szCs w:val="18"/>
          <w:color w:val="auto"/>
        </w:rPr>
        <w:t>2.4</w:t>
        <w:tab/>
        <w:t>Form S-3 Registration.</w:t>
      </w:r>
      <w:r>
        <w:rPr>
          <w:sz w:val="20"/>
          <w:szCs w:val="20"/>
          <w:color w:val="auto"/>
        </w:rPr>
        <w:tab/>
      </w:r>
      <w:r>
        <w:rPr>
          <w:rFonts w:ascii="Courier New" w:cs="Courier New" w:eastAsia="Courier New" w:hAnsi="Courier New"/>
          <w:sz w:val="16"/>
          <w:szCs w:val="16"/>
          <w:color w:val="auto"/>
        </w:rPr>
        <w:t>In case the Company shall at any time after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nine month anniversary of the Closing receive from any Holder or Holders of a majority of all Registrable Securities then outstanding a written request or requests that the Company effect a registration on Form S-3 with respect to all or a part of the Registrable Securities owned by such Holder or Holders, then the Company will:</w:t>
      </w:r>
    </w:p>
    <w:p>
      <w:pPr>
        <w:spacing w:after="0" w:line="209" w:lineRule="exact"/>
        <w:rPr>
          <w:sz w:val="20"/>
          <w:szCs w:val="20"/>
          <w:color w:val="auto"/>
        </w:rPr>
      </w:pPr>
    </w:p>
    <w:p>
      <w:pPr>
        <w:ind w:left="1480" w:hanging="419"/>
        <w:spacing w:after="0"/>
        <w:tabs>
          <w:tab w:leader="none" w:pos="14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Promptly give written notice of the proposed registration</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and the Holder's or Holders' request therefor to all other Holders of Registrable Securities; and</w:t>
      </w:r>
    </w:p>
    <w:p>
      <w:pPr>
        <w:spacing w:after="0" w:line="203" w:lineRule="exact"/>
        <w:rPr>
          <w:sz w:val="20"/>
          <w:szCs w:val="20"/>
          <w:color w:val="auto"/>
        </w:rPr>
      </w:pPr>
    </w:p>
    <w:p>
      <w:pPr>
        <w:ind w:left="1480" w:hanging="419"/>
        <w:spacing w:after="0"/>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As soon as practicable, effect such registration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the Company provides the notice contemplated by Section 2.4(a); provided, however, that the Company shall not be obligated to</w:t>
      </w:r>
    </w:p>
    <w:p>
      <w:pPr>
        <w:ind w:left="2000"/>
        <w:spacing w:after="0" w:line="234" w:lineRule="auto"/>
        <w:tabs>
          <w:tab w:leader="none" w:pos="304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effect any such registration pursuant to this Section 2.4 if Form S-3 is not available for such offering by the Holders or if the aggregate value of the shares proposed to be registered is not at least $500,000.</w:t>
      </w:r>
    </w:p>
    <w:p>
      <w:pPr>
        <w:spacing w:after="0" w:line="203"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(c) Expenses.</w:t>
      </w:r>
      <w:r>
        <w:rPr>
          <w:sz w:val="20"/>
          <w:szCs w:val="20"/>
          <w:color w:val="auto"/>
        </w:rPr>
        <w:tab/>
      </w:r>
      <w:r>
        <w:rPr>
          <w:rFonts w:ascii="Courier New" w:cs="Courier New" w:eastAsia="Courier New" w:hAnsi="Courier New"/>
          <w:sz w:val="16"/>
          <w:szCs w:val="16"/>
          <w:color w:val="auto"/>
        </w:rPr>
        <w:t>The Company shall pay all expenses incurred in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connection with each registration requested pursuant to this Section 2.4, (excluding underwriters' or brokers' discounts and commissions relating to shares sold by the Holders and legal fees of counsel for the Holders), including, without limitation, federal and "blue sky" registration, filing and qualification fees, printers' and accounting fees, and fees and disbursements of counsel.</w:t>
      </w:r>
    </w:p>
    <w:p>
      <w:pPr>
        <w:spacing w:after="0" w:line="204" w:lineRule="exact"/>
        <w:rPr>
          <w:sz w:val="20"/>
          <w:szCs w:val="20"/>
          <w:color w:val="auto"/>
        </w:rPr>
      </w:pPr>
    </w:p>
    <w:p>
      <w:pPr>
        <w:ind w:left="1480" w:hanging="419"/>
        <w:spacing w:after="0"/>
        <w:tabs>
          <w:tab w:leader="none" w:pos="14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Deferral.  Notwithstanding the foregoing, if the Company shall</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furnish to Holders requesting the filing of a registration statement pursuant to this Section 2.4, a certificate signed by the President or Chief Executive Officer of the Company stating that in the good faith judgment of the Board, it would be materially detrimental to the Company and its stockholders for such registration statement to be filed, then the Company shall have the right to defer such filing for a period of not more than ninety (90) days after receipt of the request of the Initiating Holders; provided, however, that the Company</w:t>
      </w:r>
    </w:p>
    <w:p>
      <w:pPr>
        <w:ind w:left="4440"/>
        <w:spacing w:after="0" w:line="234" w:lineRule="auto"/>
        <w:tabs>
          <w:tab w:leader="none" w:pos="5460" w:val="left"/>
        </w:tabs>
        <w:rPr>
          <w:sz w:val="20"/>
          <w:szCs w:val="20"/>
          <w:color w:val="auto"/>
        </w:rPr>
      </w:pPr>
      <w:r>
        <w:rPr>
          <w:rFonts w:ascii="Courier New" w:cs="Courier New" w:eastAsia="Courier New" w:hAnsi="Courier New"/>
          <w:sz w:val="18"/>
          <w:szCs w:val="18"/>
          <w:color w:val="auto"/>
        </w:rPr>
        <w:t>--------</w:t>
        <w:tab/>
        <w:t>-------</w:t>
      </w:r>
    </w:p>
    <w:p>
      <w:pPr>
        <w:spacing w:after="0"/>
        <w:rPr>
          <w:sz w:val="20"/>
          <w:szCs w:val="20"/>
          <w:color w:val="auto"/>
        </w:rPr>
      </w:pPr>
      <w:r>
        <w:rPr>
          <w:rFonts w:ascii="Courier New" w:cs="Courier New" w:eastAsia="Courier New" w:hAnsi="Courier New"/>
          <w:sz w:val="18"/>
          <w:szCs w:val="18"/>
          <w:color w:val="auto"/>
        </w:rPr>
        <w:t>may not utilize this right more than once in any twelve-month period.</w:t>
      </w:r>
    </w:p>
    <w:p>
      <w:pPr>
        <w:spacing w:after="0" w:line="201" w:lineRule="exact"/>
        <w:rPr>
          <w:sz w:val="20"/>
          <w:szCs w:val="20"/>
          <w:color w:val="auto"/>
        </w:rPr>
      </w:pPr>
    </w:p>
    <w:p>
      <w:pPr>
        <w:ind w:left="1480" w:hanging="419"/>
        <w:spacing w:after="0"/>
        <w:tabs>
          <w:tab w:leader="none" w:pos="14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Demand Registration.  Form S-3 registrations shall not be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deemed to be demand registrations as described in Section 2.2 above. Except as otherwise provided herein, Holders may request up to twelve (12) separate registrations of Registrable Securities under this Section 2.4.</w:t>
      </w:r>
    </w:p>
    <w:p>
      <w:pPr>
        <w:spacing w:after="0" w:line="203" w:lineRule="exact"/>
        <w:rPr>
          <w:sz w:val="20"/>
          <w:szCs w:val="20"/>
          <w:color w:val="auto"/>
        </w:rPr>
      </w:pPr>
    </w:p>
    <w:p>
      <w:pPr>
        <w:ind w:left="540"/>
        <w:spacing w:after="0"/>
        <w:tabs>
          <w:tab w:leader="none" w:pos="1040" w:val="left"/>
          <w:tab w:leader="none" w:pos="4100" w:val="left"/>
        </w:tabs>
        <w:rPr>
          <w:sz w:val="20"/>
          <w:szCs w:val="20"/>
          <w:color w:val="auto"/>
        </w:rPr>
      </w:pPr>
      <w:r>
        <w:rPr>
          <w:rFonts w:ascii="Courier New" w:cs="Courier New" w:eastAsia="Courier New" w:hAnsi="Courier New"/>
          <w:sz w:val="18"/>
          <w:szCs w:val="18"/>
          <w:color w:val="auto"/>
        </w:rPr>
        <w:t>2.5</w:t>
        <w:tab/>
        <w:t>Obligations of the Company.</w:t>
      </w:r>
      <w:r>
        <w:rPr>
          <w:sz w:val="20"/>
          <w:szCs w:val="20"/>
          <w:color w:val="auto"/>
        </w:rPr>
        <w:tab/>
      </w:r>
      <w:r>
        <w:rPr>
          <w:rFonts w:ascii="Courier New" w:cs="Courier New" w:eastAsia="Courier New" w:hAnsi="Courier New"/>
          <w:sz w:val="16"/>
          <w:szCs w:val="16"/>
          <w:color w:val="auto"/>
        </w:rPr>
        <w:t>Whenever required to effect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registration of any Registrable Securities under this Agreement, the Company shall, as expeditiously as reasonably possible: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1" w:name="page62"/>
    <w:bookmarkEnd w:id="61"/>
    <w:p>
      <w:pPr>
        <w:ind w:left="1480" w:hanging="419"/>
        <w:spacing w:after="0"/>
        <w:tabs>
          <w:tab w:leader="none" w:pos="14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Prepare and file with the SEC a</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registration statement with respect to such Registrable Securities and use its best efforts to cause such registration statement to become effective.</w:t>
      </w:r>
    </w:p>
    <w:p>
      <w:pPr>
        <w:spacing w:after="0" w:line="203" w:lineRule="exact"/>
        <w:rPr>
          <w:sz w:val="20"/>
          <w:szCs w:val="20"/>
          <w:color w:val="auto"/>
        </w:rPr>
      </w:pPr>
    </w:p>
    <w:p>
      <w:pPr>
        <w:ind w:left="1480" w:hanging="419"/>
        <w:spacing w:after="0"/>
        <w:tabs>
          <w:tab w:leader="none" w:pos="14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Supplements.  Prepare and file with the SEC such</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amendments and supplements to such registration statement and the prospectus used in connection with such registra tion statement as may be necessary to comply with the provisions of the Securities Act with respect to the disposition of all securities covered by such registration statement.</w:t>
      </w:r>
    </w:p>
    <w:p>
      <w:pPr>
        <w:spacing w:after="0" w:line="202" w:lineRule="exact"/>
        <w:rPr>
          <w:sz w:val="20"/>
          <w:szCs w:val="20"/>
          <w:color w:val="auto"/>
        </w:rPr>
      </w:pPr>
    </w:p>
    <w:p>
      <w:pPr>
        <w:ind w:left="1480" w:hanging="419"/>
        <w:spacing w:after="0"/>
        <w:tabs>
          <w:tab w:leader="none" w:pos="14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Prospectuses.  Furnish to the Holders such number of copies of a</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spacing w:after="0" w:line="177" w:lineRule="exact"/>
        <w:rPr>
          <w:sz w:val="20"/>
          <w:szCs w:val="20"/>
          <w:color w:val="auto"/>
        </w:rPr>
      </w:pPr>
    </w:p>
    <w:p>
      <w:pPr>
        <w:ind w:left="1480" w:hanging="419"/>
        <w:spacing w:after="0"/>
        <w:tabs>
          <w:tab w:leader="none" w:pos="14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Blue Sky.  Use its best efforts to register and qualify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203" w:lineRule="exact"/>
        <w:rPr>
          <w:sz w:val="20"/>
          <w:szCs w:val="20"/>
          <w:color w:val="auto"/>
        </w:rPr>
      </w:pPr>
    </w:p>
    <w:p>
      <w:pPr>
        <w:ind w:left="1480" w:hanging="419"/>
        <w:spacing w:after="0"/>
        <w:tabs>
          <w:tab w:leader="none" w:pos="14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In the event of any underwritten public offering,</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202" w:lineRule="exact"/>
        <w:rPr>
          <w:sz w:val="20"/>
          <w:szCs w:val="20"/>
          <w:color w:val="auto"/>
        </w:rPr>
      </w:pP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(f) Notification.</w:t>
      </w:r>
      <w:r>
        <w:rPr>
          <w:sz w:val="20"/>
          <w:szCs w:val="20"/>
          <w:color w:val="auto"/>
        </w:rPr>
        <w:tab/>
      </w:r>
      <w:r>
        <w:rPr>
          <w:rFonts w:ascii="Courier New" w:cs="Courier New" w:eastAsia="Courier New" w:hAnsi="Courier New"/>
          <w:sz w:val="16"/>
          <w:szCs w:val="16"/>
          <w:color w:val="auto"/>
        </w:rPr>
        <w:t>Notify each Holder of Registrable Securities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205" w:lineRule="exact"/>
        <w:rPr>
          <w:sz w:val="20"/>
          <w:szCs w:val="20"/>
          <w:color w:val="auto"/>
        </w:rPr>
      </w:pPr>
    </w:p>
    <w:p>
      <w:pPr>
        <w:jc w:val="right"/>
        <w:ind w:right="1779"/>
        <w:spacing w:after="0"/>
        <w:tabs>
          <w:tab w:leader="none" w:pos="3880" w:val="left"/>
        </w:tabs>
        <w:rPr>
          <w:sz w:val="20"/>
          <w:szCs w:val="20"/>
          <w:color w:val="auto"/>
        </w:rPr>
      </w:pPr>
      <w:r>
        <w:rPr>
          <w:rFonts w:ascii="Courier New" w:cs="Courier New" w:eastAsia="Courier New" w:hAnsi="Courier New"/>
          <w:sz w:val="18"/>
          <w:szCs w:val="18"/>
          <w:color w:val="auto"/>
        </w:rPr>
        <w:t>(g) Opinion and Comfort Letter.</w:t>
      </w:r>
      <w:r>
        <w:rPr>
          <w:sz w:val="20"/>
          <w:szCs w:val="20"/>
          <w:color w:val="auto"/>
        </w:rPr>
        <w:tab/>
      </w:r>
      <w:r>
        <w:rPr>
          <w:rFonts w:ascii="Courier New" w:cs="Courier New" w:eastAsia="Courier New" w:hAnsi="Courier New"/>
          <w:sz w:val="16"/>
          <w:szCs w:val="16"/>
          <w:color w:val="auto"/>
        </w:rPr>
        <w:t>Furnish, at the request of any Holder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requesting registration of Registrable Securities who is advised in writing by Counsel that a due diligence defense is available to such Holder,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w:t>
      </w:r>
    </w:p>
    <w:p>
      <w:pPr>
        <w:spacing w:after="0" w:line="2" w:lineRule="exact"/>
        <w:rPr>
          <w:sz w:val="20"/>
          <w:szCs w:val="20"/>
          <w:color w:val="auto"/>
        </w:rPr>
      </w:pPr>
    </w:p>
    <w:p>
      <w:pPr>
        <w:ind w:right="1779" w:firstLine="8"/>
        <w:spacing w:after="0" w:line="275" w:lineRule="auto"/>
        <w:tabs>
          <w:tab w:leader="none" w:pos="52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"comfort" letter dated as of such date, from the independent certified public accountants of the Company, in form and substance as is customarily given by independent certified public accountants to underwriters in an underwritten public offering and reasonably satisfactory to a majority in interest of the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62" w:name="page63"/>
    <w:bookmarkEnd w:id="62"/>
    <w:p>
      <w:pPr>
        <w:ind w:right="1999"/>
        <w:spacing w:after="0" w:line="235" w:lineRule="auto"/>
        <w:rPr>
          <w:sz w:val="20"/>
          <w:szCs w:val="20"/>
          <w:color w:val="auto"/>
        </w:rPr>
      </w:pPr>
      <w:r>
        <w:rPr>
          <w:rFonts w:ascii="Courier New" w:cs="Courier New" w:eastAsia="Courier New" w:hAnsi="Courier New"/>
          <w:sz w:val="18"/>
          <w:szCs w:val="18"/>
          <w:color w:val="auto"/>
        </w:rPr>
        <w:t>Holders requesting registration, addressed to the underwriters, if any, and to the Holders requesting registration of Registrable Securities.</w:t>
      </w:r>
    </w:p>
    <w:p>
      <w:pPr>
        <w:spacing w:after="0" w:line="203" w:lineRule="exact"/>
        <w:rPr>
          <w:sz w:val="20"/>
          <w:szCs w:val="20"/>
          <w:color w:val="auto"/>
        </w:rPr>
      </w:pPr>
    </w:p>
    <w:p>
      <w:pPr>
        <w:ind w:left="540"/>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2.6</w:t>
        <w:tab/>
        <w:t>Furnish Information.</w:t>
      </w:r>
      <w:r>
        <w:rPr>
          <w:sz w:val="20"/>
          <w:szCs w:val="20"/>
          <w:color w:val="auto"/>
        </w:rPr>
        <w:tab/>
      </w:r>
      <w:r>
        <w:rPr>
          <w:rFonts w:ascii="Courier New" w:cs="Courier New" w:eastAsia="Courier New" w:hAnsi="Courier New"/>
          <w:sz w:val="16"/>
          <w:szCs w:val="16"/>
          <w:color w:val="auto"/>
        </w:rPr>
        <w:t>It shall be a condition precedent to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obligations of the Company to take any action pursuant to Sections 2.2, 2.3 or 2.4 that the selling Holders shall furnish to the Company such information regarding themselves, the Registrable Securities held by them, and the intended method of disposition of such securities as shall be required to timely effect the registration of their Registrable Securities.</w:t>
      </w:r>
    </w:p>
    <w:p>
      <w:pPr>
        <w:spacing w:after="0" w:line="203" w:lineRule="exact"/>
        <w:rPr>
          <w:sz w:val="20"/>
          <w:szCs w:val="20"/>
          <w:color w:val="auto"/>
        </w:rPr>
      </w:pPr>
    </w:p>
    <w:p>
      <w:pPr>
        <w:ind w:left="540"/>
        <w:spacing w:after="0"/>
        <w:tabs>
          <w:tab w:leader="none" w:pos="1040" w:val="left"/>
          <w:tab w:leader="none" w:pos="2940" w:val="left"/>
        </w:tabs>
        <w:rPr>
          <w:sz w:val="20"/>
          <w:szCs w:val="20"/>
          <w:color w:val="auto"/>
        </w:rPr>
      </w:pPr>
      <w:r>
        <w:rPr>
          <w:rFonts w:ascii="Courier New" w:cs="Courier New" w:eastAsia="Courier New" w:hAnsi="Courier New"/>
          <w:sz w:val="18"/>
          <w:szCs w:val="18"/>
          <w:color w:val="auto"/>
        </w:rPr>
        <w:t>2.7</w:t>
        <w:tab/>
        <w:t>Indemnification.</w:t>
      </w:r>
      <w:r>
        <w:rPr>
          <w:sz w:val="20"/>
          <w:szCs w:val="20"/>
          <w:color w:val="auto"/>
        </w:rPr>
        <w:tab/>
      </w:r>
      <w:r>
        <w:rPr>
          <w:rFonts w:ascii="Courier New" w:cs="Courier New" w:eastAsia="Courier New" w:hAnsi="Courier New"/>
          <w:sz w:val="16"/>
          <w:szCs w:val="16"/>
          <w:color w:val="auto"/>
        </w:rPr>
        <w:t>In the event any Registrable Securities are included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 a registration statement under Sections 2.2, 2.3 or 2.4.</w:t>
      </w:r>
    </w:p>
    <w:p>
      <w:pPr>
        <w:spacing w:after="0" w:line="206" w:lineRule="exact"/>
        <w:rPr>
          <w:sz w:val="20"/>
          <w:szCs w:val="20"/>
          <w:color w:val="auto"/>
        </w:rPr>
      </w:pPr>
    </w:p>
    <w:p>
      <w:pPr>
        <w:ind w:left="1480" w:hanging="419"/>
        <w:spacing w:after="0"/>
        <w:tabs>
          <w:tab w:leader="none" w:pos="14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To the extent permitted by law, the Company will</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indemnify and hold harmless each Holder, the partners, officers and directors of each Holder, any underwriter (as determined in the Securities Act) for such Holder and each person, if any, who controls such Holder or underwriter within the meaning of the Securities Act or the Securities Exchange Act of 1934, as amended (the "1934 Act"), against any losses, claims, damages, or liabilities,</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joint or several) to which they may become subject under the Securities Act, the 1934 Act or other federal or state law, insofar as such losses, claims, damages, or liabilities (or actions in respect thereof) arise out of or are based upon any of the following statements, omissions or violations (collectively, 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"Violation"):</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540" w:right="2419" w:firstLine="1048"/>
        <w:spacing w:after="0" w:line="237" w:lineRule="auto"/>
        <w:tabs>
          <w:tab w:leader="none" w:pos="222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of a material fact contained in such registration statement, including any preliminary prospectus or final prospectus contained therein or any amendments or supplements thereto;</w:t>
      </w:r>
    </w:p>
    <w:p>
      <w:pPr>
        <w:spacing w:after="0" w:line="207" w:lineRule="exact"/>
        <w:rPr>
          <w:rFonts w:ascii="Courier New" w:cs="Courier New" w:eastAsia="Courier New" w:hAnsi="Courier New"/>
          <w:sz w:val="18"/>
          <w:szCs w:val="18"/>
          <w:color w:val="auto"/>
        </w:rPr>
      </w:pPr>
    </w:p>
    <w:p>
      <w:pPr>
        <w:ind w:left="540" w:right="2419" w:firstLine="1048"/>
        <w:spacing w:after="0" w:line="236" w:lineRule="auto"/>
        <w:tabs>
          <w:tab w:leader="none" w:pos="222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omission or alleged omission to state therein a material fact required to be stated therein, or necessary to make the statements therein not misleading, or</w:t>
      </w:r>
    </w:p>
    <w:p>
      <w:pPr>
        <w:spacing w:after="0" w:line="208" w:lineRule="exact"/>
        <w:rPr>
          <w:rFonts w:ascii="Courier New" w:cs="Courier New" w:eastAsia="Courier New" w:hAnsi="Courier New"/>
          <w:sz w:val="18"/>
          <w:szCs w:val="18"/>
          <w:color w:val="auto"/>
        </w:rPr>
      </w:pPr>
    </w:p>
    <w:p>
      <w:pPr>
        <w:ind w:left="540" w:right="1779" w:firstLine="1048"/>
        <w:spacing w:after="0" w:line="237" w:lineRule="auto"/>
        <w:tabs>
          <w:tab w:leader="none" w:pos="222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or alleged violation by the Company of the Securities Act, the 1934 Act, any federal or state securities law or any rule or regulation promulgated under the Securities Act, the 1934 Act or any federal or state securities law in connection with the offering covered by such registration statement;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the Company will reimburse each such Holder, partner, officer or director, underwriter or controlling person for any legal or other expenses reasonably incurred by them, as incurred, in connection with investigating or defending any such loss, claim, damage, liability or action; provided, however, that the</w:t>
      </w:r>
    </w:p>
    <w:p>
      <w:pPr>
        <w:ind w:left="4960"/>
        <w:spacing w:after="0"/>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indemnity agreement contained in this subsection 2.7(a)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officer, director, underwriter or controlling person of such Holder.</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63" w:name="page64"/>
    <w:bookmarkEnd w:id="63"/>
    <w:p>
      <w:pPr>
        <w:ind w:left="1480" w:hanging="419"/>
        <w:spacing w:after="0"/>
        <w:tabs>
          <w:tab w:leader="none" w:pos="14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Selling Holders.  To the extent permitted by law, each selling</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Holder will indemnify and hold harmless the Company, each of its directors, each of its officers who have signed the registration statement, each person, if any, who controls the Company within the meaning of the Securities Act, any underwriter and any other Holder selling securities under such registration statement or any of such other Holder's partners, directors or officers or any person who controls such Holder within the meaning of the Securities Act or the 1934 Act, against any losses, claims, damages or liabilities, joint or several, to which the Company or any such director, officer, controlling person, under writer or other such Holder, partner or director, officer or controlling person of such other Holder may become subject under the Securities Act, the 1934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legal or other expenses reasonably incurred by the Company or any such director, officer, controlling person, underwriter or other Holder, partner, officer, director or controlling person of such other Holder in connection with investigating or defending any such loss, claim, damage, liability or action: provided, however, that the indemnity</w:t>
      </w:r>
    </w:p>
    <w:p>
      <w:pPr>
        <w:spacing w:after="0" w:line="186" w:lineRule="exact"/>
        <w:rPr>
          <w:sz w:val="20"/>
          <w:szCs w:val="20"/>
          <w:color w:val="auto"/>
        </w:rPr>
      </w:pPr>
    </w:p>
    <w:p>
      <w:pPr>
        <w:ind w:left="3800"/>
        <w:spacing w:after="0"/>
        <w:tabs>
          <w:tab w:leader="none" w:pos="484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contained in this subsection 2.7(b) shall not apply to amounts paid in settlement of any such loss, claim, damage, liability or action if such settlement is effected without the consent of the Holder, which consent shall not be unreasonably withheld; and provided, further, that the total amounts</w:t>
      </w:r>
    </w:p>
    <w:p>
      <w:pPr>
        <w:ind w:left="358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payable in indemnity by a Holder under this Section 2.7(b) in respect of any Violation shall not exceed the net proceeds received by such Holder in the registered offering out of which such Violation arises.</w:t>
      </w:r>
    </w:p>
    <w:p>
      <w:pPr>
        <w:spacing w:after="0" w:line="203" w:lineRule="exact"/>
        <w:rPr>
          <w:sz w:val="20"/>
          <w:szCs w:val="20"/>
          <w:color w:val="auto"/>
        </w:rPr>
      </w:pPr>
    </w:p>
    <w:p>
      <w:pPr>
        <w:jc w:val="right"/>
        <w:ind w:right="1779"/>
        <w:spacing w:after="0"/>
        <w:tabs>
          <w:tab w:leader="none" w:pos="5980" w:val="left"/>
        </w:tabs>
        <w:rPr>
          <w:sz w:val="20"/>
          <w:szCs w:val="20"/>
          <w:color w:val="auto"/>
        </w:rPr>
      </w:pPr>
      <w:r>
        <w:rPr>
          <w:rFonts w:ascii="Courier New" w:cs="Courier New" w:eastAsia="Courier New" w:hAnsi="Courier New"/>
          <w:sz w:val="18"/>
          <w:szCs w:val="18"/>
          <w:color w:val="auto"/>
        </w:rPr>
        <w:t>(c) Notice.</w:t>
      </w:r>
      <w:r>
        <w:rPr>
          <w:sz w:val="20"/>
          <w:szCs w:val="20"/>
          <w:color w:val="auto"/>
        </w:rPr>
        <w:tab/>
      </w:r>
      <w:r>
        <w:rPr>
          <w:rFonts w:ascii="Courier New" w:cs="Courier New" w:eastAsia="Courier New" w:hAnsi="Courier New"/>
          <w:sz w:val="16"/>
          <w:szCs w:val="16"/>
          <w:color w:val="auto"/>
        </w:rPr>
        <w:t>Promptly after receipt by an indemnified party under this</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Section 2.7 of notice of the commencement of any action (including any governmental action), such indemnified party will, if a claim in respect thereof is to be made against any indemnifying party under this Section 2.7,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w:t>
      </w:r>
    </w:p>
    <w:p>
      <w:pPr>
        <w:ind w:left="3060"/>
        <w:spacing w:after="0" w:line="235" w:lineRule="auto"/>
        <w:tabs>
          <w:tab w:leader="none" w:pos="410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have the right to retain its own counsel with the fees and expenses to be paid by the indemnifying party, to the extent that represen tation of such indemnified party by the counsel retained by the indemnifying party would be inappropriate due to actual or potential conflict of interests between such indemnified party and any other party represented by such counsel in such proceeding. The failure to deliver written notice to the indemnifying party within a reasonable time of the commencement of any such action shall not relieve such indemni fying party of liability to the indemnified party under this Section 2.7 unless the indemnifying party is materially prejudiced as a result thereof.</w:t>
      </w:r>
    </w:p>
    <w:p>
      <w:pPr>
        <w:spacing w:after="0" w:line="209" w:lineRule="exact"/>
        <w:rPr>
          <w:sz w:val="20"/>
          <w:szCs w:val="20"/>
          <w:color w:val="auto"/>
        </w:rPr>
      </w:pPr>
    </w:p>
    <w:p>
      <w:pPr>
        <w:ind w:left="1480" w:hanging="419"/>
        <w:spacing w:after="0"/>
        <w:tabs>
          <w:tab w:leader="none" w:pos="14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Defect Eliminated in Final Prospectus.  The foregoing indemnity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agreements of the Company and Holders are subject to the condition that, insofar as they relate to any Violation made in a preliminary prospectus but eliminated or remedied in the amended prospectus on file with the SEC at the time the registration statement in question becomes effective or the amended prospectus filed with the SEC pursuant to SEC Rule 424(b) (the "Final Prospectus"), such</w:t>
      </w:r>
    </w:p>
    <w:p>
      <w:pPr>
        <w:ind w:left="560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indemnity agreement shall not inure to the benefit of any person if a copy of the Final Prospectus was timely furnished to the indemnified party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64" w:name="page65"/>
    <w:bookmarkEnd w:id="64"/>
    <w:p>
      <w:pPr>
        <w:ind w:right="2099"/>
        <w:spacing w:after="0" w:line="290" w:lineRule="auto"/>
        <w:rPr>
          <w:sz w:val="20"/>
          <w:szCs w:val="20"/>
          <w:color w:val="auto"/>
        </w:rPr>
      </w:pPr>
      <w:r>
        <w:rPr>
          <w:rFonts w:ascii="Courier New" w:cs="Courier New" w:eastAsia="Courier New" w:hAnsi="Courier New"/>
          <w:sz w:val="16"/>
          <w:szCs w:val="16"/>
          <w:color w:val="auto"/>
        </w:rPr>
        <w:t>and was not furnished to the person asserting the loss, liability, claim or damage at or prior to the time such action is required by the Securities Act.</w:t>
      </w:r>
    </w:p>
    <w:p>
      <w:pPr>
        <w:spacing w:after="0" w:line="164" w:lineRule="exact"/>
        <w:rPr>
          <w:sz w:val="20"/>
          <w:szCs w:val="20"/>
          <w:color w:val="auto"/>
        </w:rPr>
      </w:pPr>
    </w:p>
    <w:p>
      <w:pPr>
        <w:ind w:left="1480" w:hanging="419"/>
        <w:spacing w:after="0"/>
        <w:tabs>
          <w:tab w:leader="none" w:pos="14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In order to provide for just and equitable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contribution to joint liability under the Securities Act in any case in which either (i) any Holder exercising rights under this Agreement, or any controlling person of any such Holder, makes a claim for indemnification pursuant to this Section 2.7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2.7 provides for indemnification in such case, or (ii) contribution under the Securities Act may be required on the part of any such selling Holder or any such controlling person in circumstances for which indem nification is provided under this Section 2.7, then, and in each such case, the Company and such Holder will contribute to the aggregate losses, claims, damages or liabilities to which they may be subject (after contribution from others) in such proportion so that such Holder is responsible for the portion repre sented by the percentage that the public offering price of its Registrable Securities offered by and sold under the registration statement bears to the public offering price of all securities offered by and sold under such registration statement, and the Company and other selling Holders are responsible for the remaining portion; provided, however,</w:t>
      </w:r>
    </w:p>
    <w:p>
      <w:pPr>
        <w:spacing w:after="0" w:line="187" w:lineRule="exact"/>
        <w:rPr>
          <w:sz w:val="20"/>
          <w:szCs w:val="20"/>
          <w:color w:val="auto"/>
        </w:rPr>
      </w:pPr>
    </w:p>
    <w:p>
      <w:pPr>
        <w:ind w:left="6220"/>
        <w:spacing w:after="0"/>
        <w:tabs>
          <w:tab w:leader="none" w:pos="726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that, in any such case: (A) no such Holder will be required to contribute any amount in excess of the public offering price of all such Registrable Securities offered and sold by such Holder pursuant to such registration statement, and (B) no person or entity guilty of fraudulent misrepresentation (within the meaning of Section 11(f) of the Securities Act) will be entitled to contribution from any person or entity who was not guilty of such fraudulent misrepresentation.</w:t>
      </w:r>
    </w:p>
    <w:p>
      <w:pPr>
        <w:spacing w:after="0" w:line="180" w:lineRule="exact"/>
        <w:rPr>
          <w:sz w:val="20"/>
          <w:szCs w:val="20"/>
          <w:color w:val="auto"/>
        </w:rPr>
      </w:pPr>
    </w:p>
    <w:p>
      <w:pPr>
        <w:ind w:left="1480" w:hanging="419"/>
        <w:spacing w:after="0"/>
        <w:tabs>
          <w:tab w:leader="none" w:pos="14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The obligations of the Company and Holders under this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Section 2.7 shall survive until the fifth anniversary of the completion of any offering of Registrable Securities in a registration statement, regardless of the expiration of any statutes of limitation or extensions of such statutes.</w:t>
      </w:r>
    </w:p>
    <w:p>
      <w:pPr>
        <w:spacing w:after="0" w:line="173" w:lineRule="exact"/>
        <w:rPr>
          <w:sz w:val="20"/>
          <w:szCs w:val="20"/>
          <w:color w:val="auto"/>
        </w:rPr>
      </w:pPr>
    </w:p>
    <w:p>
      <w:pPr>
        <w:ind w:left="540"/>
        <w:spacing w:after="0"/>
        <w:tabs>
          <w:tab w:leader="none" w:pos="1040" w:val="left"/>
          <w:tab w:leader="none" w:pos="5580" w:val="left"/>
        </w:tabs>
        <w:rPr>
          <w:sz w:val="20"/>
          <w:szCs w:val="20"/>
          <w:color w:val="auto"/>
        </w:rPr>
      </w:pPr>
      <w:r>
        <w:rPr>
          <w:rFonts w:ascii="Courier New" w:cs="Courier New" w:eastAsia="Courier New" w:hAnsi="Courier New"/>
          <w:sz w:val="18"/>
          <w:szCs w:val="18"/>
          <w:color w:val="auto"/>
        </w:rPr>
        <w:t>2.8</w:t>
        <w:tab/>
        <w:t>Termination of the Company's Obligations.</w:t>
      </w:r>
      <w:r>
        <w:rPr>
          <w:sz w:val="20"/>
          <w:szCs w:val="20"/>
          <w:color w:val="auto"/>
        </w:rPr>
        <w:tab/>
      </w:r>
      <w:r>
        <w:rPr>
          <w:rFonts w:ascii="Courier New" w:cs="Courier New" w:eastAsia="Courier New" w:hAnsi="Courier New"/>
          <w:sz w:val="16"/>
          <w:szCs w:val="16"/>
          <w:color w:val="auto"/>
        </w:rPr>
        <w:t>The Company shall have no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obligations pursuant to this Section 2 with respect to any Registrable Securities proposed to be sold by a Holder in a registration pursuant to Section 2.2, 2.3 or 2.4 more than seven (7) years after the date of this Agreement, or, if, in the opinion of counsel to the Company, all such Registrable Securities proposed to be sold by a Holder may then be sold under Rule 144 in one transaction without exceeding the volume limitations thereunder.</w:t>
      </w:r>
    </w:p>
    <w:p>
      <w:pPr>
        <w:spacing w:after="0" w:line="180" w:lineRule="exact"/>
        <w:rPr>
          <w:sz w:val="20"/>
          <w:szCs w:val="20"/>
          <w:color w:val="auto"/>
        </w:rPr>
      </w:pPr>
    </w:p>
    <w:p>
      <w:pPr>
        <w:ind w:left="540"/>
        <w:spacing w:after="0"/>
        <w:tabs>
          <w:tab w:leader="none" w:pos="1040" w:val="left"/>
          <w:tab w:leader="none" w:pos="5460" w:val="left"/>
        </w:tabs>
        <w:rPr>
          <w:sz w:val="20"/>
          <w:szCs w:val="20"/>
          <w:color w:val="auto"/>
        </w:rPr>
      </w:pPr>
      <w:r>
        <w:rPr>
          <w:rFonts w:ascii="Courier New" w:cs="Courier New" w:eastAsia="Courier New" w:hAnsi="Courier New"/>
          <w:sz w:val="18"/>
          <w:szCs w:val="18"/>
          <w:color w:val="auto"/>
        </w:rPr>
        <w:t>2.9</w:t>
        <w:tab/>
        <w:t>No Registration Rights to Third Parties.</w:t>
      </w:r>
      <w:r>
        <w:rPr>
          <w:sz w:val="20"/>
          <w:szCs w:val="20"/>
          <w:color w:val="auto"/>
        </w:rPr>
        <w:tab/>
      </w:r>
      <w:r>
        <w:rPr>
          <w:rFonts w:ascii="Courier New" w:cs="Courier New" w:eastAsia="Courier New" w:hAnsi="Courier New"/>
          <w:sz w:val="16"/>
          <w:szCs w:val="16"/>
          <w:color w:val="auto"/>
        </w:rPr>
        <w:t>Without the prior written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consent of the Holders of a majority in interest of the Registrable Securities then outstanding, the Company covenants and agrees that it shall not after the date hereof grant, or cause or permit to be created, for the benefit of any person or entity any registration rights of any kind (whether similar to the demand, "piggyback" or Form S-3 registration rights described in this Article 2, or otherwise) relating to shares of the Company's Common Stock or any other voting securities of the Company, other than rights that are on a parity with or subordinate in right to the Holders.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65" w:name="page66"/>
    <w:bookmarkEnd w:id="65"/>
    <w:p>
      <w:pPr>
        <w:ind w:left="540"/>
        <w:spacing w:after="0"/>
        <w:tabs>
          <w:tab w:leader="none" w:pos="1140" w:val="left"/>
          <w:tab w:leader="none" w:pos="3680" w:val="left"/>
        </w:tabs>
        <w:rPr>
          <w:sz w:val="20"/>
          <w:szCs w:val="20"/>
          <w:color w:val="auto"/>
        </w:rPr>
      </w:pPr>
      <w:r>
        <w:rPr>
          <w:rFonts w:ascii="Courier New" w:cs="Courier New" w:eastAsia="Courier New" w:hAnsi="Courier New"/>
          <w:sz w:val="18"/>
          <w:szCs w:val="18"/>
          <w:color w:val="auto"/>
        </w:rPr>
        <w:t>2.10</w:t>
        <w:tab/>
        <w:t>"Stand-Off" Agreement.</w:t>
      </w:r>
      <w:r>
        <w:rPr>
          <w:sz w:val="20"/>
          <w:szCs w:val="20"/>
          <w:color w:val="auto"/>
        </w:rPr>
        <w:tab/>
      </w:r>
      <w:r>
        <w:rPr>
          <w:rFonts w:ascii="Courier New" w:cs="Courier New" w:eastAsia="Courier New" w:hAnsi="Courier New"/>
          <w:sz w:val="16"/>
          <w:szCs w:val="16"/>
          <w:color w:val="auto"/>
        </w:rPr>
        <w:t>If any Holder holds any shares of capital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 or securities convertible into shares of capital stock of the Company at such time as the company proposes, at any time after the Closing Date, to offer shares of its Common Stock or other securities for sale in a registered underwritten public offering, then such Holders shall agree, if requested by the underwriters in such public offering, to not sell or otherwise transfer or dispose of any such shares or other securities of the Company held by it for a period beginning 7 days prior to and ending not more than 180 days or such lesser number of days as is requested of other stockholders after such registered public offering has become effective.</w:t>
      </w:r>
    </w:p>
    <w:p>
      <w:pPr>
        <w:spacing w:after="0" w:line="208" w:lineRule="exact"/>
        <w:rPr>
          <w:sz w:val="20"/>
          <w:szCs w:val="20"/>
          <w:color w:val="auto"/>
        </w:rPr>
      </w:pPr>
    </w:p>
    <w:p>
      <w:pPr>
        <w:ind w:left="540"/>
        <w:spacing w:after="0"/>
        <w:tabs>
          <w:tab w:leader="none" w:pos="1140" w:val="left"/>
          <w:tab w:leader="none" w:pos="4720" w:val="left"/>
        </w:tabs>
        <w:rPr>
          <w:sz w:val="20"/>
          <w:szCs w:val="20"/>
          <w:color w:val="auto"/>
        </w:rPr>
      </w:pPr>
      <w:r>
        <w:rPr>
          <w:rFonts w:ascii="Courier New" w:cs="Courier New" w:eastAsia="Courier New" w:hAnsi="Courier New"/>
          <w:sz w:val="18"/>
          <w:szCs w:val="18"/>
          <w:color w:val="auto"/>
        </w:rPr>
        <w:t>2.11</w:t>
        <w:tab/>
        <w:t>Restrictions on Sales of Shares.</w:t>
      </w:r>
      <w:r>
        <w:rPr>
          <w:sz w:val="20"/>
          <w:szCs w:val="20"/>
          <w:color w:val="auto"/>
        </w:rPr>
        <w:tab/>
      </w:r>
      <w:r>
        <w:rPr>
          <w:rFonts w:ascii="Courier New" w:cs="Courier New" w:eastAsia="Courier New" w:hAnsi="Courier New"/>
          <w:sz w:val="16"/>
          <w:szCs w:val="16"/>
          <w:color w:val="auto"/>
        </w:rPr>
        <w:t>Notwithstanding anything herein to</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contrary, to the extent Holder is relying on Rule 144 in connection with any sale of Registrable Securities, no Holder shall at any time sell or agree to sell a number of shares of such Registrable Securities in excess of the amount determined in accordance with Rule 144(e)(1) under the Securities Act. The Investor agrees that the Company may place a stop order on shares proposed to be transferred, and otherwise refuse to reflect any transfer on its stock record books, in violation of the provisions of this Section. The Investor further agrees that any certificates evidencing shares of capital stock of the Company held by any Holder shall bear a legend in substantially the following form:</w:t>
      </w:r>
    </w:p>
    <w:p>
      <w:pPr>
        <w:spacing w:after="0" w:line="18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SHARES REPRESENTED BY THIS CERTIFICATE ARE SUBJECT TO CERTAIN RESTRICTIONS ON TRANSFER SET FORTH IN AN INVESTOR RIGHTS AGREEMENT DATED AS OF MAY 17, 1999, A COPY OF WHICH IS AVAILABLE FOR INSPECTION AT THE OFFICE OF THE SECRETARY OF THE ISSUER.</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AND AMENDMENT.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  Assignment.  Notwithstanding anything herein to the contrary: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Rights.  The rights of the Investor under Section 1.1</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are transferable to any Holder who acquires and holds at least 500,000 Registrable Securities (subject to appropriate adjustment for all stock splits, dividends, combinations, recapitalizations and the like where all holders of the Company's Common Stock participate on a pro rata basis); provided, however, that</w:t>
      </w:r>
    </w:p>
    <w:p>
      <w:pPr>
        <w:ind w:left="6020"/>
        <w:spacing w:after="0"/>
        <w:tabs>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no party may be assigned any of the foregoing rights unless the Company is given written notice by the assigning party at the time of such assignment stating the name and address of the assignee and identifying the securities of the Company as to which the rights in question are being assigned; and provided, further,</w:t>
      </w:r>
    </w:p>
    <w:p>
      <w:pPr>
        <w:ind w:left="6220"/>
        <w:spacing w:after="0" w:line="234" w:lineRule="auto"/>
        <w:tabs>
          <w:tab w:leader="none" w:pos="726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that any such assignee shall receive such assigned rights and shall agree in writing to be subject to all the terms and conditions of this Agreement, including, without limitation, the provisions of this Section 4. The rights of the Investor under Section 1.2 may not be assigned.</w:t>
      </w:r>
    </w:p>
    <w:p>
      <w:pPr>
        <w:spacing w:after="0" w:line="202" w:lineRule="exact"/>
        <w:rPr>
          <w:sz w:val="20"/>
          <w:szCs w:val="20"/>
          <w:color w:val="auto"/>
        </w:rPr>
      </w:pPr>
    </w:p>
    <w:p>
      <w:pPr>
        <w:ind w:left="1480" w:hanging="419"/>
        <w:spacing w:after="0"/>
        <w:tabs>
          <w:tab w:leader="none" w:pos="14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The registration rights of the Investor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Section 2 hereof may be assigned to any Holder; provided, however, that no</w:t>
      </w:r>
    </w:p>
    <w:p>
      <w:pPr>
        <w:spacing w:after="0" w:line="16" w:lineRule="exact"/>
        <w:rPr>
          <w:sz w:val="20"/>
          <w:szCs w:val="20"/>
          <w:color w:val="auto"/>
        </w:rPr>
      </w:pPr>
    </w:p>
    <w:p>
      <w:pPr>
        <w:ind w:left="5700"/>
        <w:spacing w:after="0"/>
        <w:tabs>
          <w:tab w:leader="none" w:pos="6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party may be assigned any of the foregoing rights unless the Company is given written notice by the assigning party at the time of such assignment stating the name and address of the assignee and identifying the securities of the Company as to which the rights in question are being assigned; and provided, further,</w:t>
      </w:r>
    </w:p>
    <w:p>
      <w:pPr>
        <w:ind w:left="6220"/>
        <w:spacing w:after="0" w:line="234" w:lineRule="auto"/>
        <w:tabs>
          <w:tab w:leader="none" w:pos="72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that any such assignee shall receive such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66" w:name="page67"/>
    <w:bookmarkEnd w:id="66"/>
    <w:p>
      <w:pPr>
        <w:ind w:right="1999"/>
        <w:spacing w:after="0" w:line="236" w:lineRule="auto"/>
        <w:rPr>
          <w:sz w:val="20"/>
          <w:szCs w:val="20"/>
          <w:color w:val="auto"/>
        </w:rPr>
      </w:pPr>
      <w:r>
        <w:rPr>
          <w:rFonts w:ascii="Courier New" w:cs="Courier New" w:eastAsia="Courier New" w:hAnsi="Courier New"/>
          <w:sz w:val="18"/>
          <w:szCs w:val="18"/>
          <w:color w:val="auto"/>
        </w:rPr>
        <w:t>assigned rights and shall agree in writing to be subject to all the terms and conditions of this Agreement, including, without limitation, the provisions of this Section 3.</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3.2</w:t>
        <w:tab/>
        <w:t>Amendment of Rights.</w:t>
      </w:r>
      <w:r>
        <w:rPr>
          <w:sz w:val="20"/>
          <w:szCs w:val="20"/>
          <w:color w:val="auto"/>
        </w:rPr>
        <w:tab/>
      </w:r>
      <w:r>
        <w:rPr>
          <w:rFonts w:ascii="Courier New" w:cs="Courier New" w:eastAsia="Courier New" w:hAnsi="Courier New"/>
          <w:sz w:val="16"/>
          <w:szCs w:val="16"/>
          <w:color w:val="auto"/>
        </w:rPr>
        <w:t>Any provision of this Agreement may be amended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and the observance thereof may be waived (either generally or in a particular instance and either retroactively or prospectively), only with the written consent of the Company and Investor (or, in the case of an amendment or waiver of any provision of Section 2 hereof only with the written consent of the Company and the Holders of a majority of the Registrable Securities then outstanding and entitled to the registra tion rights set forth in Section 2 hereof). Any amendment or waiver effected in accordance with this Section 3.2 shall be binding upon the Investor, each Holder, each permitted successor or assignee of such Investor or Holder and the Company.</w:t>
      </w:r>
    </w:p>
    <w:p>
      <w:pPr>
        <w:spacing w:after="0" w:line="200" w:lineRule="exact"/>
        <w:rPr>
          <w:sz w:val="20"/>
          <w:szCs w:val="20"/>
          <w:color w:val="auto"/>
        </w:rPr>
      </w:pPr>
    </w:p>
    <w:p>
      <w:pPr>
        <w:spacing w:after="0" w:line="385" w:lineRule="exact"/>
        <w:rPr>
          <w:sz w:val="20"/>
          <w:szCs w:val="20"/>
          <w:color w:val="auto"/>
        </w:rPr>
      </w:pPr>
    </w:p>
    <w:p>
      <w:pPr>
        <w:ind w:left="540" w:hanging="532"/>
        <w:spacing w:after="0"/>
        <w:tabs>
          <w:tab w:leader="none" w:pos="5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040" w:val="left"/>
          <w:tab w:leader="none" w:pos="2100" w:val="left"/>
        </w:tabs>
        <w:rPr>
          <w:sz w:val="20"/>
          <w:szCs w:val="20"/>
          <w:color w:val="auto"/>
        </w:rPr>
      </w:pPr>
      <w:r>
        <w:rPr>
          <w:rFonts w:ascii="Courier New" w:cs="Courier New" w:eastAsia="Courier New" w:hAnsi="Courier New"/>
          <w:sz w:val="18"/>
          <w:szCs w:val="18"/>
          <w:color w:val="auto"/>
        </w:rPr>
        <w:t>4.1</w:t>
        <w:tab/>
        <w:t>Notices.</w:t>
      </w:r>
      <w:r>
        <w:rPr>
          <w:sz w:val="20"/>
          <w:szCs w:val="20"/>
          <w:color w:val="auto"/>
        </w:rPr>
        <w:tab/>
      </w:r>
      <w:r>
        <w:rPr>
          <w:rFonts w:ascii="Courier New" w:cs="Courier New" w:eastAsia="Courier New" w:hAnsi="Courier New"/>
          <w:sz w:val="16"/>
          <w:szCs w:val="16"/>
          <w:color w:val="auto"/>
        </w:rPr>
        <w:t>Any notice required or permitted under this Agreement will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 given in writing, shall be effective when received, and shall in any event be deemed received and effectively given upon personal delivery to the party to be notified or three (3) business days after deposit with the United States Post Office, by registered or certified mail, postage prepaid, or one (1) business day after deposit with a nationally recognized courier service such as Fedex for next business day delivery, or one (1) business day after facsimile with copy delivered by registered or certified mail, postage prepaid and addressed to the party to be notified at the address indicated for such party on the signature page hereof or at such other address as the Investor or the Company may designate by giving at least ten (10) days advance written notice pursuant to this Section 4.1.</w:t>
      </w:r>
    </w:p>
    <w:p>
      <w:pPr>
        <w:spacing w:after="0" w:line="210" w:lineRule="exact"/>
        <w:rPr>
          <w:sz w:val="20"/>
          <w:szCs w:val="20"/>
          <w:color w:val="auto"/>
        </w:rPr>
      </w:pPr>
    </w:p>
    <w:p>
      <w:pPr>
        <w:ind w:left="1580" w:hanging="519"/>
        <w:spacing w:after="0"/>
        <w:tabs>
          <w:tab w:leader="none" w:pos="15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Investor, at:</w:t>
      </w:r>
    </w:p>
    <w:p>
      <w:pPr>
        <w:spacing w:after="0" w:line="206" w:lineRule="exact"/>
        <w:rPr>
          <w:rFonts w:ascii="Courier New" w:cs="Courier New" w:eastAsia="Courier New" w:hAnsi="Courier New"/>
          <w:sz w:val="18"/>
          <w:szCs w:val="18"/>
          <w:color w:val="auto"/>
        </w:rPr>
      </w:pPr>
    </w:p>
    <w:p>
      <w:pPr>
        <w:ind w:left="1580" w:right="5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Micron Technology, Inc. 8000 S. Federal Way Boise, Idaho 83716 Attention: General Counsel Telecopy: (208) 368-4540 Telephone: (208) 368-4000</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Wilson Sonsini Goodrich &amp; Rosati,</w:t>
      </w:r>
    </w:p>
    <w:p>
      <w:pPr>
        <w:ind w:left="1580"/>
        <w:spacing w:after="0" w:line="238" w:lineRule="auto"/>
        <w:rPr>
          <w:sz w:val="20"/>
          <w:szCs w:val="20"/>
          <w:color w:val="auto"/>
        </w:rPr>
      </w:pPr>
      <w:r>
        <w:rPr>
          <w:rFonts w:ascii="Courier New" w:cs="Courier New" w:eastAsia="Courier New" w:hAnsi="Courier New"/>
          <w:sz w:val="18"/>
          <w:szCs w:val="18"/>
          <w:color w:val="auto"/>
        </w:rPr>
        <w:t>Professional Corporation</w:t>
      </w:r>
    </w:p>
    <w:p>
      <w:pPr>
        <w:ind w:left="1580"/>
        <w:spacing w:after="0"/>
        <w:rPr>
          <w:sz w:val="20"/>
          <w:szCs w:val="20"/>
          <w:color w:val="auto"/>
        </w:rPr>
      </w:pPr>
      <w:r>
        <w:rPr>
          <w:rFonts w:ascii="Courier New" w:cs="Courier New" w:eastAsia="Courier New" w:hAnsi="Courier New"/>
          <w:sz w:val="18"/>
          <w:szCs w:val="18"/>
          <w:color w:val="auto"/>
        </w:rPr>
        <w:t>650 Page Mill Road</w:t>
      </w:r>
    </w:p>
    <w:p>
      <w:pPr>
        <w:ind w:left="1580"/>
        <w:spacing w:after="0"/>
        <w:tabs>
          <w:tab w:leader="none" w:pos="4000" w:val="left"/>
        </w:tabs>
        <w:rPr>
          <w:sz w:val="20"/>
          <w:szCs w:val="20"/>
          <w:color w:val="auto"/>
        </w:rPr>
      </w:pPr>
      <w:r>
        <w:rPr>
          <w:rFonts w:ascii="Courier New" w:cs="Courier New" w:eastAsia="Courier New" w:hAnsi="Courier New"/>
          <w:sz w:val="18"/>
          <w:szCs w:val="18"/>
          <w:color w:val="auto"/>
        </w:rPr>
        <w:t>Palo Alto, California</w:t>
      </w:r>
      <w:r>
        <w:rPr>
          <w:sz w:val="20"/>
          <w:szCs w:val="20"/>
          <w:color w:val="auto"/>
        </w:rPr>
        <w:tab/>
      </w:r>
      <w:r>
        <w:rPr>
          <w:rFonts w:ascii="Courier New" w:cs="Courier New" w:eastAsia="Courier New" w:hAnsi="Courier New"/>
          <w:sz w:val="16"/>
          <w:szCs w:val="16"/>
          <w:color w:val="auto"/>
        </w:rPr>
        <w:t>94304-1050</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John A. Fore, Esq.</w:t>
      </w:r>
    </w:p>
    <w:p>
      <w:pPr>
        <w:ind w:left="1580"/>
        <w:spacing w:after="0"/>
        <w:tabs>
          <w:tab w:leader="none" w:pos="2720" w:val="left"/>
        </w:tabs>
        <w:rPr>
          <w:sz w:val="20"/>
          <w:szCs w:val="20"/>
          <w:color w:val="auto"/>
        </w:rPr>
      </w:pPr>
      <w:r>
        <w:rPr>
          <w:rFonts w:ascii="Courier New" w:cs="Courier New" w:eastAsia="Courier New" w:hAnsi="Courier New"/>
          <w:sz w:val="18"/>
          <w:szCs w:val="18"/>
          <w:color w:val="auto"/>
        </w:rPr>
        <w:t>Telecopy:</w:t>
        <w:tab/>
        <w:t>(650) 493-6811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(650) 493-9300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67" w:name="page68"/>
    <w:bookmarkEnd w:id="67"/>
    <w:p>
      <w:pPr>
        <w:ind w:left="1580" w:hanging="519"/>
        <w:spacing w:after="0"/>
        <w:tabs>
          <w:tab w:leader="none" w:pos="15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PixTech,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PixTech, Inc.</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Avenue Olivier Perroy</w:t>
      </w:r>
    </w:p>
    <w:p>
      <w:pPr>
        <w:spacing w:after="0" w:line="4" w:lineRule="exact"/>
        <w:rPr>
          <w:rFonts w:ascii="Courier New" w:cs="Courier New" w:eastAsia="Courier New" w:hAnsi="Courier New"/>
          <w:sz w:val="18"/>
          <w:szCs w:val="18"/>
          <w:color w:val="auto"/>
        </w:rPr>
      </w:pPr>
    </w:p>
    <w:p>
      <w:pPr>
        <w:ind w:left="1580" w:right="5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Zone Industrielle de Rousset Rousset 13790 FRANCE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President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Telecopy:  011-33-4-42-29-05-09</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011-33-4-42-29-10-00</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Palmer &amp; Dodge LLP</w:t>
      </w:r>
    </w:p>
    <w:p>
      <w:pPr>
        <w:ind w:left="1580"/>
        <w:spacing w:after="0" w:line="238" w:lineRule="auto"/>
        <w:rPr>
          <w:sz w:val="20"/>
          <w:szCs w:val="20"/>
          <w:color w:val="auto"/>
        </w:rPr>
      </w:pPr>
      <w:r>
        <w:rPr>
          <w:rFonts w:ascii="Courier New" w:cs="Courier New" w:eastAsia="Courier New" w:hAnsi="Courier New"/>
          <w:sz w:val="18"/>
          <w:szCs w:val="18"/>
          <w:color w:val="auto"/>
        </w:rPr>
        <w:t>One Beacon Street</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02108-3190</w:t>
      </w:r>
    </w:p>
    <w:p>
      <w:pPr>
        <w:ind w:left="1580"/>
        <w:spacing w:after="0" w:line="237" w:lineRule="auto"/>
        <w:tabs>
          <w:tab w:leader="none" w:pos="2300" w:val="left"/>
        </w:tabs>
        <w:rPr>
          <w:sz w:val="20"/>
          <w:szCs w:val="20"/>
          <w:color w:val="auto"/>
        </w:rPr>
      </w:pPr>
      <w:r>
        <w:rPr>
          <w:rFonts w:ascii="Courier New" w:cs="Courier New" w:eastAsia="Courier New" w:hAnsi="Courier New"/>
          <w:sz w:val="18"/>
          <w:szCs w:val="18"/>
          <w:color w:val="auto"/>
        </w:rPr>
        <w:t>Attn:</w:t>
        <w:tab/>
        <w:t>Michael Lytton, Esq.</w:t>
      </w:r>
    </w:p>
    <w:p>
      <w:pPr>
        <w:ind w:left="15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Telecopy:</w:t>
        <w:tab/>
        <w:t>(617) 573-0100</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(617) 227-4420</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party hereto (and such party's permitted assigns) may by notice so given change its address for future notices hereunder. Notice shall conclusively be deemed to have been given when personally delivered or when deposited in the mail in the manner set forth above. Any notice provided to the Investor in accordance with this Section 4. It shall be deemed to have also been given to any Majority Owned Subsidiary, and any notice provided by the Investor to the Company shall also be deemed notice by its Majority Owned Subsidiaries, and they shall be bound thereby.</w:t>
      </w:r>
    </w:p>
    <w:p>
      <w:pPr>
        <w:spacing w:after="0" w:line="207" w:lineRule="exact"/>
        <w:rPr>
          <w:sz w:val="20"/>
          <w:szCs w:val="20"/>
          <w:color w:val="auto"/>
        </w:rPr>
      </w:pPr>
    </w:p>
    <w:p>
      <w:pPr>
        <w:ind w:left="540"/>
        <w:spacing w:after="0"/>
        <w:tabs>
          <w:tab w:leader="none" w:pos="1040" w:val="left"/>
          <w:tab w:leader="none" w:pos="3040" w:val="left"/>
        </w:tabs>
        <w:rPr>
          <w:sz w:val="20"/>
          <w:szCs w:val="20"/>
          <w:color w:val="auto"/>
        </w:rPr>
      </w:pPr>
      <w:r>
        <w:rPr>
          <w:rFonts w:ascii="Courier New" w:cs="Courier New" w:eastAsia="Courier New" w:hAnsi="Courier New"/>
          <w:sz w:val="18"/>
          <w:szCs w:val="18"/>
          <w:color w:val="auto"/>
        </w:rPr>
        <w:t>4.2</w:t>
        <w:tab/>
        <w:t>Entire Agreement.</w:t>
      </w:r>
      <w:r>
        <w:rPr>
          <w:sz w:val="20"/>
          <w:szCs w:val="20"/>
          <w:color w:val="auto"/>
        </w:rPr>
        <w:tab/>
      </w:r>
      <w:r>
        <w:rPr>
          <w:rFonts w:ascii="Courier New" w:cs="Courier New" w:eastAsia="Courier New" w:hAnsi="Courier New"/>
          <w:sz w:val="16"/>
          <w:szCs w:val="16"/>
          <w:color w:val="auto"/>
        </w:rPr>
        <w:t>This Agreement, together with all the 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hereto, constitutes and contains the entire agreement and understanding of the parties with respect to the subject matter hereof and supersedes any and all prior negotiations, correspondence, agreements, understandings, duties or obligations between the parties respecting the subject matter hereof.</w:t>
      </w:r>
    </w:p>
    <w:p>
      <w:pPr>
        <w:spacing w:after="0" w:line="202" w:lineRule="exact"/>
        <w:rPr>
          <w:sz w:val="20"/>
          <w:szCs w:val="20"/>
          <w:color w:val="auto"/>
        </w:rPr>
      </w:pPr>
    </w:p>
    <w:p>
      <w:pPr>
        <w:ind w:left="540"/>
        <w:spacing w:after="0"/>
        <w:tabs>
          <w:tab w:leader="none" w:pos="1040" w:val="left"/>
          <w:tab w:leader="none" w:pos="2720" w:val="left"/>
        </w:tabs>
        <w:rPr>
          <w:sz w:val="20"/>
          <w:szCs w:val="20"/>
          <w:color w:val="auto"/>
        </w:rPr>
      </w:pPr>
      <w:r>
        <w:rPr>
          <w:rFonts w:ascii="Courier New" w:cs="Courier New" w:eastAsia="Courier New" w:hAnsi="Courier New"/>
          <w:sz w:val="18"/>
          <w:szCs w:val="18"/>
          <w:color w:val="auto"/>
        </w:rPr>
        <w:t>4.3</w:t>
        <w:tab/>
        <w:t>Governing Law.</w:t>
      </w:r>
      <w:r>
        <w:rPr>
          <w:sz w:val="20"/>
          <w:szCs w:val="20"/>
          <w:color w:val="auto"/>
        </w:rPr>
        <w:tab/>
      </w:r>
      <w:r>
        <w:rPr>
          <w:rFonts w:ascii="Courier New" w:cs="Courier New" w:eastAsia="Courier New" w:hAnsi="Courier New"/>
          <w:sz w:val="16"/>
          <w:szCs w:val="16"/>
          <w:color w:val="auto"/>
        </w:rPr>
        <w:t>This Agreement shall be governed by and construed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exclusively in accordance with the internal laws of the State of California as applied to agreements among California residents entered into and to be performed entirely within California, excluding that body of law relating to conflict of laws and choice of law.</w:t>
      </w:r>
    </w:p>
    <w:p>
      <w:pPr>
        <w:spacing w:after="0" w:line="202" w:lineRule="exact"/>
        <w:rPr>
          <w:sz w:val="20"/>
          <w:szCs w:val="20"/>
          <w:color w:val="auto"/>
        </w:rPr>
      </w:pPr>
    </w:p>
    <w:p>
      <w:pPr>
        <w:ind w:left="540"/>
        <w:spacing w:after="0"/>
        <w:tabs>
          <w:tab w:leader="none" w:pos="1040" w:val="left"/>
          <w:tab w:leader="none" w:pos="2620" w:val="left"/>
        </w:tabs>
        <w:rPr>
          <w:sz w:val="20"/>
          <w:szCs w:val="20"/>
          <w:color w:val="auto"/>
        </w:rPr>
      </w:pPr>
      <w:r>
        <w:rPr>
          <w:rFonts w:ascii="Courier New" w:cs="Courier New" w:eastAsia="Courier New" w:hAnsi="Courier New"/>
          <w:sz w:val="18"/>
          <w:szCs w:val="18"/>
          <w:color w:val="auto"/>
        </w:rPr>
        <w:t>4.4</w:t>
        <w:tab/>
        <w:t>Severability.</w:t>
      </w:r>
      <w:r>
        <w:rPr>
          <w:sz w:val="20"/>
          <w:szCs w:val="20"/>
          <w:color w:val="auto"/>
        </w:rPr>
        <w:tab/>
      </w:r>
      <w:r>
        <w:rPr>
          <w:rFonts w:ascii="Courier New" w:cs="Courier New" w:eastAsia="Courier New" w:hAnsi="Courier New"/>
          <w:sz w:val="16"/>
          <w:szCs w:val="16"/>
          <w:color w:val="auto"/>
        </w:rPr>
        <w:t>If one or more provisions of this Agreement are held to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 unenforceable under applicable law, then such provision(s) shall be excluded from this Agreement and the balance of this Agreement shall be interpreted as if such provision(s) were so excluded and shall be enforceable in accordance with its terms.</w:t>
      </w:r>
    </w:p>
    <w:p>
      <w:pPr>
        <w:spacing w:after="0" w:line="202" w:lineRule="exact"/>
        <w:rPr>
          <w:sz w:val="20"/>
          <w:szCs w:val="20"/>
          <w:color w:val="auto"/>
        </w:rPr>
      </w:pPr>
    </w:p>
    <w:p>
      <w:pPr>
        <w:ind w:left="540"/>
        <w:spacing w:after="0"/>
        <w:tabs>
          <w:tab w:leader="none" w:pos="1040" w:val="left"/>
          <w:tab w:leader="none" w:pos="2720" w:val="left"/>
        </w:tabs>
        <w:rPr>
          <w:sz w:val="20"/>
          <w:szCs w:val="20"/>
          <w:color w:val="auto"/>
        </w:rPr>
      </w:pPr>
      <w:r>
        <w:rPr>
          <w:rFonts w:ascii="Courier New" w:cs="Courier New" w:eastAsia="Courier New" w:hAnsi="Courier New"/>
          <w:sz w:val="18"/>
          <w:szCs w:val="18"/>
          <w:color w:val="auto"/>
        </w:rPr>
        <w:t>4.5</w:t>
        <w:tab/>
        <w:t>Third Parties.</w:t>
      </w:r>
      <w:r>
        <w:rPr>
          <w:sz w:val="20"/>
          <w:szCs w:val="20"/>
          <w:color w:val="auto"/>
        </w:rPr>
        <w:tab/>
      </w:r>
      <w:r>
        <w:rPr>
          <w:rFonts w:ascii="Courier New" w:cs="Courier New" w:eastAsia="Courier New" w:hAnsi="Courier New"/>
          <w:sz w:val="16"/>
          <w:szCs w:val="16"/>
          <w:color w:val="auto"/>
        </w:rPr>
        <w:t>Nothing in this Agreement, express or implied, is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intended to confer upon any person, other than the parties hereto and their permitted successors and assigns, any rights or remedies under or by reason of this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68" w:name="page69"/>
    <w:bookmarkEnd w:id="68"/>
    <w:p>
      <w:pPr>
        <w:ind w:left="540"/>
        <w:spacing w:after="0"/>
        <w:tabs>
          <w:tab w:leader="none" w:pos="1040" w:val="left"/>
          <w:tab w:leader="none" w:pos="3680" w:val="left"/>
        </w:tabs>
        <w:rPr>
          <w:sz w:val="20"/>
          <w:szCs w:val="20"/>
          <w:color w:val="auto"/>
        </w:rPr>
      </w:pPr>
      <w:r>
        <w:rPr>
          <w:rFonts w:ascii="Courier New" w:cs="Courier New" w:eastAsia="Courier New" w:hAnsi="Courier New"/>
          <w:sz w:val="18"/>
          <w:szCs w:val="18"/>
          <w:color w:val="auto"/>
        </w:rPr>
        <w:t>4.6</w:t>
        <w:tab/>
        <w:t>Successors and Assigns.</w:t>
      </w:r>
      <w:r>
        <w:rPr>
          <w:sz w:val="20"/>
          <w:szCs w:val="20"/>
          <w:color w:val="auto"/>
        </w:rPr>
        <w:tab/>
      </w:r>
      <w:r>
        <w:rPr>
          <w:rFonts w:ascii="Courier New" w:cs="Courier New" w:eastAsia="Courier New" w:hAnsi="Courier New"/>
          <w:sz w:val="16"/>
          <w:szCs w:val="16"/>
          <w:color w:val="auto"/>
        </w:rPr>
        <w:t>Subject to the provisions of Section 4.1,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provisions of this Agreement shall inure to the benefit of, and shall be binding upon, the successors and permitted assigns of the parties hereto.</w:t>
      </w:r>
    </w:p>
    <w:p>
      <w:pPr>
        <w:spacing w:after="0" w:line="203" w:lineRule="exact"/>
        <w:rPr>
          <w:sz w:val="20"/>
          <w:szCs w:val="20"/>
          <w:color w:val="auto"/>
        </w:rPr>
      </w:pPr>
    </w:p>
    <w:p>
      <w:pPr>
        <w:ind w:left="540"/>
        <w:spacing w:after="0"/>
        <w:tabs>
          <w:tab w:leader="none" w:pos="1040" w:val="left"/>
          <w:tab w:leader="none" w:pos="2200" w:val="left"/>
        </w:tabs>
        <w:rPr>
          <w:sz w:val="20"/>
          <w:szCs w:val="20"/>
          <w:color w:val="auto"/>
        </w:rPr>
      </w:pPr>
      <w:r>
        <w:rPr>
          <w:rFonts w:ascii="Courier New" w:cs="Courier New" w:eastAsia="Courier New" w:hAnsi="Courier New"/>
          <w:sz w:val="18"/>
          <w:szCs w:val="18"/>
          <w:color w:val="auto"/>
        </w:rPr>
        <w:t>4.7</w:t>
        <w:tab/>
        <w:t>Captions.</w:t>
      </w:r>
      <w:r>
        <w:rPr>
          <w:sz w:val="20"/>
          <w:szCs w:val="20"/>
          <w:color w:val="auto"/>
        </w:rPr>
        <w:tab/>
      </w:r>
      <w:r>
        <w:rPr>
          <w:rFonts w:ascii="Courier New" w:cs="Courier New" w:eastAsia="Courier New" w:hAnsi="Courier New"/>
          <w:sz w:val="16"/>
          <w:szCs w:val="16"/>
          <w:color w:val="auto"/>
        </w:rPr>
        <w:t>The captions to sections of this Agreement have been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inserted for identification and reference purposes only and shall not be used to construe or interpret this Agreement.</w:t>
      </w:r>
    </w:p>
    <w:p>
      <w:pPr>
        <w:spacing w:after="0" w:line="203" w:lineRule="exact"/>
        <w:rPr>
          <w:sz w:val="20"/>
          <w:szCs w:val="20"/>
          <w:color w:val="auto"/>
        </w:rPr>
      </w:pPr>
    </w:p>
    <w:p>
      <w:pPr>
        <w:ind w:left="540"/>
        <w:spacing w:after="0"/>
        <w:tabs>
          <w:tab w:leader="none" w:pos="1040" w:val="left"/>
          <w:tab w:leader="none" w:pos="2620" w:val="left"/>
        </w:tabs>
        <w:rPr>
          <w:sz w:val="20"/>
          <w:szCs w:val="20"/>
          <w:color w:val="auto"/>
        </w:rPr>
      </w:pPr>
      <w:r>
        <w:rPr>
          <w:rFonts w:ascii="Courier New" w:cs="Courier New" w:eastAsia="Courier New" w:hAnsi="Courier New"/>
          <w:sz w:val="18"/>
          <w:szCs w:val="18"/>
          <w:color w:val="auto"/>
        </w:rPr>
        <w:t>4.8</w:t>
        <w:tab/>
        <w:t>Counterparts.</w:t>
      </w:r>
      <w:r>
        <w:rPr>
          <w:sz w:val="20"/>
          <w:szCs w:val="20"/>
          <w:color w:val="auto"/>
        </w:rPr>
        <w:tab/>
      </w:r>
      <w:r>
        <w:rPr>
          <w:rFonts w:ascii="Courier New" w:cs="Courier New" w:eastAsia="Courier New" w:hAnsi="Courier New"/>
          <w:sz w:val="16"/>
          <w:szCs w:val="16"/>
          <w:color w:val="auto"/>
        </w:rPr>
        <w:t>This Agreement may be executed in counterparts, each of</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which shall be deemed an original, but all of which together shall constitute one and the same instrument.</w:t>
      </w:r>
    </w:p>
    <w:p>
      <w:pPr>
        <w:spacing w:after="0" w:line="203" w:lineRule="exact"/>
        <w:rPr>
          <w:sz w:val="20"/>
          <w:szCs w:val="20"/>
          <w:color w:val="auto"/>
        </w:rPr>
      </w:pPr>
    </w:p>
    <w:p>
      <w:pPr>
        <w:ind w:left="540"/>
        <w:spacing w:after="0"/>
        <w:tabs>
          <w:tab w:leader="none" w:pos="1040" w:val="left"/>
          <w:tab w:leader="none" w:pos="4840" w:val="left"/>
        </w:tabs>
        <w:rPr>
          <w:sz w:val="20"/>
          <w:szCs w:val="20"/>
          <w:color w:val="auto"/>
        </w:rPr>
      </w:pPr>
      <w:r>
        <w:rPr>
          <w:rFonts w:ascii="Courier New" w:cs="Courier New" w:eastAsia="Courier New" w:hAnsi="Courier New"/>
          <w:sz w:val="18"/>
          <w:szCs w:val="18"/>
          <w:color w:val="auto"/>
        </w:rPr>
        <w:t>4.9</w:t>
        <w:tab/>
        <w:t>Adjustments for Stock Splits, Etc.</w:t>
      </w:r>
      <w:r>
        <w:rPr>
          <w:sz w:val="20"/>
          <w:szCs w:val="20"/>
          <w:color w:val="auto"/>
        </w:rPr>
        <w:tab/>
      </w:r>
      <w:r>
        <w:rPr>
          <w:rFonts w:ascii="Courier New" w:cs="Courier New" w:eastAsia="Courier New" w:hAnsi="Courier New"/>
          <w:sz w:val="16"/>
          <w:szCs w:val="16"/>
          <w:color w:val="auto"/>
        </w:rPr>
        <w:t>Wherever in this Agreement there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is a reference to a specific number of shares of Common Stock of the Company, then, upon the occurrence of any subdivi sion, combination or stock dividend of Common Stock, the specific number of shares so referenced in this Agreement shall automatically be proportionally adjusted to reflect the affect on the outstanding shares of such class or series of stock by such subdivision, combination or stock dividend.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69" w:name="page70"/>
    <w:bookmarkEnd w:id="69"/>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Investor Rights Agreement as of the date and year first above written.</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PIXTECH,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 /s/ Dieter Mezger</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 /s/ W.G. Stover, Jr.</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020" w:right="2199" w:hanging="1579"/>
        <w:spacing w:after="0" w:line="470" w:lineRule="auto"/>
        <w:rPr>
          <w:sz w:val="20"/>
          <w:szCs w:val="20"/>
          <w:color w:val="auto"/>
        </w:rPr>
      </w:pPr>
      <w:r>
        <w:rPr>
          <w:rFonts w:ascii="Courier New" w:cs="Courier New" w:eastAsia="Courier New" w:hAnsi="Courier New"/>
          <w:sz w:val="18"/>
          <w:szCs w:val="18"/>
          <w:color w:val="auto"/>
        </w:rPr>
        <w:t>Vice President of Finance and Chief Financial Officer -15-</w:t>
      </w:r>
    </w:p>
    <w:p>
      <w:pPr>
        <w:sectPr>
          <w:pgSz w:w="11900" w:h="16838" w:orient="portrait"/>
          <w:cols w:equalWidth="0" w:num="1">
            <w:col w:w="10219"/>
          </w:cols>
          <w:pgMar w:left="240" w:top="723" w:right="1440" w:bottom="1440" w:gutter="0" w:footer="0" w:header="0"/>
        </w:sectPr>
      </w:pPr>
    </w:p>
    <w:bookmarkStart w:id="70" w:name="page71"/>
    <w:bookmarkEnd w:id="70"/>
    <w:p>
      <w:pPr>
        <w:ind w:left="7480"/>
        <w:spacing w:after="0"/>
        <w:rPr>
          <w:sz w:val="20"/>
          <w:szCs w:val="20"/>
          <w:color w:val="auto"/>
        </w:rPr>
      </w:pPr>
      <w:r>
        <w:rPr>
          <w:rFonts w:ascii="Courier New" w:cs="Courier New" w:eastAsia="Courier New" w:hAnsi="Courier New"/>
          <w:sz w:val="16"/>
          <w:szCs w:val="16"/>
          <w:color w:val="auto"/>
        </w:rPr>
        <w:t>EXHIBIT 3</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WARRANT AND THE SHARES ISSUABLE UPON EXERCISE OF THIS WARRANT HAVE NOT BEEN REGISTERED UNDER THE SECURITIES ACT OF 1933, AS AMENDED (THE "ACT"), OR ANY STATE SECURITIES LAW AND MAY NOT BE TRANSFERRED IN THE ABSENCE OF AN EFFECTIVE REGISTRATION STATEMENT UNDER THE ACT OR OPINION OF COUNSEL SATISFACTORY TO THE ISSUER THAT SUCH REGISTRATION IS NOT REQUIRED.</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310,000 Shares (subject to adjustment)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COMMON STOCK WARRANT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WARRANT (the "Warrant"), dated as of the 19th day of May, 1999, is made by PixTech, Inc, a Delaware corporation (the "Company"), pursuant to the Acquisition Agreement (the "Acquisition Agreement"), dated as of March 19, 1999, between the Company and Micron Technology, Inc., a Delaware corporation (the "Warrantholder").</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1.</w:t>
      </w:r>
    </w:p>
    <w:p>
      <w:pPr>
        <w:jc w:val="center"/>
        <w:ind w:right="1879"/>
        <w:spacing w:after="0" w:line="238" w:lineRule="auto"/>
        <w:rPr>
          <w:sz w:val="20"/>
          <w:szCs w:val="20"/>
          <w:color w:val="auto"/>
        </w:rPr>
      </w:pPr>
      <w:r>
        <w:rPr>
          <w:rFonts w:ascii="Courier New" w:cs="Courier New" w:eastAsia="Courier New" w:hAnsi="Courier New"/>
          <w:sz w:val="18"/>
          <w:szCs w:val="18"/>
          <w:color w:val="auto"/>
        </w:rPr>
        <w:t>GRANT OF WARRANT AND EXERCISE PRICE</w:t>
      </w:r>
    </w:p>
    <w:p>
      <w:pPr>
        <w:spacing w:after="0" w:line="202" w:lineRule="exact"/>
        <w:rPr>
          <w:sz w:val="20"/>
          <w:szCs w:val="20"/>
          <w:color w:val="auto"/>
        </w:rPr>
      </w:pPr>
    </w:p>
    <w:p>
      <w:pPr>
        <w:ind w:left="540"/>
        <w:spacing w:after="0"/>
        <w:tabs>
          <w:tab w:leader="none" w:pos="1040" w:val="left"/>
          <w:tab w:leader="none" w:pos="5040" w:val="left"/>
        </w:tabs>
        <w:rPr>
          <w:sz w:val="20"/>
          <w:szCs w:val="20"/>
          <w:color w:val="auto"/>
        </w:rPr>
      </w:pPr>
      <w:r>
        <w:rPr>
          <w:rFonts w:ascii="Courier New" w:cs="Courier New" w:eastAsia="Courier New" w:hAnsi="Courier New"/>
          <w:sz w:val="18"/>
          <w:szCs w:val="18"/>
          <w:color w:val="auto"/>
        </w:rPr>
        <w:t>1.1</w:t>
        <w:tab/>
        <w:t>Grant of Warrant and Exercise Price.</w:t>
      </w:r>
      <w:r>
        <w:rPr>
          <w:sz w:val="20"/>
          <w:szCs w:val="20"/>
          <w:color w:val="auto"/>
        </w:rPr>
        <w:tab/>
      </w:r>
      <w:r>
        <w:rPr>
          <w:rFonts w:ascii="Courier New" w:cs="Courier New" w:eastAsia="Courier New" w:hAnsi="Courier New"/>
          <w:sz w:val="16"/>
          <w:szCs w:val="16"/>
          <w:color w:val="auto"/>
        </w:rPr>
        <w:t>This Warrant entitles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Warrantholder to subscribe for and purchase from the Company up to Three Hundred Ten Thousand (310,000) shares (subject to adjustment as provided herein) of fully paid and nonassessable common stock, par value $0.01 per share (the "Common Stock"), of the Company (the "Warrant Shares") at a purchase price per share of $2.25313 (the "Exercise Price," subject to adjustment as provided herein). The right of the Warrantholder to subscribe for and purchase the Warrant Shares shall become exercisable as provided in Article 2 hereof.</w:t>
      </w: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2.</w:t>
      </w:r>
    </w:p>
    <w:p>
      <w:pPr>
        <w:ind w:left="3160"/>
        <w:spacing w:after="0" w:line="238" w:lineRule="auto"/>
        <w:rPr>
          <w:sz w:val="20"/>
          <w:szCs w:val="20"/>
          <w:color w:val="auto"/>
        </w:rPr>
      </w:pPr>
      <w:r>
        <w:rPr>
          <w:rFonts w:ascii="Courier New" w:cs="Courier New" w:eastAsia="Courier New" w:hAnsi="Courier New"/>
          <w:sz w:val="18"/>
          <w:szCs w:val="18"/>
          <w:color w:val="auto"/>
        </w:rPr>
        <w:t>EXERCISE OF WARRANT</w:t>
      </w:r>
    </w:p>
    <w:p>
      <w:pPr>
        <w:spacing w:after="0" w:line="202" w:lineRule="exact"/>
        <w:rPr>
          <w:sz w:val="20"/>
          <w:szCs w:val="20"/>
          <w:color w:val="auto"/>
        </w:rPr>
      </w:pPr>
    </w:p>
    <w:p>
      <w:pPr>
        <w:ind w:left="540"/>
        <w:spacing w:after="0"/>
        <w:tabs>
          <w:tab w:leader="none" w:pos="1040" w:val="left"/>
          <w:tab w:leader="none" w:pos="4720" w:val="left"/>
        </w:tabs>
        <w:rPr>
          <w:sz w:val="20"/>
          <w:szCs w:val="20"/>
          <w:color w:val="auto"/>
        </w:rPr>
      </w:pPr>
      <w:r>
        <w:rPr>
          <w:rFonts w:ascii="Courier New" w:cs="Courier New" w:eastAsia="Courier New" w:hAnsi="Courier New"/>
          <w:sz w:val="18"/>
          <w:szCs w:val="18"/>
          <w:color w:val="auto"/>
        </w:rPr>
        <w:t>2.1</w:t>
        <w:tab/>
        <w:t>Exercise Period; Expiration Date.</w:t>
      </w:r>
      <w:r>
        <w:rPr>
          <w:sz w:val="20"/>
          <w:szCs w:val="20"/>
          <w:color w:val="auto"/>
        </w:rPr>
        <w:tab/>
      </w:r>
      <w:r>
        <w:rPr>
          <w:rFonts w:ascii="Courier New" w:cs="Courier New" w:eastAsia="Courier New" w:hAnsi="Courier New"/>
          <w:sz w:val="16"/>
          <w:szCs w:val="16"/>
          <w:color w:val="auto"/>
        </w:rPr>
        <w:t>This Warrant may be exercised, from</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time to time, in whole or in part during the period commencing on May 19, 1999 (the "Effective Date") and ending at 5:30 p.m. (California time) on the second anniversary thereof (unless such date is not a business day, in which case such period will end on the first business day thereafter (the "Expiration Date")).</w:t>
      </w:r>
    </w:p>
    <w:p>
      <w:pPr>
        <w:sectPr>
          <w:pgSz w:w="11900" w:h="16838" w:orient="portrait"/>
          <w:cols w:equalWidth="0" w:num="1">
            <w:col w:w="10219"/>
          </w:cols>
          <w:pgMar w:left="240" w:top="547" w:right="1440" w:bottom="1440" w:gutter="0" w:footer="0" w:header="0"/>
        </w:sectPr>
      </w:pPr>
    </w:p>
    <w:bookmarkStart w:id="71" w:name="page72"/>
    <w:bookmarkEnd w:id="71"/>
    <w:p>
      <w:pPr>
        <w:ind w:left="540"/>
        <w:spacing w:after="0"/>
        <w:tabs>
          <w:tab w:leader="none" w:pos="1040" w:val="left"/>
          <w:tab w:leader="none" w:pos="5140" w:val="left"/>
        </w:tabs>
        <w:rPr>
          <w:sz w:val="20"/>
          <w:szCs w:val="20"/>
          <w:color w:val="auto"/>
        </w:rPr>
      </w:pPr>
      <w:r>
        <w:rPr>
          <w:rFonts w:ascii="Courier New" w:cs="Courier New" w:eastAsia="Courier New" w:hAnsi="Courier New"/>
          <w:sz w:val="18"/>
          <w:szCs w:val="18"/>
          <w:color w:val="auto"/>
        </w:rPr>
        <w:t>2.2</w:t>
        <w:tab/>
        <w:t>Procedure for Exercising the Warrant.</w:t>
      </w:r>
      <w:r>
        <w:rPr>
          <w:sz w:val="20"/>
          <w:szCs w:val="20"/>
          <w:color w:val="auto"/>
        </w:rPr>
        <w:tab/>
      </w:r>
      <w:r>
        <w:rPr>
          <w:rFonts w:ascii="Courier New" w:cs="Courier New" w:eastAsia="Courier New" w:hAnsi="Courier New"/>
          <w:sz w:val="16"/>
          <w:szCs w:val="16"/>
          <w:color w:val="auto"/>
        </w:rPr>
        <w:t>The Warrantholder may exercise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this Warrant by executing the Notice of Exercise attached hereto as Exhibit A</w:t>
      </w:r>
    </w:p>
    <w:p>
      <w:pPr>
        <w:ind w:left="71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and delivering it to the Company and tendering the requisite aggregate Exercise Price for the number of Warrant Shares to be purchased on any business day during normal business hours.</w:t>
      </w:r>
    </w:p>
    <w:p>
      <w:pPr>
        <w:spacing w:after="0" w:line="203" w:lineRule="exact"/>
        <w:rPr>
          <w:sz w:val="20"/>
          <w:szCs w:val="20"/>
          <w:color w:val="auto"/>
        </w:rPr>
      </w:pPr>
    </w:p>
    <w:p>
      <w:pPr>
        <w:ind w:left="540"/>
        <w:spacing w:after="0"/>
        <w:tabs>
          <w:tab w:leader="none" w:pos="1040" w:val="left"/>
          <w:tab w:leader="none" w:pos="4000" w:val="left"/>
        </w:tabs>
        <w:rPr>
          <w:sz w:val="20"/>
          <w:szCs w:val="20"/>
          <w:color w:val="auto"/>
        </w:rPr>
      </w:pPr>
      <w:r>
        <w:rPr>
          <w:rFonts w:ascii="Courier New" w:cs="Courier New" w:eastAsia="Courier New" w:hAnsi="Courier New"/>
          <w:sz w:val="18"/>
          <w:szCs w:val="18"/>
          <w:color w:val="auto"/>
        </w:rPr>
        <w:t>2.3</w:t>
        <w:tab/>
        <w:t>Payment of Exercise Price.</w:t>
      </w:r>
      <w:r>
        <w:rPr>
          <w:sz w:val="20"/>
          <w:szCs w:val="20"/>
          <w:color w:val="auto"/>
        </w:rPr>
        <w:tab/>
      </w:r>
      <w:r>
        <w:rPr>
          <w:rFonts w:ascii="Courier New" w:cs="Courier New" w:eastAsia="Courier New" w:hAnsi="Courier New"/>
          <w:sz w:val="16"/>
          <w:szCs w:val="16"/>
          <w:color w:val="auto"/>
        </w:rPr>
        <w:t>At the option of the Warrantholder,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payment of the Exercise Price shall be made by (a) wire transfer of funds to an account in a bank located in the United States designated by the Company for such purpose, (b) certified check payable to the order of the Company or (c) by any combination of such methods.</w:t>
      </w:r>
    </w:p>
    <w:p>
      <w:pPr>
        <w:spacing w:after="0" w:line="202" w:lineRule="exact"/>
        <w:rPr>
          <w:sz w:val="20"/>
          <w:szCs w:val="20"/>
          <w:color w:val="auto"/>
        </w:rPr>
      </w:pPr>
    </w:p>
    <w:p>
      <w:pPr>
        <w:ind w:left="540"/>
        <w:spacing w:after="0"/>
        <w:tabs>
          <w:tab w:leader="none" w:pos="1040" w:val="left"/>
          <w:tab w:leader="none" w:pos="7260" w:val="left"/>
        </w:tabs>
        <w:rPr>
          <w:sz w:val="20"/>
          <w:szCs w:val="20"/>
          <w:color w:val="auto"/>
        </w:rPr>
      </w:pPr>
      <w:r>
        <w:rPr>
          <w:rFonts w:ascii="Courier New" w:cs="Courier New" w:eastAsia="Courier New" w:hAnsi="Courier New"/>
          <w:sz w:val="18"/>
          <w:szCs w:val="18"/>
          <w:color w:val="auto"/>
        </w:rPr>
        <w:t>2.4</w:t>
        <w:tab/>
        <w:t>Delivery of shares of Common Stock and Remaining Warrant.</w:t>
      </w:r>
      <w:r>
        <w:rPr>
          <w:sz w:val="20"/>
          <w:szCs w:val="20"/>
          <w:color w:val="auto"/>
        </w:rPr>
        <w:tab/>
      </w:r>
      <w:r>
        <w:rPr>
          <w:rFonts w:ascii="Courier New" w:cs="Courier New" w:eastAsia="Courier New" w:hAnsi="Courier New"/>
          <w:sz w:val="16"/>
          <w:szCs w:val="16"/>
          <w:color w:val="auto"/>
        </w:rPr>
        <w:t>In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event of any exercise of this Warrant, certificates for the shares of Common Stock so exercised shall be delivered to the holder hereof within five (5) business days thereafter and, unless this Warrant has been fully exercised, converted or expired, a new Warrant representing the portion of the shares of Common Stock, if any, with respect to which this Warrant shall not then have been exercised, shall also be issued to the holder hereof within such five (5) business day period. All other terms and conditions of such amended Warrant shall be identical to those contained herein, including, but not limited to the Effective Date hereof. If the Warrant Shares are to be registered in the name of any entity or person other than the Warrantholder, the Company may require evidence of compliance by the Warrantholder with all applicable securities laws.</w:t>
      </w: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3.</w:t>
      </w:r>
    </w:p>
    <w:p>
      <w:pPr>
        <w:ind w:left="2640"/>
        <w:spacing w:after="0" w:line="238" w:lineRule="auto"/>
        <w:rPr>
          <w:sz w:val="20"/>
          <w:szCs w:val="20"/>
          <w:color w:val="auto"/>
        </w:rPr>
      </w:pPr>
      <w:r>
        <w:rPr>
          <w:rFonts w:ascii="Courier New" w:cs="Courier New" w:eastAsia="Courier New" w:hAnsi="Courier New"/>
          <w:sz w:val="18"/>
          <w:szCs w:val="18"/>
          <w:color w:val="auto"/>
        </w:rPr>
        <w:t>AVAILABILITY OF WARRANT SHARES</w:t>
      </w:r>
    </w:p>
    <w:p>
      <w:pPr>
        <w:spacing w:after="0" w:line="202" w:lineRule="exact"/>
        <w:rPr>
          <w:sz w:val="20"/>
          <w:szCs w:val="20"/>
          <w:color w:val="auto"/>
        </w:rPr>
      </w:pPr>
    </w:p>
    <w:p>
      <w:pPr>
        <w:ind w:left="540"/>
        <w:spacing w:after="0"/>
        <w:tabs>
          <w:tab w:leader="none" w:pos="1040" w:val="left"/>
          <w:tab w:leader="none" w:pos="4200" w:val="left"/>
        </w:tabs>
        <w:rPr>
          <w:sz w:val="20"/>
          <w:szCs w:val="20"/>
          <w:color w:val="auto"/>
        </w:rPr>
      </w:pPr>
      <w:r>
        <w:rPr>
          <w:rFonts w:ascii="Courier New" w:cs="Courier New" w:eastAsia="Courier New" w:hAnsi="Courier New"/>
          <w:sz w:val="18"/>
          <w:szCs w:val="18"/>
          <w:color w:val="auto"/>
        </w:rPr>
        <w:t>3.1</w:t>
        <w:tab/>
        <w:t>Reservation of Common Stock.</w:t>
      </w:r>
      <w:r>
        <w:rPr>
          <w:sz w:val="20"/>
          <w:szCs w:val="20"/>
          <w:color w:val="auto"/>
        </w:rPr>
        <w:tab/>
      </w:r>
      <w:r>
        <w:rPr>
          <w:rFonts w:ascii="Courier New" w:cs="Courier New" w:eastAsia="Courier New" w:hAnsi="Courier New"/>
          <w:sz w:val="16"/>
          <w:szCs w:val="16"/>
          <w:color w:val="auto"/>
        </w:rPr>
        <w:t>The Company covenants and agrees that it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will cause to be kept available out of its authorized and unissued Common Stock a number of shares of Common Stock that will be sufficient to permit the exercise in full of this Warrant.</w:t>
      </w:r>
    </w:p>
    <w:p>
      <w:pPr>
        <w:spacing w:after="0" w:line="203" w:lineRule="exact"/>
        <w:rPr>
          <w:sz w:val="20"/>
          <w:szCs w:val="20"/>
          <w:color w:val="auto"/>
        </w:rPr>
      </w:pPr>
    </w:p>
    <w:p>
      <w:pPr>
        <w:ind w:left="540"/>
        <w:spacing w:after="0"/>
        <w:tabs>
          <w:tab w:leader="none" w:pos="1040" w:val="left"/>
          <w:tab w:leader="none" w:pos="4420" w:val="left"/>
        </w:tabs>
        <w:rPr>
          <w:sz w:val="20"/>
          <w:szCs w:val="20"/>
          <w:color w:val="auto"/>
        </w:rPr>
      </w:pPr>
      <w:r>
        <w:rPr>
          <w:rFonts w:ascii="Courier New" w:cs="Courier New" w:eastAsia="Courier New" w:hAnsi="Courier New"/>
          <w:sz w:val="18"/>
          <w:szCs w:val="18"/>
          <w:color w:val="auto"/>
        </w:rPr>
        <w:t>3.2</w:t>
        <w:tab/>
        <w:t>Authorization of Common Stock.</w:t>
      </w:r>
      <w:r>
        <w:rPr>
          <w:sz w:val="20"/>
          <w:szCs w:val="20"/>
          <w:color w:val="auto"/>
        </w:rPr>
        <w:tab/>
      </w:r>
      <w:r>
        <w:rPr>
          <w:rFonts w:ascii="Courier New" w:cs="Courier New" w:eastAsia="Courier New" w:hAnsi="Courier New"/>
          <w:sz w:val="16"/>
          <w:szCs w:val="16"/>
          <w:color w:val="auto"/>
        </w:rPr>
        <w:t>The Company covenants and agrees that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will take all such action as may be necessary to ensure that all shares of Common Stock delivered upon exercise or conversion of this Warrant shall, at the time of delivery of the certificates for such Warrant Shares, be duly and validly authorized and issued and fully paid and non-assessable shares.</w:t>
      </w:r>
    </w:p>
    <w:p>
      <w:pPr>
        <w:spacing w:after="0" w:line="202" w:lineRule="exact"/>
        <w:rPr>
          <w:sz w:val="20"/>
          <w:szCs w:val="20"/>
          <w:color w:val="auto"/>
        </w:rPr>
      </w:pPr>
    </w:p>
    <w:p>
      <w:pPr>
        <w:ind w:left="540"/>
        <w:spacing w:after="0"/>
        <w:tabs>
          <w:tab w:leader="none" w:pos="1040" w:val="left"/>
          <w:tab w:leader="none" w:pos="3260" w:val="left"/>
        </w:tabs>
        <w:rPr>
          <w:sz w:val="20"/>
          <w:szCs w:val="20"/>
          <w:color w:val="auto"/>
        </w:rPr>
      </w:pPr>
      <w:r>
        <w:rPr>
          <w:rFonts w:ascii="Courier New" w:cs="Courier New" w:eastAsia="Courier New" w:hAnsi="Courier New"/>
          <w:sz w:val="18"/>
          <w:szCs w:val="18"/>
          <w:color w:val="auto"/>
        </w:rPr>
        <w:t>3.3</w:t>
        <w:tab/>
        <w:t>Stockholder Rights.</w:t>
      </w:r>
      <w:r>
        <w:rPr>
          <w:sz w:val="20"/>
          <w:szCs w:val="20"/>
          <w:color w:val="auto"/>
        </w:rPr>
        <w:tab/>
      </w:r>
      <w:r>
        <w:rPr>
          <w:rFonts w:ascii="Courier New" w:cs="Courier New" w:eastAsia="Courier New" w:hAnsi="Courier New"/>
          <w:sz w:val="16"/>
          <w:szCs w:val="16"/>
          <w:color w:val="auto"/>
        </w:rPr>
        <w:t>Each person or entity in whose name any</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certificate for Warrant Shares is issued upon the exercise of this Warrant shall for all purposes be deemed to have become the holder of record of the Warrant Shares represented thereby on, and such certificate shall be dated, the date upon which the Subscription Agreement was duly executed and payment of the aggregate Exercise Price was made. Prior to the exercise of this Warrant, the Warrantholder shall not be entitled to any rights of a stockholder of the Company with respect to the Warrant Shares for which this Warrant shall be exercisable, including, without limitation, the right to vote, and to receive dividends or other distributions and shall not be entitled to receive any notice of any proceedings of the Company, except as provided herein.</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72" w:name="page73"/>
    <w:bookmarkEnd w:id="72"/>
    <w:p>
      <w:pPr>
        <w:ind w:left="540"/>
        <w:spacing w:after="0"/>
        <w:tabs>
          <w:tab w:leader="none" w:pos="1040" w:val="left"/>
          <w:tab w:leader="none" w:pos="2520" w:val="left"/>
        </w:tabs>
        <w:rPr>
          <w:sz w:val="20"/>
          <w:szCs w:val="20"/>
          <w:color w:val="auto"/>
        </w:rPr>
      </w:pPr>
      <w:r>
        <w:rPr>
          <w:rFonts w:ascii="Courier New" w:cs="Courier New" w:eastAsia="Courier New" w:hAnsi="Courier New"/>
          <w:sz w:val="18"/>
          <w:szCs w:val="18"/>
          <w:color w:val="auto"/>
        </w:rPr>
        <w:t>3.4</w:t>
        <w:tab/>
        <w:t>Adjustments.</w:t>
      </w:r>
      <w:r>
        <w:rPr>
          <w:sz w:val="20"/>
          <w:szCs w:val="20"/>
          <w:color w:val="auto"/>
        </w:rPr>
        <w:tab/>
      </w:r>
      <w:r>
        <w:rPr>
          <w:rFonts w:ascii="Courier New" w:cs="Courier New" w:eastAsia="Courier New" w:hAnsi="Courier New"/>
          <w:sz w:val="16"/>
          <w:szCs w:val="16"/>
          <w:color w:val="auto"/>
        </w:rPr>
        <w:t>If the Company shall, at any time or from time to time,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firstLine="8"/>
        <w:spacing w:after="0" w:line="268" w:lineRule="auto"/>
        <w:tabs>
          <w:tab w:leader="none" w:pos="42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 dividend in Common Stock, or make a distribution in Common Stock, (ii) subdivide its outstanding Common Stock into a greater number of shares, or (iii) otherwise combine its outstanding Common Stock into a smaller number of shares (including through a recapitalization or otherwise), (a) the Exercise Price in effect on the record date for such dividend or on the effective date of such subdivision or combination shall be adjusted by multiplying such Exercise Price by a fraction, the numerator of which is the number of shares of Common Stock outstanding immediately prior to such event and the denominator of which is the number of shares of Common Stock outstanding immediately after such event and</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Warrant Shares for which this Warrant may be exercised immediately before such event shall be adjusted by multiplying such number by a fraction, the numerator of which is the Exercise Price immediately before such event and the denominator of which is the Exercise Price immediately after such event.</w:t>
      </w:r>
    </w:p>
    <w:p>
      <w:pPr>
        <w:spacing w:after="0" w:line="203" w:lineRule="exact"/>
        <w:rPr>
          <w:sz w:val="20"/>
          <w:szCs w:val="20"/>
          <w:color w:val="auto"/>
        </w:rPr>
      </w:pPr>
    </w:p>
    <w:p>
      <w:pPr>
        <w:ind w:left="540"/>
        <w:spacing w:after="0"/>
        <w:tabs>
          <w:tab w:leader="none" w:pos="1040" w:val="left"/>
          <w:tab w:leader="none" w:pos="2940" w:val="left"/>
        </w:tabs>
        <w:rPr>
          <w:sz w:val="20"/>
          <w:szCs w:val="20"/>
          <w:color w:val="auto"/>
        </w:rPr>
      </w:pPr>
      <w:r>
        <w:rPr>
          <w:rFonts w:ascii="Courier New" w:cs="Courier New" w:eastAsia="Courier New" w:hAnsi="Courier New"/>
          <w:sz w:val="18"/>
          <w:szCs w:val="18"/>
          <w:color w:val="auto"/>
        </w:rPr>
        <w:t>3.5</w:t>
        <w:tab/>
        <w:t>Reorganizations.</w:t>
      </w:r>
      <w:r>
        <w:rPr>
          <w:sz w:val="20"/>
          <w:szCs w:val="20"/>
          <w:color w:val="auto"/>
        </w:rPr>
        <w:tab/>
      </w:r>
      <w:r>
        <w:rPr>
          <w:rFonts w:ascii="Courier New" w:cs="Courier New" w:eastAsia="Courier New" w:hAnsi="Courier New"/>
          <w:sz w:val="16"/>
          <w:szCs w:val="16"/>
          <w:color w:val="auto"/>
        </w:rPr>
        <w:t>In case of any capital reorganization or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reclassification of the Common Stock, or any consolidation or merger of the Company with or into another corporation or the sale of all or substantially all of the assets of the Company as an entirety or substantially as an entirety (collectively such actions being hereinafter referred to as "Reorganizations"), lawful provision shall be made so that there shall thereafter be deliverable upon exercise of this Warrant (in lieu of the number of Warrant Shares theretofore deliverable) the number of shares of stock or other securities or property to which a holder of the number of shares of Common Stock which would otherwise have been deliverable upon the exercise of this Warrant would have been entitled upon such Reorganization if this Warrant had been exercised immediately prior to such Reorganization.</w:t>
      </w:r>
    </w:p>
    <w:p>
      <w:pPr>
        <w:spacing w:after="0" w:line="210" w:lineRule="exact"/>
        <w:rPr>
          <w:sz w:val="20"/>
          <w:szCs w:val="20"/>
          <w:color w:val="auto"/>
        </w:rPr>
      </w:pPr>
    </w:p>
    <w:p>
      <w:pPr>
        <w:ind w:left="540"/>
        <w:spacing w:after="0"/>
        <w:tabs>
          <w:tab w:leader="none" w:pos="1040" w:val="left"/>
          <w:tab w:leader="none" w:pos="3560" w:val="left"/>
        </w:tabs>
        <w:rPr>
          <w:sz w:val="20"/>
          <w:szCs w:val="20"/>
          <w:color w:val="auto"/>
        </w:rPr>
      </w:pPr>
      <w:r>
        <w:rPr>
          <w:rFonts w:ascii="Courier New" w:cs="Courier New" w:eastAsia="Courier New" w:hAnsi="Courier New"/>
          <w:sz w:val="18"/>
          <w:szCs w:val="18"/>
          <w:color w:val="auto"/>
        </w:rPr>
        <w:t>3.6</w:t>
        <w:tab/>
        <w:t>Notice of Adjustments.</w:t>
      </w:r>
      <w:r>
        <w:rPr>
          <w:sz w:val="20"/>
          <w:szCs w:val="20"/>
          <w:color w:val="auto"/>
        </w:rPr>
        <w:tab/>
      </w:r>
      <w:r>
        <w:rPr>
          <w:rFonts w:ascii="Courier New" w:cs="Courier New" w:eastAsia="Courier New" w:hAnsi="Courier New"/>
          <w:sz w:val="16"/>
          <w:szCs w:val="16"/>
          <w:color w:val="auto"/>
        </w:rPr>
        <w:t>Whenever the Exercise Price or number of</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shares deliverable upon exercise of this Warrant shall be adjusted pursuant to this Article 3, the Company shall promptly prepare a certificate signed by the principal financial officer of the Company setting forth, in reasonable detail, the event regarding the adjustment, the amount of the adjustment, and the method by which such adjustment was calculated, and shall promptly cause copies of such certificate to be provided to the holder of this Warrant as provided in Section</w:t>
      </w:r>
    </w:p>
    <w:p>
      <w:pPr>
        <w:ind w:left="7600"/>
        <w:spacing w:after="0" w:line="234"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5.1.</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4.</w:t>
      </w:r>
    </w:p>
    <w:p>
      <w:pPr>
        <w:ind w:left="1900"/>
        <w:spacing w:after="0" w:line="238" w:lineRule="auto"/>
        <w:rPr>
          <w:sz w:val="20"/>
          <w:szCs w:val="20"/>
          <w:color w:val="auto"/>
        </w:rPr>
      </w:pPr>
      <w:r>
        <w:rPr>
          <w:rFonts w:ascii="Courier New" w:cs="Courier New" w:eastAsia="Courier New" w:hAnsi="Courier New"/>
          <w:sz w:val="18"/>
          <w:szCs w:val="18"/>
          <w:color w:val="auto"/>
        </w:rPr>
        <w:t>WARRANTHOLDER REPRESENTATIONS AND WARRANTIES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Warrantholder represents and warrants to, and covenants with, the</w:t>
      </w:r>
    </w:p>
    <w:p>
      <w:pPr>
        <w:spacing w:after="0" w:line="238" w:lineRule="auto"/>
        <w:rPr>
          <w:sz w:val="20"/>
          <w:szCs w:val="20"/>
          <w:color w:val="auto"/>
        </w:rPr>
      </w:pPr>
      <w:r>
        <w:rPr>
          <w:rFonts w:ascii="Courier New" w:cs="Courier New" w:eastAsia="Courier New" w:hAnsi="Courier New"/>
          <w:sz w:val="18"/>
          <w:szCs w:val="18"/>
          <w:color w:val="auto"/>
        </w:rPr>
        <w:t>Company as follows:</w:t>
      </w:r>
    </w:p>
    <w:p>
      <w:pPr>
        <w:spacing w:after="0" w:line="202" w:lineRule="exact"/>
        <w:rPr>
          <w:sz w:val="20"/>
          <w:szCs w:val="20"/>
          <w:color w:val="auto"/>
        </w:rPr>
      </w:pPr>
    </w:p>
    <w:p>
      <w:pPr>
        <w:ind w:left="540"/>
        <w:spacing w:after="0"/>
        <w:tabs>
          <w:tab w:leader="none" w:pos="1040" w:val="left"/>
          <w:tab w:leader="none" w:pos="2940" w:val="left"/>
        </w:tabs>
        <w:rPr>
          <w:sz w:val="20"/>
          <w:szCs w:val="20"/>
          <w:color w:val="auto"/>
        </w:rPr>
      </w:pPr>
      <w:r>
        <w:rPr>
          <w:rFonts w:ascii="Courier New" w:cs="Courier New" w:eastAsia="Courier New" w:hAnsi="Courier New"/>
          <w:sz w:val="18"/>
          <w:szCs w:val="18"/>
          <w:color w:val="auto"/>
        </w:rPr>
        <w:t>4.1</w:t>
        <w:tab/>
        <w:t>Representations.</w:t>
      </w:r>
      <w:r>
        <w:rPr>
          <w:sz w:val="20"/>
          <w:szCs w:val="20"/>
          <w:color w:val="auto"/>
        </w:rPr>
        <w:tab/>
      </w:r>
      <w:r>
        <w:rPr>
          <w:rFonts w:ascii="Courier New" w:cs="Courier New" w:eastAsia="Courier New" w:hAnsi="Courier New"/>
          <w:sz w:val="16"/>
          <w:szCs w:val="16"/>
          <w:color w:val="auto"/>
        </w:rPr>
        <w:t>It is acquiring the Warrant for investment for 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own account and not with the view to, or for resale in connection with, any distribution thereof. It understands that the Warrant and the Warrant Shares have not been registered under the Act, or any state blue sky laws, by reason of specified exemptions from the registration provisions of the Act and such laws. It acknowledges that the Warrant and the Warrant Shares thereof must be held indefinitely unless they are subsequently registered under the Act or an exemption from such registration is available. It has been advised or is aware of the provisions of Rule 144 promulgated under the Act, which permit the resale of shares purchased in a private placement subject to the satisfaction of certain conditions.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3" w:name="page74"/>
    <w:bookmarkEnd w:id="73"/>
    <w:p>
      <w:pPr>
        <w:ind w:left="540"/>
        <w:spacing w:after="0"/>
        <w:tabs>
          <w:tab w:leader="none" w:pos="1040" w:val="left"/>
          <w:tab w:leader="none" w:pos="3260" w:val="left"/>
        </w:tabs>
        <w:rPr>
          <w:sz w:val="20"/>
          <w:szCs w:val="20"/>
          <w:color w:val="auto"/>
        </w:rPr>
      </w:pPr>
      <w:r>
        <w:rPr>
          <w:rFonts w:ascii="Courier New" w:cs="Courier New" w:eastAsia="Courier New" w:hAnsi="Courier New"/>
          <w:sz w:val="18"/>
          <w:szCs w:val="18"/>
          <w:color w:val="auto"/>
        </w:rPr>
        <w:t>4.2</w:t>
        <w:tab/>
        <w:t>Restrictive Legend.</w:t>
      </w:r>
      <w:r>
        <w:rPr>
          <w:sz w:val="20"/>
          <w:szCs w:val="20"/>
          <w:color w:val="auto"/>
        </w:rPr>
        <w:tab/>
      </w:r>
      <w:r>
        <w:rPr>
          <w:rFonts w:ascii="Courier New" w:cs="Courier New" w:eastAsia="Courier New" w:hAnsi="Courier New"/>
          <w:sz w:val="16"/>
          <w:szCs w:val="16"/>
          <w:color w:val="auto"/>
        </w:rPr>
        <w:t>Unless and until the resale of the Warrant Shares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pursuant to an effective Registration Statement, or until the Warrant Shares may be sold under an exemption from registration, including Rule 144, without restrictions, each certificate representing Warrant Shares, or any other securities issued in respect of the Warrant Shares, upon any stock split, stock dividend, recapitalization, merger, consolidation or similar event, shall be stamped or otherwise imprinted with a legend in substantially the following form (in addition to any legend required under applicable state securities laws):</w:t>
      </w:r>
    </w:p>
    <w:p>
      <w:pPr>
        <w:spacing w:after="0" w:line="188"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6"/>
          <w:szCs w:val="16"/>
          <w:color w:val="auto"/>
        </w:rPr>
        <w:t>THIS WARRANT AND THE SHARES ISSUABLE UPON EXERCISE OF THIS WARRANT HAVE NOT BEEN REGISTERED UNDER THE SECURITIES ACT OF 1933, AS AMENDED (THE "ACT"), OR ANY STATE SECURITIES LAW AND MAY NOT BE TRANSFERRED IN THE ABSENCE OF AN EFFECTIVE REGISTRATION STATEMENT UNDER THE ACT OR OPINION OF COUNSEL SATISFACTORY TO THE ISSUER THAT SUCH REGISTRATION IS NOT REQUIRED.</w:t>
      </w:r>
    </w:p>
    <w:p>
      <w:pPr>
        <w:spacing w:after="0" w:line="179" w:lineRule="exact"/>
        <w:rPr>
          <w:sz w:val="20"/>
          <w:szCs w:val="20"/>
          <w:color w:val="auto"/>
        </w:rPr>
      </w:pPr>
    </w:p>
    <w:p>
      <w:pPr>
        <w:ind w:left="540"/>
        <w:spacing w:after="0"/>
        <w:tabs>
          <w:tab w:leader="none" w:pos="1040" w:val="left"/>
          <w:tab w:leader="none" w:pos="6420" w:val="left"/>
        </w:tabs>
        <w:rPr>
          <w:sz w:val="20"/>
          <w:szCs w:val="20"/>
          <w:color w:val="auto"/>
        </w:rPr>
      </w:pPr>
      <w:r>
        <w:rPr>
          <w:rFonts w:ascii="Courier New" w:cs="Courier New" w:eastAsia="Courier New" w:hAnsi="Courier New"/>
          <w:sz w:val="18"/>
          <w:szCs w:val="18"/>
          <w:color w:val="auto"/>
        </w:rPr>
        <w:t>4.3</w:t>
        <w:tab/>
        <w:t>Restrictions On and Notice of Proposed Transfers.</w:t>
      </w:r>
      <w:r>
        <w:rPr>
          <w:sz w:val="20"/>
          <w:szCs w:val="20"/>
          <w:color w:val="auto"/>
        </w:rPr>
        <w:tab/>
      </w:r>
      <w:r>
        <w:rPr>
          <w:rFonts w:ascii="Courier New" w:cs="Courier New" w:eastAsia="Courier New" w:hAnsi="Courier New"/>
          <w:sz w:val="16"/>
          <w:szCs w:val="16"/>
          <w:color w:val="auto"/>
        </w:rPr>
        <w:t>The Warrantholder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agrees that prior to any proposed transfer of any of the Warrant Shares, the Warrantholder shall give written notice to the Company of its intention to effect such transfer. Each such notice shall describe the manner and circumstances of the proposed transfer in sufficient detail, and shall, if requested by the Company, be accompanied by either (a) an opinion of legal counsel which counsel shall be reasonably satisfactory to the Company, addressed to the Company and reasonably satisfactory in form and substance to the Company's counsel, to the effect that the proposed transfer of the Warrant Shares may be effected without registration under the Act or under any applicable state or other securities laws or (b) a "no-action" letter from the staff of the Securities and Exchange Commission to the effect that the distribution of such securities without registration will not result in a recommendation by the Staff of the Securities and Exchange Commission that action be taken with respect thereto, whereupon the Warrantholder shall be entitled to transfer such Warrant Shares in accordance with the terms of the notice delivered to the Company. Each certificate evidencing the Warrant Shares transferred as provided above shall bear the appropriate restrictive legend set forth in Section 4.2 above, except that such certificate shall not bear such</w:t>
      </w:r>
    </w:p>
    <w:p>
      <w:pPr>
        <w:spacing w:after="0" w:line="3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restrictive</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legend if the opinion</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counsel or</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"no-action" letter referred</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to</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above is to</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further effect that such legend</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is not required in order to</w:t>
            </w:r>
          </w:p>
        </w:tc>
        <w:tc>
          <w:tcPr>
            <w:tcW w:w="2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comply with</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any provisions of the</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5.</w:t>
      </w:r>
    </w:p>
    <w:p>
      <w:pPr>
        <w:ind w:left="34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ind w:left="540"/>
        <w:spacing w:after="0"/>
        <w:tabs>
          <w:tab w:leader="none" w:pos="1040" w:val="left"/>
          <w:tab w:leader="none" w:pos="2100" w:val="left"/>
        </w:tabs>
        <w:rPr>
          <w:sz w:val="20"/>
          <w:szCs w:val="20"/>
          <w:color w:val="auto"/>
        </w:rPr>
      </w:pPr>
      <w:r>
        <w:rPr>
          <w:rFonts w:ascii="Courier New" w:cs="Courier New" w:eastAsia="Courier New" w:hAnsi="Courier New"/>
          <w:sz w:val="18"/>
          <w:szCs w:val="18"/>
          <w:color w:val="auto"/>
        </w:rPr>
        <w:t>5.1</w:t>
        <w:tab/>
        <w:t>Notices.</w:t>
      </w:r>
      <w:r>
        <w:rPr>
          <w:sz w:val="20"/>
          <w:szCs w:val="20"/>
          <w:color w:val="auto"/>
        </w:rPr>
        <w:tab/>
      </w:r>
      <w:r>
        <w:rPr>
          <w:rFonts w:ascii="Courier New" w:cs="Courier New" w:eastAsia="Courier New" w:hAnsi="Courier New"/>
          <w:sz w:val="16"/>
          <w:szCs w:val="16"/>
          <w:color w:val="auto"/>
        </w:rPr>
        <w:t>Notices or demands relating to this Warrant shall be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sufficiently given or made if sent by first-class mail, postage prepaid, addressed as follows, or telexed, telecopied, or delivered by overnight or other courier:</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PixTech, Inc.</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17" w:right="1440" w:bottom="1440" w:gutter="0" w:footer="0" w:header="0"/>
          <w:type w:val="continuous"/>
        </w:sectPr>
      </w:pPr>
    </w:p>
    <w:bookmarkStart w:id="74" w:name="page75"/>
    <w:bookmarkEnd w:id="74"/>
    <w:p>
      <w:pPr>
        <w:ind w:left="3160"/>
        <w:spacing w:after="0"/>
        <w:rPr>
          <w:sz w:val="20"/>
          <w:szCs w:val="20"/>
          <w:color w:val="auto"/>
        </w:rPr>
      </w:pPr>
      <w:r>
        <w:rPr>
          <w:rFonts w:ascii="Courier New" w:cs="Courier New" w:eastAsia="Courier New" w:hAnsi="Courier New"/>
          <w:sz w:val="18"/>
          <w:szCs w:val="18"/>
          <w:color w:val="auto"/>
        </w:rPr>
        <w:t>Avenue Olivier Perroy</w:t>
      </w:r>
    </w:p>
    <w:p>
      <w:pPr>
        <w:ind w:left="3160"/>
        <w:spacing w:after="0" w:line="238" w:lineRule="auto"/>
        <w:rPr>
          <w:sz w:val="20"/>
          <w:szCs w:val="20"/>
          <w:color w:val="auto"/>
        </w:rPr>
      </w:pPr>
      <w:r>
        <w:rPr>
          <w:rFonts w:ascii="Courier New" w:cs="Courier New" w:eastAsia="Courier New" w:hAnsi="Courier New"/>
          <w:sz w:val="18"/>
          <w:szCs w:val="18"/>
          <w:color w:val="auto"/>
        </w:rPr>
        <w:t>Zone Industrielle de Rousset</w:t>
      </w:r>
    </w:p>
    <w:p>
      <w:pPr>
        <w:ind w:left="3160"/>
        <w:spacing w:after="0"/>
        <w:rPr>
          <w:sz w:val="20"/>
          <w:szCs w:val="20"/>
          <w:color w:val="auto"/>
        </w:rPr>
      </w:pPr>
      <w:r>
        <w:rPr>
          <w:rFonts w:ascii="Courier New" w:cs="Courier New" w:eastAsia="Courier New" w:hAnsi="Courier New"/>
          <w:sz w:val="18"/>
          <w:szCs w:val="18"/>
          <w:color w:val="auto"/>
        </w:rPr>
        <w:t>Rousset 13790 FRANCE</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President</w:t>
      </w:r>
    </w:p>
    <w:p>
      <w:pPr>
        <w:ind w:left="3160"/>
        <w:spacing w:after="0" w:line="238" w:lineRule="auto"/>
        <w:tabs>
          <w:tab w:leader="none" w:pos="4420" w:val="left"/>
        </w:tabs>
        <w:rPr>
          <w:sz w:val="20"/>
          <w:szCs w:val="20"/>
          <w:color w:val="auto"/>
        </w:rPr>
      </w:pPr>
      <w:r>
        <w:rPr>
          <w:rFonts w:ascii="Courier New" w:cs="Courier New" w:eastAsia="Courier New" w:hAnsi="Courier New"/>
          <w:sz w:val="18"/>
          <w:szCs w:val="18"/>
          <w:color w:val="auto"/>
        </w:rPr>
        <w:t>Telephone:</w:t>
        <w:tab/>
        <w:t>011-33-4-42-29-10-00</w:t>
      </w:r>
    </w:p>
    <w:p>
      <w:pPr>
        <w:ind w:left="3160"/>
        <w:spacing w:after="0"/>
        <w:tabs>
          <w:tab w:leader="none" w:pos="430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011-33-4-42-29-05-09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the Warrantholder: Micron Technology, Inc.</w:t>
      </w:r>
    </w:p>
    <w:p>
      <w:pPr>
        <w:ind w:left="3160"/>
        <w:spacing w:after="0" w:line="238" w:lineRule="auto"/>
        <w:rPr>
          <w:sz w:val="20"/>
          <w:szCs w:val="20"/>
          <w:color w:val="auto"/>
        </w:rPr>
      </w:pPr>
      <w:r>
        <w:rPr>
          <w:rFonts w:ascii="Courier New" w:cs="Courier New" w:eastAsia="Courier New" w:hAnsi="Courier New"/>
          <w:sz w:val="18"/>
          <w:szCs w:val="18"/>
          <w:color w:val="auto"/>
        </w:rPr>
        <w:t>8000 S. Federal Way</w:t>
      </w:r>
    </w:p>
    <w:p>
      <w:pPr>
        <w:ind w:left="3160"/>
        <w:spacing w:after="0"/>
        <w:tabs>
          <w:tab w:leader="none" w:pos="462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83716</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General Counsel</w:t>
      </w:r>
    </w:p>
    <w:p>
      <w:pPr>
        <w:ind w:left="3160"/>
        <w:spacing w:after="0" w:line="238" w:lineRule="auto"/>
        <w:tabs>
          <w:tab w:leader="none" w:pos="4420" w:val="left"/>
        </w:tabs>
        <w:rPr>
          <w:sz w:val="20"/>
          <w:szCs w:val="20"/>
          <w:color w:val="auto"/>
        </w:rPr>
      </w:pPr>
      <w:r>
        <w:rPr>
          <w:rFonts w:ascii="Courier New" w:cs="Courier New" w:eastAsia="Courier New" w:hAnsi="Courier New"/>
          <w:sz w:val="18"/>
          <w:szCs w:val="18"/>
          <w:color w:val="auto"/>
        </w:rPr>
        <w:t>Telephone:</w:t>
        <w:tab/>
        <w:t>(208) 368-4000</w:t>
      </w:r>
    </w:p>
    <w:p>
      <w:pPr>
        <w:ind w:left="3160"/>
        <w:spacing w:after="0"/>
        <w:tabs>
          <w:tab w:leader="none" w:pos="430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(208) 368-4540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such other address as may be provided by one party to the other in writing.</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Successors and Assigns.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61"/>
        <w:spacing w:after="0" w:line="237" w:lineRule="auto"/>
        <w:tabs>
          <w:tab w:leader="none" w:pos="147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covenants and provisions of this Warrant by or for the benefit of the Company or the Warrantholder shall bind and inure to the benefit of their respective successors and assigns hereunder and this Warrant may be freely assigned; provided that the assignor shall execute a Transfer Notice as attached hereto as Exhibit B.</w:t>
      </w:r>
    </w:p>
    <w:p>
      <w:pPr>
        <w:ind w:left="20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38" w:lineRule="auto"/>
        <w:tabs>
          <w:tab w:leader="none" w:pos="147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requested by the Company, any such form of assignment shall be accompanied by either (i) an opinion of legal counsel, which counsel shall be reasonably satisfactory to the Company, addressed to the Company and reasonably satisfactory in form and substance to the Company's counsel, to the effect that the proposed transfer of this Warrant may be effected without registration under the Act or under any applicable state or other securities laws or (ii) a "no-action" letter from the staff of the Securities and Exchange Commission to the effect that the distribution of such securities without registration will not result in a recommendation by the Staff of the Securities and Exchange Commission that action be taken with respect thereto, whereupon the Warrantholder shall be entitled to transfer such Warrant in accordance with the terms of the notice delivered to the Company.</w:t>
      </w:r>
    </w:p>
    <w:p>
      <w:pPr>
        <w:spacing w:after="0" w:line="201" w:lineRule="exact"/>
        <w:rPr>
          <w:sz w:val="20"/>
          <w:szCs w:val="20"/>
          <w:color w:val="auto"/>
        </w:rPr>
      </w:pPr>
    </w:p>
    <w:p>
      <w:pPr>
        <w:ind w:left="540"/>
        <w:spacing w:after="0"/>
        <w:tabs>
          <w:tab w:leader="none" w:pos="1040" w:val="left"/>
          <w:tab w:leader="none" w:pos="4840" w:val="left"/>
        </w:tabs>
        <w:rPr>
          <w:sz w:val="20"/>
          <w:szCs w:val="20"/>
          <w:color w:val="auto"/>
        </w:rPr>
      </w:pPr>
      <w:r>
        <w:rPr>
          <w:rFonts w:ascii="Courier New" w:cs="Courier New" w:eastAsia="Courier New" w:hAnsi="Courier New"/>
          <w:sz w:val="18"/>
          <w:szCs w:val="18"/>
          <w:color w:val="auto"/>
        </w:rPr>
        <w:t>5.3</w:t>
        <w:tab/>
        <w:t>Warrantholder Registry; Ownership.</w:t>
      </w:r>
      <w:r>
        <w:rPr>
          <w:sz w:val="20"/>
          <w:szCs w:val="20"/>
          <w:color w:val="auto"/>
        </w:rPr>
        <w:tab/>
      </w:r>
      <w:r>
        <w:rPr>
          <w:rFonts w:ascii="Courier New" w:cs="Courier New" w:eastAsia="Courier New" w:hAnsi="Courier New"/>
          <w:sz w:val="16"/>
          <w:szCs w:val="16"/>
          <w:color w:val="auto"/>
        </w:rPr>
        <w:t>The Company shall maintain a</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registry showing the name and address of the registered holder of this Warrant. The Company and any agent of the Company may treat the person or entity in whose name this Warrant is registered on the register kept at the principal office of the Company as the owner and holder thereof for all purposes, notwithstanding any notice to the contrary, except that, if and when this Warrant is properly assigned in blank, the Company may (but shall not be obligated to) treat the bearer thereof as the owner of this Warrant for all purposes, notwithstanding any notice to the contrary. This Warrant, if properly assigned, may be exercised by a new holder without first having a new Warrant issued.</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5" w:name="page76"/>
    <w:bookmarkEnd w:id="75"/>
    <w:p>
      <w:pPr>
        <w:ind w:left="540"/>
        <w:spacing w:after="0"/>
        <w:tabs>
          <w:tab w:leader="none" w:pos="1040" w:val="left"/>
          <w:tab w:leader="none" w:pos="4520" w:val="left"/>
        </w:tabs>
        <w:rPr>
          <w:sz w:val="20"/>
          <w:szCs w:val="20"/>
          <w:color w:val="auto"/>
        </w:rPr>
      </w:pPr>
      <w:r>
        <w:rPr>
          <w:rFonts w:ascii="Courier New" w:cs="Courier New" w:eastAsia="Courier New" w:hAnsi="Courier New"/>
          <w:sz w:val="18"/>
          <w:szCs w:val="18"/>
          <w:color w:val="auto"/>
        </w:rPr>
        <w:t>5.4</w:t>
        <w:tab/>
        <w:t>No Fractional Shares or Script.</w:t>
      </w:r>
      <w:r>
        <w:rPr>
          <w:sz w:val="20"/>
          <w:szCs w:val="20"/>
          <w:color w:val="auto"/>
        </w:rPr>
        <w:tab/>
      </w:r>
      <w:r>
        <w:rPr>
          <w:rFonts w:ascii="Courier New" w:cs="Courier New" w:eastAsia="Courier New" w:hAnsi="Courier New"/>
          <w:sz w:val="16"/>
          <w:szCs w:val="16"/>
          <w:color w:val="auto"/>
        </w:rPr>
        <w:t>No fractional Warrant Shares or scrip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representing fractional Warrant Shares shall be issued upon the exercise of the Warrant, but in lieu of such fractional Warrant Shares the Company shall make a cash payment therefor upon the basis of the Exercise Price then in effect.</w:t>
      </w:r>
    </w:p>
    <w:p>
      <w:pPr>
        <w:spacing w:after="0" w:line="173" w:lineRule="exact"/>
        <w:rPr>
          <w:sz w:val="20"/>
          <w:szCs w:val="20"/>
          <w:color w:val="auto"/>
        </w:rPr>
      </w:pPr>
    </w:p>
    <w:p>
      <w:pPr>
        <w:ind w:left="540"/>
        <w:spacing w:after="0"/>
        <w:tabs>
          <w:tab w:leader="none" w:pos="1040" w:val="left"/>
          <w:tab w:leader="none" w:pos="2520" w:val="left"/>
        </w:tabs>
        <w:rPr>
          <w:sz w:val="20"/>
          <w:szCs w:val="20"/>
          <w:color w:val="auto"/>
        </w:rPr>
      </w:pPr>
      <w:r>
        <w:rPr>
          <w:rFonts w:ascii="Courier New" w:cs="Courier New" w:eastAsia="Courier New" w:hAnsi="Courier New"/>
          <w:sz w:val="18"/>
          <w:szCs w:val="18"/>
          <w:color w:val="auto"/>
        </w:rPr>
        <w:t>5.5</w:t>
        <w:tab/>
        <w:t>Replacement.</w:t>
      </w:r>
      <w:r>
        <w:rPr>
          <w:sz w:val="20"/>
          <w:szCs w:val="20"/>
          <w:color w:val="auto"/>
        </w:rPr>
        <w:tab/>
      </w:r>
      <w:r>
        <w:rPr>
          <w:rFonts w:ascii="Courier New" w:cs="Courier New" w:eastAsia="Courier New" w:hAnsi="Courier New"/>
          <w:sz w:val="16"/>
          <w:szCs w:val="16"/>
          <w:color w:val="auto"/>
        </w:rPr>
        <w:t>Upon receipt of evidence reasonably satisfactory to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 of the loss, theft, destruction or mutilation of this Warrant and (a) in the case of any such loss, theft or destruction upon delivery of indemnity reasonably satisfactory to the Company in form and amount or (b) in the case of any such mutilation, upon surrender of such Warrant for cancellation at the principal office of the Company, the Company, at its expense, will execute and deliver, in lieu thereof, a new Warrant.</w:t>
      </w:r>
    </w:p>
    <w:p>
      <w:pPr>
        <w:spacing w:after="0" w:line="204" w:lineRule="exact"/>
        <w:rPr>
          <w:sz w:val="20"/>
          <w:szCs w:val="20"/>
          <w:color w:val="auto"/>
        </w:rPr>
      </w:pPr>
    </w:p>
    <w:p>
      <w:pPr>
        <w:ind w:left="540"/>
        <w:spacing w:after="0"/>
        <w:tabs>
          <w:tab w:leader="none" w:pos="1040" w:val="left"/>
          <w:tab w:leader="none" w:pos="2720" w:val="left"/>
        </w:tabs>
        <w:rPr>
          <w:sz w:val="20"/>
          <w:szCs w:val="20"/>
          <w:color w:val="auto"/>
        </w:rPr>
      </w:pPr>
      <w:r>
        <w:rPr>
          <w:rFonts w:ascii="Courier New" w:cs="Courier New" w:eastAsia="Courier New" w:hAnsi="Courier New"/>
          <w:sz w:val="18"/>
          <w:szCs w:val="18"/>
          <w:color w:val="auto"/>
        </w:rPr>
        <w:t>5.6</w:t>
        <w:tab/>
        <w:t>Governing Law.</w:t>
      </w:r>
      <w:r>
        <w:rPr>
          <w:sz w:val="20"/>
          <w:szCs w:val="20"/>
          <w:color w:val="auto"/>
        </w:rPr>
        <w:tab/>
      </w:r>
      <w:r>
        <w:rPr>
          <w:rFonts w:ascii="Courier New" w:cs="Courier New" w:eastAsia="Courier New" w:hAnsi="Courier New"/>
          <w:sz w:val="16"/>
          <w:szCs w:val="16"/>
          <w:color w:val="auto"/>
        </w:rPr>
        <w:t>This agreement and the Warrant, and all questions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relating to the interpretation, construction and enforceability of this agreement, shall be governed in all respects by the substantive laws of the State of Delaware, without regard to the conflicts of law rules of the State of Delaware.</w:t>
      </w:r>
    </w:p>
    <w:p>
      <w:pPr>
        <w:spacing w:after="0" w:line="202" w:lineRule="exact"/>
        <w:rPr>
          <w:sz w:val="20"/>
          <w:szCs w:val="20"/>
          <w:color w:val="auto"/>
        </w:rPr>
      </w:pPr>
    </w:p>
    <w:p>
      <w:pPr>
        <w:ind w:left="540"/>
        <w:spacing w:after="0"/>
        <w:tabs>
          <w:tab w:leader="none" w:pos="1040" w:val="left"/>
          <w:tab w:leader="none" w:pos="3680" w:val="left"/>
        </w:tabs>
        <w:rPr>
          <w:sz w:val="20"/>
          <w:szCs w:val="20"/>
          <w:color w:val="auto"/>
        </w:rPr>
      </w:pPr>
      <w:r>
        <w:rPr>
          <w:rFonts w:ascii="Courier New" w:cs="Courier New" w:eastAsia="Courier New" w:hAnsi="Courier New"/>
          <w:sz w:val="18"/>
          <w:szCs w:val="18"/>
          <w:color w:val="auto"/>
        </w:rPr>
        <w:t>5.7</w:t>
        <w:tab/>
        <w:t>Amendments and Waivers.</w:t>
      </w:r>
      <w:r>
        <w:rPr>
          <w:sz w:val="20"/>
          <w:szCs w:val="20"/>
          <w:color w:val="auto"/>
        </w:rPr>
        <w:tab/>
      </w:r>
      <w:r>
        <w:rPr>
          <w:rFonts w:ascii="Courier New" w:cs="Courier New" w:eastAsia="Courier New" w:hAnsi="Courier New"/>
          <w:sz w:val="16"/>
          <w:szCs w:val="16"/>
          <w:color w:val="auto"/>
        </w:rPr>
        <w:t>Except as otherwise provided herein,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provisions of this Warrant may not be amended, modified or supplemented, other than by a written instrument executed by the Company and the Warrantholder.</w:t>
      </w:r>
    </w:p>
    <w:p>
      <w:pPr>
        <w:spacing w:after="0" w:line="164" w:lineRule="exact"/>
        <w:rPr>
          <w:sz w:val="20"/>
          <w:szCs w:val="20"/>
          <w:color w:val="auto"/>
        </w:rPr>
      </w:pPr>
    </w:p>
    <w:p>
      <w:pPr>
        <w:ind w:left="540"/>
        <w:spacing w:after="0"/>
        <w:tabs>
          <w:tab w:leader="none" w:pos="1040" w:val="left"/>
          <w:tab w:leader="none" w:pos="3780" w:val="left"/>
        </w:tabs>
        <w:rPr>
          <w:sz w:val="20"/>
          <w:szCs w:val="20"/>
          <w:color w:val="auto"/>
        </w:rPr>
      </w:pPr>
      <w:r>
        <w:rPr>
          <w:rFonts w:ascii="Courier New" w:cs="Courier New" w:eastAsia="Courier New" w:hAnsi="Courier New"/>
          <w:sz w:val="18"/>
          <w:szCs w:val="18"/>
          <w:color w:val="auto"/>
        </w:rPr>
        <w:t>5.8</w:t>
        <w:tab/>
        <w:t>No Impairment of Rights.</w:t>
      </w:r>
      <w:r>
        <w:rPr>
          <w:sz w:val="20"/>
          <w:szCs w:val="20"/>
          <w:color w:val="auto"/>
        </w:rPr>
        <w:tab/>
      </w:r>
      <w:r>
        <w:rPr>
          <w:rFonts w:ascii="Courier New" w:cs="Courier New" w:eastAsia="Courier New" w:hAnsi="Courier New"/>
          <w:sz w:val="16"/>
          <w:szCs w:val="16"/>
          <w:color w:val="auto"/>
        </w:rPr>
        <w:t>The Company will not, by amendment of 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Certificate of Incorporation or through any other means, avoid or seek to avoid the observance or performance of any of the terms of this Warrant, but will at all times in good faith assist in the carrying out of all such terms and in the taking of all such actions as may be necessary or appropriate in order to protect the rights of the Warrantholder against impairment.</w:t>
      </w:r>
    </w:p>
    <w:p>
      <w:pPr>
        <w:spacing w:after="0" w:line="203" w:lineRule="exact"/>
        <w:rPr>
          <w:sz w:val="20"/>
          <w:szCs w:val="20"/>
          <w:color w:val="auto"/>
        </w:rPr>
      </w:pPr>
    </w:p>
    <w:p>
      <w:pPr>
        <w:ind w:left="540"/>
        <w:spacing w:after="0"/>
        <w:tabs>
          <w:tab w:leader="none" w:pos="1040" w:val="left"/>
          <w:tab w:leader="none" w:pos="2200" w:val="left"/>
        </w:tabs>
        <w:rPr>
          <w:sz w:val="20"/>
          <w:szCs w:val="20"/>
          <w:color w:val="auto"/>
        </w:rPr>
      </w:pPr>
      <w:r>
        <w:rPr>
          <w:rFonts w:ascii="Courier New" w:cs="Courier New" w:eastAsia="Courier New" w:hAnsi="Courier New"/>
          <w:sz w:val="18"/>
          <w:szCs w:val="18"/>
          <w:color w:val="auto"/>
        </w:rPr>
        <w:t>5.9</w:t>
        <w:tab/>
        <w:t>Survival.</w:t>
      </w:r>
      <w:r>
        <w:rPr>
          <w:sz w:val="20"/>
          <w:szCs w:val="20"/>
          <w:color w:val="auto"/>
        </w:rPr>
        <w:tab/>
      </w:r>
      <w:r>
        <w:rPr>
          <w:rFonts w:ascii="Courier New" w:cs="Courier New" w:eastAsia="Courier New" w:hAnsi="Courier New"/>
          <w:sz w:val="16"/>
          <w:szCs w:val="16"/>
          <w:color w:val="auto"/>
        </w:rPr>
        <w:t>The representations, warranties, covenants and conditions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of the respective parties contained herein or made pursuant to this Warrant shall survive the execution and delivery of this Warrant.</w:t>
      </w:r>
    </w:p>
    <w:p>
      <w:pPr>
        <w:spacing w:after="0" w:line="203" w:lineRule="exact"/>
        <w:rPr>
          <w:sz w:val="20"/>
          <w:szCs w:val="20"/>
          <w:color w:val="auto"/>
        </w:rPr>
      </w:pPr>
    </w:p>
    <w:p>
      <w:pPr>
        <w:ind w:left="540"/>
        <w:spacing w:after="0"/>
        <w:tabs>
          <w:tab w:leader="none" w:pos="1140" w:val="left"/>
          <w:tab w:leader="none" w:pos="2720" w:val="left"/>
        </w:tabs>
        <w:rPr>
          <w:sz w:val="20"/>
          <w:szCs w:val="20"/>
          <w:color w:val="auto"/>
        </w:rPr>
      </w:pPr>
      <w:r>
        <w:rPr>
          <w:rFonts w:ascii="Courier New" w:cs="Courier New" w:eastAsia="Courier New" w:hAnsi="Courier New"/>
          <w:sz w:val="18"/>
          <w:szCs w:val="18"/>
          <w:color w:val="auto"/>
        </w:rPr>
        <w:t>5.10</w:t>
        <w:tab/>
        <w:t>Severability.</w:t>
      </w:r>
      <w:r>
        <w:rPr>
          <w:sz w:val="20"/>
          <w:szCs w:val="20"/>
          <w:color w:val="auto"/>
        </w:rPr>
        <w:tab/>
      </w:r>
      <w:r>
        <w:rPr>
          <w:rFonts w:ascii="Courier New" w:cs="Courier New" w:eastAsia="Courier New" w:hAnsi="Courier New"/>
          <w:sz w:val="16"/>
          <w:szCs w:val="16"/>
          <w:color w:val="auto"/>
        </w:rPr>
        <w:t>In the event that any one or more of the provisions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contained herein, or the application thereof in any circumstances, is held invalid, illegal or unenforceable in any respect for any reason, the validity, legality and enforceability of any such provision in every other respect and of the remaining provisions contained herein shall not be in any way impaired thereby, it being intended that all of the rights and privileges of the Warrantholder shall be enforceable to the fullest extent permitted by law.</w:t>
      </w:r>
    </w:p>
    <w:p>
      <w:pPr>
        <w:spacing w:after="0" w:line="180" w:lineRule="exact"/>
        <w:rPr>
          <w:sz w:val="20"/>
          <w:szCs w:val="20"/>
          <w:color w:val="auto"/>
        </w:rPr>
      </w:pPr>
    </w:p>
    <w:p>
      <w:pPr>
        <w:ind w:left="540"/>
        <w:spacing w:after="0"/>
        <w:tabs>
          <w:tab w:leader="none" w:pos="1140" w:val="left"/>
          <w:tab w:leader="none" w:pos="4100" w:val="left"/>
        </w:tabs>
        <w:rPr>
          <w:sz w:val="20"/>
          <w:szCs w:val="20"/>
          <w:color w:val="auto"/>
        </w:rPr>
      </w:pPr>
      <w:r>
        <w:rPr>
          <w:rFonts w:ascii="Courier New" w:cs="Courier New" w:eastAsia="Courier New" w:hAnsi="Courier New"/>
          <w:sz w:val="18"/>
          <w:szCs w:val="18"/>
          <w:color w:val="auto"/>
        </w:rPr>
        <w:t>5.11</w:t>
        <w:tab/>
        <w:t>Notice of Capital Changes.</w:t>
      </w:r>
      <w:r>
        <w:rPr>
          <w:sz w:val="20"/>
          <w:szCs w:val="20"/>
          <w:color w:val="auto"/>
        </w:rPr>
        <w:tab/>
      </w:r>
      <w:r>
        <w:rPr>
          <w:rFonts w:ascii="Courier New" w:cs="Courier New" w:eastAsia="Courier New" w:hAnsi="Courier New"/>
          <w:sz w:val="16"/>
          <w:szCs w:val="16"/>
          <w:color w:val="auto"/>
        </w:rPr>
        <w:t>In case: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36" w:lineRule="auto"/>
        <w:tabs>
          <w:tab w:leader="none" w:pos="179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declare any dividend or distribution (whether payable in cash, securities, assets or otherwise) payable to the holder of its Common Stock;</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any Reorganization of the Company; or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76" w:name="page77"/>
    <w:bookmarkEnd w:id="76"/>
    <w:p>
      <w:pPr>
        <w:ind w:right="2739" w:firstLine="1061"/>
        <w:spacing w:after="0" w:line="235" w:lineRule="auto"/>
        <w:tabs>
          <w:tab w:leader="none" w:pos="179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a voluntary or involuntary dissolution, liquidation or winding up of the Company;</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then, in any one or more of said cases, the Company shall give the holder of this Warrant written notice, in the manner set forth in Section 5.1, of the date</w:t>
      </w:r>
    </w:p>
    <w:p>
      <w:pPr>
        <w:ind w:left="59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on which a record shall be taken for such dividend or distribution or for determining stockholders entitled to vote upon such Reorganization, dissolution, liquidation or winding up and of the date when any such transaction shall take place, as the case may be. Such written notice shall be given at least thirty</w:t>
      </w:r>
    </w:p>
    <w:p>
      <w:pPr>
        <w:spacing w:after="0" w:line="1" w:lineRule="exact"/>
        <w:rPr>
          <w:sz w:val="20"/>
          <w:szCs w:val="20"/>
          <w:color w:val="auto"/>
        </w:rPr>
      </w:pPr>
    </w:p>
    <w:p>
      <w:pPr>
        <w:ind w:right="1879" w:firstLine="8"/>
        <w:spacing w:after="0" w:line="235" w:lineRule="auto"/>
        <w:tabs>
          <w:tab w:leader="none" w:pos="527"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closing of the transaction in question and not less than twenty (20) days prior to the record day in respect thereof.</w:t>
      </w:r>
    </w:p>
    <w:p>
      <w:pPr>
        <w:spacing w:after="0" w:line="203" w:lineRule="exact"/>
        <w:rPr>
          <w:sz w:val="20"/>
          <w:szCs w:val="20"/>
          <w:color w:val="auto"/>
        </w:rPr>
      </w:pPr>
    </w:p>
    <w:p>
      <w:pPr>
        <w:ind w:left="540"/>
        <w:spacing w:after="0"/>
        <w:tabs>
          <w:tab w:leader="none" w:pos="1140" w:val="left"/>
          <w:tab w:leader="none" w:pos="3780" w:val="left"/>
        </w:tabs>
        <w:rPr>
          <w:sz w:val="20"/>
          <w:szCs w:val="20"/>
          <w:color w:val="auto"/>
        </w:rPr>
      </w:pPr>
      <w:r>
        <w:rPr>
          <w:rFonts w:ascii="Courier New" w:cs="Courier New" w:eastAsia="Courier New" w:hAnsi="Courier New"/>
          <w:sz w:val="18"/>
          <w:szCs w:val="18"/>
          <w:color w:val="auto"/>
        </w:rPr>
        <w:t>5.12</w:t>
        <w:tab/>
        <w:t>Additional Information.</w:t>
      </w:r>
      <w:r>
        <w:rPr>
          <w:sz w:val="20"/>
          <w:szCs w:val="20"/>
          <w:color w:val="auto"/>
        </w:rPr>
        <w:tab/>
      </w:r>
      <w:r>
        <w:rPr>
          <w:rFonts w:ascii="Courier New" w:cs="Courier New" w:eastAsia="Courier New" w:hAnsi="Courier New"/>
          <w:sz w:val="16"/>
          <w:szCs w:val="16"/>
          <w:color w:val="auto"/>
        </w:rPr>
        <w:t>During the period from the Closing until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termination of this Warrant, the Warrantholder shall be entitled to receive such financial and other information as the Warrantholder would be entitled to receive under the Acquisition Agreement if the Warrantholder were a holder of that number of shares of Common Stock issuable upon full exercise of this Warrant.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77" w:name="page78"/>
    <w:bookmarkEnd w:id="77"/>
    <w:p>
      <w:pPr>
        <w:ind w:right="2519" w:firstLine="527"/>
        <w:spacing w:after="0" w:line="290" w:lineRule="auto"/>
        <w:rPr>
          <w:sz w:val="20"/>
          <w:szCs w:val="20"/>
          <w:color w:val="auto"/>
        </w:rPr>
      </w:pPr>
      <w:r>
        <w:rPr>
          <w:rFonts w:ascii="Courier New" w:cs="Courier New" w:eastAsia="Courier New" w:hAnsi="Courier New"/>
          <w:sz w:val="16"/>
          <w:szCs w:val="16"/>
          <w:color w:val="auto"/>
        </w:rPr>
        <w:t>IN WITNESS WHEREOF, PixTech, Inc. has caused this Warrant to be duly executed and delivered, all as of the date and year first above written.</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PIXTECH, INC.</w:t>
      </w:r>
    </w:p>
    <w:p>
      <w:pPr>
        <w:spacing w:after="0" w:line="200" w:lineRule="exact"/>
        <w:rPr>
          <w:sz w:val="20"/>
          <w:szCs w:val="20"/>
          <w:color w:val="auto"/>
        </w:rPr>
      </w:pPr>
    </w:p>
    <w:p>
      <w:pPr>
        <w:spacing w:after="0" w:line="204" w:lineRule="exact"/>
        <w:rPr>
          <w:sz w:val="20"/>
          <w:szCs w:val="20"/>
          <w:color w:val="auto"/>
        </w:rPr>
      </w:pPr>
    </w:p>
    <w:p>
      <w:pPr>
        <w:jc w:val="center"/>
        <w:ind w:right="2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Dieter Mezger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78" w:name="page79"/>
    <w:bookmarkEnd w:id="78"/>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NOTICE OF EXERCISE</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PixTech, Inc.</w:t>
      </w:r>
    </w:p>
    <w:p>
      <w:pPr>
        <w:spacing w:after="0" w:line="200" w:lineRule="exact"/>
        <w:rPr>
          <w:sz w:val="20"/>
          <w:szCs w:val="20"/>
          <w:color w:val="auto"/>
        </w:rPr>
      </w:pPr>
    </w:p>
    <w:p>
      <w:pPr>
        <w:spacing w:after="0" w:line="209" w:lineRule="exact"/>
        <w:rPr>
          <w:sz w:val="20"/>
          <w:szCs w:val="20"/>
          <w:color w:val="auto"/>
        </w:rPr>
      </w:pPr>
    </w:p>
    <w:p>
      <w:pPr>
        <w:ind w:left="860" w:right="1779" w:hanging="747"/>
        <w:spacing w:after="0" w:line="237" w:lineRule="auto"/>
        <w:tabs>
          <w:tab w:leader="none" w:pos="8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Warrantholder hereby elects to purchase _______ shares of the Common Stock of PixTech, Inc., pursuant to the terms of the Warrant dated the 19th day of May, 1999 (the "Warrant") between PixTech, Inc. and the Warrantholder, and tenders herewith payment of the purchase price for such shares in full, together with all applicable transfer taxes, if any.</w:t>
      </w:r>
    </w:p>
    <w:p>
      <w:pPr>
        <w:spacing w:after="0" w:line="209" w:lineRule="exact"/>
        <w:rPr>
          <w:rFonts w:ascii="Courier New" w:cs="Courier New" w:eastAsia="Courier New" w:hAnsi="Courier New"/>
          <w:sz w:val="18"/>
          <w:szCs w:val="18"/>
          <w:color w:val="auto"/>
        </w:rPr>
      </w:pPr>
    </w:p>
    <w:p>
      <w:pPr>
        <w:ind w:left="860" w:right="1879" w:hanging="747"/>
        <w:spacing w:after="0" w:line="236" w:lineRule="auto"/>
        <w:tabs>
          <w:tab w:leader="none" w:pos="8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exercising its rights to purchase the Common Stock of PixTech, Inc., the undersigned hereby confirms and acknowledges the investment representations and warranties made in Article 5 of the Warrant.</w:t>
      </w:r>
    </w:p>
    <w:p>
      <w:pPr>
        <w:spacing w:after="0" w:line="208" w:lineRule="exact"/>
        <w:rPr>
          <w:rFonts w:ascii="Courier New" w:cs="Courier New" w:eastAsia="Courier New" w:hAnsi="Courier New"/>
          <w:sz w:val="18"/>
          <w:szCs w:val="18"/>
          <w:color w:val="auto"/>
        </w:rPr>
      </w:pPr>
    </w:p>
    <w:p>
      <w:pPr>
        <w:ind w:left="860" w:right="1879" w:hanging="747"/>
        <w:spacing w:after="0" w:line="236" w:lineRule="auto"/>
        <w:tabs>
          <w:tab w:leader="none" w:pos="8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issue a certificate or certificates representing said shares of Common Stock in the name of the undersigned or in such other name as is specified below.</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Warrantholder: 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79" w:name="page80"/>
    <w:bookmarkEnd w:id="79"/>
    <w:p>
      <w:pPr>
        <w:jc w:val="center"/>
        <w:ind w:right="18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TRANSFER NOTICE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(To transfer or assign the foregoing Warrant execute this form and supply required Information. Do not use this form to purchase shares.)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FOR VALUE RECEIVED, the foregoing Warrant and all rights evidenced thereby are hereby transferred and assigned to</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whose address is_______________________________________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Dated:</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Warrantholder's Signature: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Warrantholder's Address: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signature to this Transfer Notice must correspond with the name as it appears on the face of the Warrant, without alteration or</w:t>
      </w:r>
    </w:p>
    <w:p>
      <w:pPr>
        <w:spacing w:after="0" w:line="6" w:lineRule="exact"/>
        <w:rPr>
          <w:sz w:val="20"/>
          <w:szCs w:val="20"/>
          <w:color w:val="auto"/>
        </w:rPr>
      </w:pPr>
    </w:p>
    <w:p>
      <w:pPr>
        <w:sectPr>
          <w:pgSz w:w="11900" w:h="16838" w:orient="portrait"/>
          <w:cols w:equalWidth="0" w:num="2">
            <w:col w:w="540" w:space="520"/>
            <w:col w:w="9159"/>
          </w:cols>
          <w:pgMar w:left="240" w:top="717" w:right="1440" w:bottom="1440" w:gutter="0" w:footer="0" w:header="0"/>
          <w:type w:val="continuous"/>
        </w:sectPr>
      </w:pPr>
    </w:p>
    <w:p>
      <w:pPr>
        <w:ind w:left="1060" w:right="1779"/>
        <w:spacing w:after="0" w:line="236" w:lineRule="auto"/>
        <w:rPr>
          <w:sz w:val="20"/>
          <w:szCs w:val="20"/>
          <w:color w:val="auto"/>
        </w:rPr>
      </w:pPr>
      <w:r>
        <w:rPr>
          <w:rFonts w:ascii="Courier New" w:cs="Courier New" w:eastAsia="Courier New" w:hAnsi="Courier New"/>
          <w:sz w:val="18"/>
          <w:szCs w:val="18"/>
          <w:color w:val="auto"/>
        </w:rPr>
        <w:t>enlargement or any change whatever. Officers of corporations and those acting in a fiduciary or other representative capacity should file proper evidence of authority to assign the foregoing Warrant.</w:t>
      </w:r>
    </w:p>
    <w:p>
      <w:pPr>
        <w:sectPr>
          <w:pgSz w:w="11900" w:h="16838" w:orient="portrait"/>
          <w:cols w:equalWidth="0" w:num="1">
            <w:col w:w="10219"/>
          </w:cols>
          <w:pgMar w:left="240" w:top="717" w:right="1440" w:bottom="1440" w:gutter="0" w:footer="0" w:header="0"/>
          <w:type w:val="continuous"/>
        </w:sectPr>
      </w:pPr>
    </w:p>
    <w:bookmarkStart w:id="80" w:name="page81"/>
    <w:bookmarkEnd w:id="80"/>
    <w:p>
      <w:pPr>
        <w:jc w:val="right"/>
        <w:ind w:right="1779"/>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PRESS RELEASE ISSUED MARCH 19,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PixTech to Acquire Display Division of Micron Technology, Inc.</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Micron Technology to Become 32% Shareholder of PixTech</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SANTA CLARA, Calif., and BOISE, Idaho, March 19 /PRNewswire/ - PixTech, Inc. (Nasdaq: PIXT) and Micron Technology, Inc. (NYSE: MU) today announced the signing of a definitive agreement for PixTech to acquire substantially all of Micron's Display Division located in Boise, Idaho.</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Under the terms of the agreement, in exchange for the transfer of certain assets (including manufacturing equipment and $4.35 million in cash) and liabilities to PixTech, Micron will receive approximately 7.134 million shares of PixTech's common stock and warrants to purchase an additional 310,000 shares of PixTech's common stock at an exercise price of approximately $2.25. As a result of this transaction, Micron will hold approximately 32% of PixTech's outstanding shares of Common Stock. The transaction is expected to reduce Micron's second quarter earnings per share by approximately $0.03.</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agreement is contingent upon approval of the Federal Trade Commission and approval of PixTech's stockholders to increase the number of shares of Common Stock authorized for issuance by the Pixtech Board of Directors and to issue shares of PixTech's stock to Micron in this transaction, as well as customary closing conditions. The transaction is expected to close shortly after PixTech's annual shareholders' meeting, which is scheduled for April 27, 1999.</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"Field Emission Displays (FEDs) continue to have the potential to be superior to other flat panel displays in the industry," said Dieter Mezger, CEO and President of PixTech. "However, to succeed, we have to aggressively pursue additional talent and resources. Combining the resources of Micron's Display Division with PixTech's leadership technology is a real win-win situation. This combination also creates a U.S. based research and development organization devoted solely to FED. Our 15" team in Santa Clara is expected to move to the new Boise, Idaho location. Our Santa Clara location will remain for executive management as well as sales and marketing. We look forward to working with the Micron Display team."</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is a good way to leverage both companies' strengths," said Steve Appleton, Chairman, CEO, and President of Micron Technology, Inc. "We believe that the combination of PixTech and our display division provides the best potential for Micron's return on its R&amp;D investment. We look forward to working with the PixTech team as they continue advancing FED technology and products in the Idaho facility currently used by Micron Display."</w:t>
      </w:r>
    </w:p>
    <w:p>
      <w:pPr>
        <w:sectPr>
          <w:pgSz w:w="11900" w:h="16838" w:orient="portrait"/>
          <w:cols w:equalWidth="0" w:num="1">
            <w:col w:w="10219"/>
          </w:cols>
          <w:pgMar w:left="240" w:top="541" w:right="1440" w:bottom="1440" w:gutter="0" w:footer="0" w:header="0"/>
        </w:sectPr>
      </w:pPr>
    </w:p>
    <w:bookmarkStart w:id="81" w:name="page82"/>
    <w:bookmarkEnd w:id="81"/>
    <w:p>
      <w:pPr>
        <w:ind w:right="1879" w:firstLine="527"/>
        <w:spacing w:after="0" w:line="237" w:lineRule="auto"/>
        <w:rPr>
          <w:sz w:val="20"/>
          <w:szCs w:val="20"/>
          <w:color w:val="auto"/>
        </w:rPr>
      </w:pPr>
      <w:r>
        <w:rPr>
          <w:rFonts w:ascii="Courier New" w:cs="Courier New" w:eastAsia="Courier New" w:hAnsi="Courier New"/>
          <w:sz w:val="18"/>
          <w:szCs w:val="18"/>
          <w:color w:val="auto"/>
        </w:rPr>
        <w:t>Francis Courreges, PixTech Executive Vice President, said, "Being first to market in FED hasn't happened without making some tough technology option choices. Low voltage (less than 1,500 volts) is the shortest path to cost competitive medium size (3" to 8") products on the market. For desktop and large size displays, it is a different equation that leads to FEDs with anode voltages in the range from 3 to 6 kV. Micron's Display Division has developed unique technologies in the areas of spacers, anode face plate and glass sealing techniques that should allow us to make big strides toward the introduction of desktop FEDs."</w:t>
      </w:r>
    </w:p>
    <w:p>
      <w:pPr>
        <w:spacing w:after="0" w:line="214"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"In addition, the transaction will significantly strengthen PixTech's patent position. Upon the closing, we will have a license to Micron's FED patents. PixTech will then be in a unique position to use some or all FED technology developed by not less than 10 FED organizations," said Courreges.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Dave Cathey, who is currently Vice President and General Manager of Micron's Display Division and will be appointed as an observer to the PixTech Board of Directors, said, "The synergies created by integrating the talents, technologies, and resources of Pixtech and Micron's Display Division are impressive. Pixtech and Micron were the first two companies in the world to demonstrate color video FED displays. Combining our talents will enhance the commercialization of FED products. I am excited about the future of great Boise team within Pixtech."</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About PixTech, Inc.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PixTech designs, develops and manufactures field emission displays (FEDs), a new type of flat-panel display. The Company operates a flat-panel display pilot manufacturing facility in Montpellier, France, and an R&amp;D facility and sales office in Santa Clara, California. PixTech is currently developing hi-volume manufacturing capabilities for its FEDs in Taiwan under a contract manufacturing arrangement with Unipac, a Taiwanese AM-LCD manufacturer. PixTech has also established a marketing partnership with Sumitomo Corporation, its exclusive distributor in Japan. More information is available from the Company's web site at www.pixtech.com.</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About Micron Technology, Inc.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Micron Technology, Inc., and its subsidiaries manufacture and market DRAMs, very fast SRAMs, Flash, other semiconductor components, memory modules, graphics accelerators, personal computer systems, and radio frequency identification (RFID) products. Micron's common stock is traded on the New York Stock Exchange</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(NYSE) under the symbol MU. To learn more about Micron Technology, Inc., visit its Web site at www.micron.com.</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Statements that are not historical facts, including statements about PixTech's confidence and strategies, the timing of its manufacturing plans with Unipac, and its distribution agreement with Sumitomo, the development of new or existing products, technologies and opportunities, marked demand or acceptance of new or existing products are forward-looking statements that involve risks and uncertainties. These uncertainties include but are not limited to, the risk associated with transitioning to high volume manufacturing of FED displays at Unipac, product demand and market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2" w:name="page83"/>
    <w:bookmarkEnd w:id="82"/>
    <w:p>
      <w:pPr>
        <w:ind w:right="1879"/>
        <w:spacing w:after="0" w:line="271" w:lineRule="auto"/>
        <w:rPr>
          <w:sz w:val="20"/>
          <w:szCs w:val="20"/>
          <w:color w:val="auto"/>
        </w:rPr>
      </w:pPr>
      <w:r>
        <w:rPr>
          <w:rFonts w:ascii="Courier New" w:cs="Courier New" w:eastAsia="Courier New" w:hAnsi="Courier New"/>
          <w:sz w:val="16"/>
          <w:szCs w:val="16"/>
          <w:color w:val="auto"/>
        </w:rPr>
        <w:t>acceptance risks, commitment of Unipac and/or of PixTech licensees, ability of the Company to grant other licenses under FED technology, validity and enforceability of PixTech's patent rights, infringement by PixTech of other patent rights, impact of competitive product and prices, product development, commercialization or technological delays or difficulties, trade, legal, social and economic risks detailed in PixTech's Securities and Exchange Commission filing including its form 10-K for the year 1997 and any subsequent filings.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7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1)"/>
      <w:numFmt w:val="decimal"/>
      <w:start w:val="5"/>
    </w:lvl>
  </w:abstractNum>
  <w:abstractNum w:abstractNumId="2">
    <w:nsid w:val="235BA861"/>
    <w:multiLevelType w:val="hybridMultilevel"/>
    <w:lvl w:ilvl="0">
      <w:lvlJc w:val="left"/>
      <w:lvlText w:val="(%1)"/>
      <w:numFmt w:val="decimal"/>
      <w:start w:val="12"/>
    </w:lvl>
  </w:abstractNum>
  <w:abstractNum w:abstractNumId="3">
    <w:nsid w:val="47398C89"/>
    <w:multiLevelType w:val="hybridMultilevel"/>
    <w:lvl w:ilvl="0">
      <w:lvlJc w:val="left"/>
      <w:lvlText w:val="(%1)"/>
      <w:numFmt w:val="lowerLetter"/>
      <w:start w:val="1"/>
    </w:lvl>
  </w:abstractNum>
  <w:abstractNum w:abstractNumId="4">
    <w:nsid w:val="354FE9F9"/>
    <w:multiLevelType w:val="hybridMultilevel"/>
    <w:lvl w:ilvl="0">
      <w:lvlJc w:val="left"/>
      <w:lvlText w:val="(%1)"/>
      <w:numFmt w:val="lowerLetter"/>
      <w:start w:val="1"/>
    </w:lvl>
  </w:abstractNum>
  <w:abstractNum w:abstractNumId="5">
    <w:nsid w:val="15B5AF5C"/>
    <w:multiLevelType w:val="hybridMultilevel"/>
    <w:lvl w:ilvl="0">
      <w:lvlJc w:val="left"/>
      <w:lvlText w:val="(%1)"/>
      <w:numFmt w:val="lowerLetter"/>
      <w:start w:val="1"/>
    </w:lvl>
  </w:abstractNum>
  <w:abstractNum w:abstractNumId="6">
    <w:nsid w:val="741226BB"/>
    <w:multiLevelType w:val="hybridMultilevel"/>
    <w:lvl w:ilvl="0">
      <w:lvlJc w:val="left"/>
      <w:lvlText w:val="(%1)"/>
      <w:numFmt w:val="lowerLetter"/>
      <w:start w:val="2"/>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1)"/>
      <w:numFmt w:val="lowerLetter"/>
      <w:start w:val="1"/>
    </w:lvl>
  </w:abstractNum>
  <w:abstractNum w:abstractNumId="9">
    <w:nsid w:val="3F6AB60F"/>
    <w:multiLevelType w:val="hybridMultilevel"/>
    <w:lvl w:ilvl="0">
      <w:lvlJc w:val="left"/>
      <w:lvlText w:val="(%1)"/>
      <w:numFmt w:val="lowerLetter"/>
      <w:start w:val="25"/>
    </w:lvl>
  </w:abstractNum>
  <w:abstractNum w:abstractNumId="10">
    <w:nsid w:val="61574095"/>
    <w:multiLevelType w:val="hybridMultilevel"/>
    <w:lvl w:ilvl="0">
      <w:lvlJc w:val="left"/>
      <w:lvlText w:val="(%1)"/>
      <w:numFmt w:val="lowerLetter"/>
      <w:start w:val="1"/>
    </w:lvl>
  </w:abstractNum>
  <w:abstractNum w:abstractNumId="11">
    <w:nsid w:val="7E0C57B1"/>
    <w:multiLevelType w:val="hybridMultilevel"/>
    <w:lvl w:ilvl="0">
      <w:lvlJc w:val="left"/>
      <w:lvlText w:val="(%1)"/>
      <w:numFmt w:val="lowerLetter"/>
      <w:start w:val="2"/>
    </w:lvl>
  </w:abstractNum>
  <w:abstractNum w:abstractNumId="12">
    <w:nsid w:val="77AE35EB"/>
    <w:multiLevelType w:val="hybridMultilevel"/>
    <w:lvl w:ilvl="0">
      <w:lvlJc w:val="left"/>
      <w:lvlText w:val="(%1)"/>
      <w:numFmt w:val="lowerLetter"/>
      <w:start w:val="2"/>
    </w:lvl>
  </w:abstractNum>
  <w:abstractNum w:abstractNumId="13">
    <w:nsid w:val="579BE4F1"/>
    <w:multiLevelType w:val="hybridMultilevel"/>
    <w:lvl w:ilvl="0">
      <w:lvlJc w:val="left"/>
      <w:lvlText w:val="(%1)"/>
      <w:numFmt w:val="lowerLetter"/>
      <w:start w:val="1"/>
    </w:lvl>
  </w:abstractNum>
  <w:abstractNum w:abstractNumId="14">
    <w:nsid w:val="310C50B3"/>
    <w:multiLevelType w:val="hybridMultilevel"/>
    <w:lvl w:ilvl="0">
      <w:lvlJc w:val="left"/>
      <w:lvlText w:val="(%1)"/>
      <w:numFmt w:val="lowerLetter"/>
      <w:start w:val="1"/>
    </w:lvl>
    <w:lvl w:ilvl="1">
      <w:lvlJc w:val="left"/>
      <w:lvlText w:val="(%2)"/>
      <w:numFmt w:val="lowerRoman"/>
      <w:start w:val="1"/>
    </w:lvl>
  </w:abstractNum>
  <w:abstractNum w:abstractNumId="15">
    <w:nsid w:val="5FF87E05"/>
    <w:multiLevelType w:val="hybridMultilevel"/>
    <w:lvl w:ilvl="0">
      <w:lvlJc w:val="left"/>
      <w:lvlText w:val="(%1)"/>
      <w:numFmt w:val="lowerLetter"/>
      <w:start w:val="1"/>
    </w:lvl>
  </w:abstractNum>
  <w:abstractNum w:abstractNumId="16">
    <w:nsid w:val="2F305DEF"/>
    <w:multiLevelType w:val="hybridMultilevel"/>
    <w:lvl w:ilvl="0">
      <w:lvlJc w:val="left"/>
      <w:lvlText w:val="%1"/>
      <w:numFmt w:val="lowerLetter"/>
      <w:start w:val="1"/>
    </w:lvl>
    <w:lvl w:ilvl="1">
      <w:lvlJc w:val="left"/>
      <w:lvlText w:val="(%2)"/>
      <w:numFmt w:val="lowerLetter"/>
      <w:start w:val="4"/>
    </w:lvl>
  </w:abstractNum>
  <w:abstractNum w:abstractNumId="17">
    <w:nsid w:val="25A70BF7"/>
    <w:multiLevelType w:val="hybridMultilevel"/>
    <w:lvl w:ilvl="0">
      <w:lvlJc w:val="left"/>
      <w:lvlText w:val="(%1)"/>
      <w:numFmt w:val="lowerLetter"/>
      <w:start w:val="10"/>
    </w:lvl>
    <w:lvl w:ilvl="1">
      <w:lvlJc w:val="left"/>
      <w:lvlText w:val="%2"/>
      <w:numFmt w:val="lowerLetter"/>
      <w:start w:val="1"/>
    </w:lvl>
  </w:abstractNum>
  <w:abstractNum w:abstractNumId="18">
    <w:nsid w:val="1DBABF00"/>
    <w:multiLevelType w:val="hybridMultilevel"/>
    <w:lvl w:ilvl="0">
      <w:lvlJc w:val="left"/>
      <w:lvlText w:val="(%1)"/>
      <w:numFmt w:val="lowerLetter"/>
      <w:start w:val="1"/>
    </w:lvl>
  </w:abstractNum>
  <w:abstractNum w:abstractNumId="19">
    <w:nsid w:val="4AD084E9"/>
    <w:multiLevelType w:val="hybridMultilevel"/>
    <w:lvl w:ilvl="0">
      <w:lvlJc w:val="left"/>
      <w:lvlText w:val="(%1)"/>
      <w:numFmt w:val="lowerLetter"/>
      <w:start w:val="3"/>
    </w:lvl>
  </w:abstractNum>
  <w:abstractNum w:abstractNumId="20">
    <w:nsid w:val="1F48EAA1"/>
    <w:multiLevelType w:val="hybridMultilevel"/>
    <w:lvl w:ilvl="0">
      <w:lvlJc w:val="left"/>
      <w:lvlText w:val="(%1)"/>
      <w:numFmt w:val="lowerLetter"/>
      <w:start w:val="1"/>
    </w:lvl>
  </w:abstractNum>
  <w:abstractNum w:abstractNumId="21">
    <w:nsid w:val="1381823A"/>
    <w:multiLevelType w:val="hybridMultilevel"/>
    <w:lvl w:ilvl="0">
      <w:lvlJc w:val="left"/>
      <w:lvlText w:val="(%1)"/>
      <w:numFmt w:val="lowerLetter"/>
      <w:start w:val="3"/>
    </w:lvl>
    <w:lvl w:ilvl="1">
      <w:lvlJc w:val="left"/>
      <w:lvlText w:val="(%2)"/>
      <w:numFmt w:val="lowerLetter"/>
      <w:start w:val="9"/>
    </w:lvl>
  </w:abstractNum>
  <w:abstractNum w:abstractNumId="22">
    <w:nsid w:val="5DB70AE5"/>
    <w:multiLevelType w:val="hybridMultilevel"/>
    <w:lvl w:ilvl="0">
      <w:lvlJc w:val="left"/>
      <w:lvlText w:val="(%1)"/>
      <w:numFmt w:val="lowerRoman"/>
      <w:start w:val="2"/>
    </w:lvl>
  </w:abstractNum>
  <w:abstractNum w:abstractNumId="23">
    <w:nsid w:val="100F8FCA"/>
    <w:multiLevelType w:val="hybridMultilevel"/>
    <w:lvl w:ilvl="0">
      <w:lvlJc w:val="left"/>
      <w:lvlText w:val="(%1)"/>
      <w:numFmt w:val="lowerLetter"/>
      <w:start w:val="1"/>
    </w:lvl>
  </w:abstractNum>
  <w:abstractNum w:abstractNumId="24">
    <w:nsid w:val="6590700B"/>
    <w:multiLevelType w:val="hybridMultilevel"/>
    <w:lvl w:ilvl="0">
      <w:lvlJc w:val="left"/>
      <w:lvlText w:val="(%1)"/>
      <w:numFmt w:val="lowerLetter"/>
      <w:start w:val="2"/>
    </w:lvl>
    <w:lvl w:ilvl="1">
      <w:lvlJc w:val="left"/>
      <w:lvlText w:val="(%2)"/>
      <w:numFmt w:val="lowerLetter"/>
      <w:start w:val="3"/>
    </w:lvl>
  </w:abstractNum>
  <w:abstractNum w:abstractNumId="25">
    <w:nsid w:val="15014ACB"/>
    <w:multiLevelType w:val="hybridMultilevel"/>
    <w:lvl w:ilvl="0">
      <w:lvlJc w:val="left"/>
      <w:lvlText w:val="(%1)"/>
      <w:numFmt w:val="lowerRoman"/>
      <w:start w:val="1"/>
    </w:lvl>
  </w:abstractNum>
  <w:abstractNum w:abstractNumId="26">
    <w:nsid w:val="5F5E7FD0"/>
    <w:multiLevelType w:val="hybridMultilevel"/>
    <w:lvl w:ilvl="0">
      <w:lvlJc w:val="left"/>
      <w:lvlText w:val="(%1)"/>
      <w:numFmt w:val="lowerLetter"/>
      <w:start w:val="1"/>
    </w:lvl>
  </w:abstractNum>
  <w:abstractNum w:abstractNumId="27">
    <w:nsid w:val="98A3148"/>
    <w:multiLevelType w:val="hybridMultilevel"/>
    <w:lvl w:ilvl="0">
      <w:lvlJc w:val="left"/>
      <w:lvlText w:val="(%1)"/>
      <w:numFmt w:val="lowerLetter"/>
      <w:start w:val="2"/>
    </w:lvl>
  </w:abstractNum>
  <w:abstractNum w:abstractNumId="28">
    <w:nsid w:val="799D0247"/>
    <w:multiLevelType w:val="hybridMultilevel"/>
    <w:lvl w:ilvl="0">
      <w:lvlJc w:val="left"/>
      <w:lvlText w:val="(%1)"/>
      <w:numFmt w:val="lowerLetter"/>
      <w:start w:val="3"/>
    </w:lvl>
  </w:abstractNum>
  <w:abstractNum w:abstractNumId="29">
    <w:nsid w:val="6B94764"/>
    <w:multiLevelType w:val="hybridMultilevel"/>
    <w:lvl w:ilvl="0">
      <w:lvlJc w:val="left"/>
      <w:lvlText w:val="(%1)"/>
      <w:numFmt w:val="lowerRoman"/>
      <w:start w:val="1"/>
    </w:lvl>
    <w:lvl w:ilvl="1">
      <w:lvlJc w:val="left"/>
      <w:lvlText w:val="(%2)"/>
      <w:numFmt w:val="lowerRoman"/>
      <w:start w:val="3"/>
    </w:lvl>
  </w:abstractNum>
  <w:abstractNum w:abstractNumId="30">
    <w:nsid w:val="42C296BD"/>
    <w:multiLevelType w:val="hybridMultilevel"/>
    <w:lvl w:ilvl="0">
      <w:lvlJc w:val="left"/>
      <w:lvlText w:val="%1"/>
      <w:numFmt w:val="lowerLetter"/>
      <w:start w:val="1"/>
    </w:lvl>
    <w:lvl w:ilvl="1">
      <w:lvlJc w:val="left"/>
      <w:lvlText w:val="(%2)"/>
      <w:numFmt w:val="lowerRoman"/>
      <w:start w:val="6"/>
    </w:lvl>
  </w:abstractNum>
  <w:abstractNum w:abstractNumId="31">
    <w:nsid w:val="168E121F"/>
    <w:multiLevelType w:val="hybridMultilevel"/>
    <w:lvl w:ilvl="0">
      <w:lvlJc w:val="left"/>
      <w:lvlText w:val="(%1)"/>
      <w:numFmt w:val="lowerLetter"/>
      <w:start w:val="4"/>
    </w:lvl>
    <w:lvl w:ilvl="1">
      <w:lvlJc w:val="left"/>
      <w:lvlText w:val="%2"/>
      <w:numFmt w:val="lowerRoman"/>
      <w:start w:val="1"/>
    </w:lvl>
  </w:abstractNum>
  <w:abstractNum w:abstractNumId="32">
    <w:nsid w:val="1EBA5D23"/>
    <w:multiLevelType w:val="hybridMultilevel"/>
    <w:lvl w:ilvl="0">
      <w:lvlJc w:val="left"/>
      <w:lvlText w:val="(%1)"/>
      <w:numFmt w:val="lowerLetter"/>
      <w:start w:val="1"/>
    </w:lvl>
  </w:abstractNum>
  <w:abstractNum w:abstractNumId="33">
    <w:nsid w:val="661E3F1E"/>
    <w:multiLevelType w:val="hybridMultilevel"/>
    <w:lvl w:ilvl="0">
      <w:lvlJc w:val="left"/>
      <w:lvlText w:val="(%1)"/>
      <w:numFmt w:val="lowerLetter"/>
      <w:start w:val="4"/>
    </w:lvl>
  </w:abstractNum>
  <w:abstractNum w:abstractNumId="34">
    <w:nsid w:val="5DC79EA8"/>
    <w:multiLevelType w:val="hybridMultilevel"/>
    <w:lvl w:ilvl="0">
      <w:lvlJc w:val="left"/>
      <w:lvlText w:val="(%1)"/>
      <w:numFmt w:val="lowerLetter"/>
      <w:start w:val="1"/>
    </w:lvl>
  </w:abstractNum>
  <w:abstractNum w:abstractNumId="35">
    <w:nsid w:val="540A471C"/>
    <w:multiLevelType w:val="hybridMultilevel"/>
    <w:lvl w:ilvl="0">
      <w:lvlJc w:val="left"/>
      <w:lvlText w:val="(%1)"/>
      <w:numFmt w:val="lowerRoman"/>
      <w:start w:val="2"/>
    </w:lvl>
  </w:abstractNum>
  <w:abstractNum w:abstractNumId="36">
    <w:nsid w:val="7BD3EE7B"/>
    <w:multiLevelType w:val="hybridMultilevel"/>
    <w:lvl w:ilvl="0">
      <w:lvlJc w:val="left"/>
      <w:lvlText w:val="(%1)"/>
      <w:numFmt w:val="lowerLetter"/>
      <w:start w:val="1"/>
    </w:lvl>
  </w:abstractNum>
  <w:abstractNum w:abstractNumId="37">
    <w:nsid w:val="51D9C564"/>
    <w:multiLevelType w:val="hybridMultilevel"/>
    <w:lvl w:ilvl="0">
      <w:lvlJc w:val="left"/>
      <w:lvlText w:val="(%1)"/>
      <w:numFmt w:val="lowerLetter"/>
      <w:start w:val="1"/>
    </w:lvl>
  </w:abstractNum>
  <w:abstractNum w:abstractNumId="38">
    <w:nsid w:val="613EFDC5"/>
    <w:multiLevelType w:val="hybridMultilevel"/>
    <w:lvl w:ilvl="0">
      <w:lvlJc w:val="left"/>
      <w:lvlText w:val="(%1)"/>
      <w:numFmt w:val="lowerLetter"/>
      <w:start w:val="1"/>
    </w:lvl>
  </w:abstractNum>
  <w:abstractNum w:abstractNumId="39">
    <w:nsid w:val="BF72B14"/>
    <w:multiLevelType w:val="hybridMultilevel"/>
    <w:lvl w:ilvl="0">
      <w:lvlJc w:val="left"/>
      <w:lvlText w:val="(%1)"/>
      <w:numFmt w:val="lowerLetter"/>
      <w:start w:val="2"/>
    </w:lvl>
  </w:abstractNum>
  <w:abstractNum w:abstractNumId="40">
    <w:nsid w:val="11447B73"/>
    <w:multiLevelType w:val="hybridMultilevel"/>
    <w:lvl w:ilvl="0">
      <w:lvlJc w:val="left"/>
      <w:lvlText w:val="[*]"/>
      <w:numFmt w:val="bullet"/>
      <w:start w:val="1"/>
    </w:lvl>
    <w:lvl w:ilvl="1">
      <w:lvlJc w:val="left"/>
      <w:lvlText w:val="(%2)"/>
      <w:numFmt w:val="lowerLetter"/>
      <w:start w:val="3"/>
    </w:lvl>
  </w:abstractNum>
  <w:abstractNum w:abstractNumId="41">
    <w:nsid w:val="42963E5A"/>
    <w:multiLevelType w:val="hybridMultilevel"/>
    <w:lvl w:ilvl="0">
      <w:lvlJc w:val="left"/>
      <w:lvlText w:val="(%1)"/>
      <w:numFmt w:val="lowerLetter"/>
      <w:start w:val="5"/>
    </w:lvl>
  </w:abstractNum>
  <w:abstractNum w:abstractNumId="42">
    <w:nsid w:val="A0382C5"/>
    <w:multiLevelType w:val="hybridMultilevel"/>
    <w:lvl w:ilvl="0">
      <w:lvlJc w:val="left"/>
      <w:lvlText w:val="(%1)"/>
      <w:numFmt w:val="lowerLetter"/>
      <w:start w:val="2"/>
    </w:lvl>
  </w:abstractNum>
  <w:abstractNum w:abstractNumId="43">
    <w:nsid w:val="8F2B15E"/>
    <w:multiLevelType w:val="hybridMultilevel"/>
    <w:lvl w:ilvl="0">
      <w:lvlJc w:val="left"/>
      <w:lvlText w:val="(%1)"/>
      <w:numFmt w:val="lowerRoman"/>
      <w:start w:val="2"/>
    </w:lvl>
  </w:abstractNum>
  <w:abstractNum w:abstractNumId="44">
    <w:nsid w:val="1A32234B"/>
    <w:multiLevelType w:val="hybridMultilevel"/>
    <w:lvl w:ilvl="0">
      <w:lvlJc w:val="left"/>
      <w:lvlText w:val="(%1)"/>
      <w:numFmt w:val="lowerLetter"/>
      <w:start w:val="3"/>
    </w:lvl>
  </w:abstractNum>
  <w:abstractNum w:abstractNumId="45">
    <w:nsid w:val="3B0FD379"/>
    <w:multiLevelType w:val="hybridMultilevel"/>
    <w:lvl w:ilvl="0">
      <w:lvlJc w:val="left"/>
      <w:lvlText w:val="(%1)"/>
      <w:numFmt w:val="lowerLetter"/>
      <w:start w:val="4"/>
    </w:lvl>
  </w:abstractNum>
  <w:abstractNum w:abstractNumId="46">
    <w:nsid w:val="68EB2F63"/>
    <w:multiLevelType w:val="hybridMultilevel"/>
    <w:lvl w:ilvl="0">
      <w:lvlJc w:val="left"/>
      <w:lvlText w:val="(%1)"/>
      <w:numFmt w:val="lowerLetter"/>
      <w:start w:val="1"/>
    </w:lvl>
  </w:abstractNum>
  <w:abstractNum w:abstractNumId="47">
    <w:nsid w:val="4962813B"/>
    <w:multiLevelType w:val="hybridMultilevel"/>
    <w:lvl w:ilvl="0">
      <w:lvlJc w:val="left"/>
      <w:lvlText w:val="(%1)"/>
      <w:numFmt w:val="lowerLetter"/>
      <w:start w:val="1"/>
    </w:lvl>
  </w:abstractNum>
  <w:abstractNum w:abstractNumId="48">
    <w:nsid w:val="60B6DF70"/>
    <w:multiLevelType w:val="hybridMultilevel"/>
    <w:lvl w:ilvl="0">
      <w:lvlJc w:val="left"/>
      <w:lvlText w:val="(%1)"/>
      <w:numFmt w:val="lowerLetter"/>
      <w:start w:val="3"/>
    </w:lvl>
  </w:abstractNum>
  <w:abstractNum w:abstractNumId="49">
    <w:nsid w:val="6A5EE64"/>
    <w:multiLevelType w:val="hybridMultilevel"/>
    <w:lvl w:ilvl="0">
      <w:lvlJc w:val="left"/>
      <w:lvlText w:val="(%1)"/>
      <w:numFmt w:val="lowerLetter"/>
      <w:start w:val="4"/>
    </w:lvl>
  </w:abstractNum>
  <w:abstractNum w:abstractNumId="50">
    <w:nsid w:val="14330624"/>
    <w:multiLevelType w:val="hybridMultilevel"/>
    <w:lvl w:ilvl="0">
      <w:lvlJc w:val="left"/>
      <w:lvlText w:val="(%1)"/>
      <w:numFmt w:val="lowerLetter"/>
      <w:start w:val="1"/>
    </w:lvl>
  </w:abstractNum>
  <w:abstractNum w:abstractNumId="51">
    <w:nsid w:val="7FFFCA11"/>
    <w:multiLevelType w:val="hybridMultilevel"/>
    <w:lvl w:ilvl="0">
      <w:lvlJc w:val="left"/>
      <w:lvlText w:val="(%1)"/>
      <w:numFmt w:val="lowerLetter"/>
      <w:start w:val="3"/>
    </w:lvl>
  </w:abstractNum>
  <w:abstractNum w:abstractNumId="52">
    <w:nsid w:val="1A27709E"/>
    <w:multiLevelType w:val="hybridMultilevel"/>
    <w:lvl w:ilvl="0">
      <w:lvlJc w:val="left"/>
      <w:lvlText w:val="(%1)"/>
      <w:numFmt w:val="lowerLetter"/>
      <w:start w:val="1"/>
    </w:lvl>
  </w:abstractNum>
  <w:abstractNum w:abstractNumId="53">
    <w:nsid w:val="71EA1109"/>
    <w:multiLevelType w:val="hybridMultilevel"/>
    <w:lvl w:ilvl="0">
      <w:lvlJc w:val="left"/>
      <w:lvlText w:val="(%1)"/>
      <w:numFmt w:val="lowerLetter"/>
      <w:start w:val="2"/>
    </w:lvl>
  </w:abstractNum>
  <w:abstractNum w:abstractNumId="54">
    <w:nsid w:val="100F59DC"/>
    <w:multiLevelType w:val="hybridMultilevel"/>
    <w:lvl w:ilvl="0">
      <w:lvlJc w:val="left"/>
      <w:lvlText w:val="(%1)"/>
      <w:numFmt w:val="lowerLetter"/>
      <w:start w:val="1"/>
    </w:lvl>
  </w:abstractNum>
  <w:abstractNum w:abstractNumId="55">
    <w:nsid w:val="7FB7E0AA"/>
    <w:multiLevelType w:val="hybridMultilevel"/>
    <w:lvl w:ilvl="0">
      <w:lvlJc w:val="left"/>
      <w:lvlText w:val="(%1)"/>
      <w:numFmt w:val="lowerLetter"/>
      <w:start w:val="4"/>
    </w:lvl>
  </w:abstractNum>
  <w:abstractNum w:abstractNumId="56">
    <w:nsid w:val="6EB5BD4"/>
    <w:multiLevelType w:val="hybridMultilevel"/>
    <w:lvl w:ilvl="0">
      <w:lvlJc w:val="left"/>
      <w:lvlText w:val="(%1)"/>
      <w:numFmt w:val="lowerLetter"/>
      <w:start w:val="1"/>
    </w:lvl>
  </w:abstractNum>
  <w:abstractNum w:abstractNumId="57">
    <w:nsid w:val="6F6DD9AC"/>
    <w:multiLevelType w:val="hybridMultilevel"/>
    <w:lvl w:ilvl="0">
      <w:lvlJc w:val="left"/>
      <w:lvlText w:val="(%1)"/>
      <w:numFmt w:val="lowerLetter"/>
      <w:start w:val="3"/>
    </w:lvl>
  </w:abstractNum>
  <w:abstractNum w:abstractNumId="58">
    <w:nsid w:val="94211F2"/>
    <w:multiLevelType w:val="hybridMultilevel"/>
    <w:lvl w:ilvl="0">
      <w:lvlJc w:val="left"/>
      <w:lvlText w:val="(%1)"/>
      <w:numFmt w:val="lowerLetter"/>
      <w:start w:val="1"/>
    </w:lvl>
  </w:abstractNum>
  <w:abstractNum w:abstractNumId="59">
    <w:nsid w:val="885E1B"/>
    <w:multiLevelType w:val="hybridMultilevel"/>
    <w:lvl w:ilvl="0">
      <w:lvlJc w:val="left"/>
      <w:lvlText w:val="(%1)"/>
      <w:numFmt w:val="lowerLetter"/>
      <w:start w:val="2"/>
    </w:lvl>
  </w:abstractNum>
  <w:abstractNum w:abstractNumId="60">
    <w:nsid w:val="76272110"/>
    <w:multiLevelType w:val="hybridMultilevel"/>
    <w:lvl w:ilvl="0">
      <w:lvlJc w:val="left"/>
      <w:lvlText w:val="(%1)"/>
      <w:numFmt w:val="lowerLetter"/>
      <w:start w:val="1"/>
    </w:lvl>
  </w:abstractNum>
  <w:abstractNum w:abstractNumId="61">
    <w:nsid w:val="4C04A8AF"/>
    <w:multiLevelType w:val="hybridMultilevel"/>
    <w:lvl w:ilvl="0">
      <w:lvlJc w:val="left"/>
      <w:lvlText w:val="%1."/>
      <w:numFmt w:val="decimal"/>
      <w:start w:val="1"/>
    </w:lvl>
  </w:abstractNum>
  <w:abstractNum w:abstractNumId="62">
    <w:nsid w:val="1716703B"/>
    <w:multiLevelType w:val="hybridMultilevel"/>
    <w:lvl w:ilvl="0">
      <w:lvlJc w:val="left"/>
      <w:lvlText w:val="[*]"/>
      <w:numFmt w:val="bullet"/>
      <w:start w:val="1"/>
    </w:lvl>
    <w:lvl w:ilvl="1">
      <w:lvlJc w:val="left"/>
      <w:lvlText w:val="%2."/>
      <w:numFmt w:val="decimal"/>
      <w:start w:val="2"/>
    </w:lvl>
  </w:abstractNum>
  <w:abstractNum w:abstractNumId="63">
    <w:nsid w:val="14E17E33"/>
    <w:multiLevelType w:val="hybridMultilevel"/>
    <w:lvl w:ilvl="0">
      <w:lvlJc w:val="left"/>
      <w:lvlText w:val="%1."/>
      <w:numFmt w:val="decimal"/>
      <w:start w:val="3"/>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1."/>
      <w:numFmt w:val="decimal"/>
      <w:start w:val="2"/>
    </w:lvl>
  </w:abstractNum>
  <w:abstractNum w:abstractNumId="66">
    <w:nsid w:val="68EBC550"/>
    <w:multiLevelType w:val="hybridMultilevel"/>
    <w:lvl w:ilvl="0">
      <w:lvlJc w:val="left"/>
      <w:lvlText w:val="%1."/>
      <w:numFmt w:val="decimal"/>
      <w:start w:val="3"/>
    </w:lvl>
  </w:abstractNum>
  <w:abstractNum w:abstractNumId="67">
    <w:nsid w:val="2DF6D648"/>
    <w:multiLevelType w:val="hybridMultilevel"/>
    <w:lvl w:ilvl="0">
      <w:lvlJc w:val="left"/>
      <w:lvlText w:val="%1."/>
      <w:numFmt w:val="upperLetter"/>
      <w:start w:val="1"/>
    </w:lvl>
  </w:abstractNum>
  <w:abstractNum w:abstractNumId="68">
    <w:nsid w:val="46B7D447"/>
    <w:multiLevelType w:val="hybridMultilevel"/>
    <w:lvl w:ilvl="0">
      <w:lvlJc w:val="left"/>
      <w:lvlText w:val="%1."/>
      <w:numFmt w:val="upperLetter"/>
      <w:start w:val="2"/>
    </w:lvl>
  </w:abstractNum>
  <w:abstractNum w:abstractNumId="69">
    <w:nsid w:val="4A2AC315"/>
    <w:multiLevelType w:val="hybridMultilevel"/>
    <w:lvl w:ilvl="0">
      <w:lvlJc w:val="left"/>
      <w:lvlText w:val="%1."/>
      <w:numFmt w:val="decimal"/>
      <w:start w:val="1"/>
    </w:lvl>
  </w:abstractNum>
  <w:abstractNum w:abstractNumId="70">
    <w:nsid w:val="39EE015C"/>
    <w:multiLevelType w:val="hybridMultilevel"/>
    <w:lvl w:ilvl="0">
      <w:lvlJc w:val="left"/>
      <w:lvlText w:val="(%1)"/>
      <w:numFmt w:val="lowerLetter"/>
      <w:start w:val="1"/>
    </w:lvl>
  </w:abstractNum>
  <w:abstractNum w:abstractNumId="71">
    <w:nsid w:val="57FC4FBB"/>
    <w:multiLevelType w:val="hybridMultilevel"/>
    <w:lvl w:ilvl="0">
      <w:lvlJc w:val="left"/>
      <w:lvlText w:val="(%1)"/>
      <w:numFmt w:val="lowerLetter"/>
      <w:start w:val="2"/>
    </w:lvl>
  </w:abstractNum>
  <w:abstractNum w:abstractNumId="72">
    <w:nsid w:val="CC1016F"/>
    <w:multiLevelType w:val="hybridMultilevel"/>
    <w:lvl w:ilvl="0">
      <w:lvlJc w:val="left"/>
      <w:lvlText w:val="(%1)"/>
      <w:numFmt w:val="lowerLetter"/>
      <w:start w:val="3"/>
    </w:lvl>
  </w:abstractNum>
  <w:abstractNum w:abstractNumId="73">
    <w:nsid w:val="43F18422"/>
    <w:multiLevelType w:val="hybridMultilevel"/>
    <w:lvl w:ilvl="0">
      <w:lvlJc w:val="left"/>
      <w:lvlText w:val="%1."/>
      <w:numFmt w:val="decimal"/>
      <w:start w:val="2"/>
    </w:lvl>
    <w:lvl w:ilvl="1">
      <w:lvlJc w:val="left"/>
      <w:lvlText w:val="(%2)"/>
      <w:numFmt w:val="lowerLetter"/>
      <w:start w:val="1"/>
    </w:lvl>
  </w:abstractNum>
  <w:abstractNum w:abstractNumId="74">
    <w:nsid w:val="60EF0119"/>
    <w:multiLevelType w:val="hybridMultilevel"/>
    <w:lvl w:ilvl="0">
      <w:lvlJc w:val="left"/>
      <w:lvlText w:val="%1"/>
      <w:numFmt w:val="decimal"/>
      <w:start w:val="1"/>
    </w:lvl>
    <w:lvl w:ilvl="1">
      <w:lvlJc w:val="left"/>
      <w:lvlText w:val="(%2)"/>
      <w:numFmt w:val="lowerLetter"/>
      <w:start w:val="2"/>
    </w:lvl>
  </w:abstractNum>
  <w:abstractNum w:abstractNumId="75">
    <w:nsid w:val="26F324BA"/>
    <w:multiLevelType w:val="hybridMultilevel"/>
    <w:lvl w:ilvl="0">
      <w:lvlJc w:val="left"/>
      <w:lvlText w:val="(%1)"/>
      <w:numFmt w:val="decimal"/>
      <w:start w:val="1"/>
    </w:lvl>
    <w:lvl w:ilvl="1">
      <w:lvlJc w:val="left"/>
      <w:lvlText w:val="(%2)"/>
      <w:numFmt w:val="lowerLetter"/>
      <w:start w:val="3"/>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Letter"/>
      <w:start w:val="2"/>
    </w:lvl>
  </w:abstractNum>
  <w:abstractNum w:abstractNumId="78">
    <w:nsid w:val="7055A5F5"/>
    <w:multiLevelType w:val="hybridMultilevel"/>
    <w:lvl w:ilvl="0">
      <w:lvlJc w:val="left"/>
      <w:lvlText w:val="(%1)"/>
      <w:numFmt w:val="lowerLetter"/>
      <w:start w:val="3"/>
    </w:lvl>
  </w:abstractNum>
  <w:abstractNum w:abstractNumId="79">
    <w:nsid w:val="5FB8370B"/>
    <w:multiLevelType w:val="hybridMultilevel"/>
    <w:lvl w:ilvl="0">
      <w:lvlJc w:val="left"/>
      <w:lvlText w:val="(%1)"/>
      <w:numFmt w:val="lowerLetter"/>
      <w:start w:val="5"/>
    </w:lvl>
  </w:abstractNum>
  <w:abstractNum w:abstractNumId="80">
    <w:nsid w:val="50801EE1"/>
    <w:multiLevelType w:val="hybridMultilevel"/>
    <w:lvl w:ilvl="0">
      <w:lvlJc w:val="left"/>
      <w:lvlText w:val="(%1)"/>
      <w:numFmt w:val="lowerLetter"/>
      <w:start w:val="1"/>
    </w:lvl>
  </w:abstractNum>
  <w:abstractNum w:abstractNumId="81">
    <w:nsid w:val="488AC1A"/>
    <w:multiLevelType w:val="hybridMultilevel"/>
    <w:lvl w:ilvl="0">
      <w:lvlJc w:val="left"/>
      <w:lvlText w:val="(%1)"/>
      <w:numFmt w:val="lowerRoman"/>
      <w:start w:val="2"/>
    </w:lvl>
  </w:abstractNum>
  <w:abstractNum w:abstractNumId="82">
    <w:nsid w:val="5FB8011C"/>
    <w:multiLevelType w:val="hybridMultilevel"/>
    <w:lvl w:ilvl="0">
      <w:lvlJc w:val="left"/>
      <w:lvlText w:val="(%1)"/>
      <w:numFmt w:val="lowerLetter"/>
      <w:start w:val="2"/>
    </w:lvl>
  </w:abstractNum>
  <w:abstractNum w:abstractNumId="83">
    <w:nsid w:val="6AA78F7F"/>
    <w:multiLevelType w:val="hybridMultilevel"/>
    <w:lvl w:ilvl="0">
      <w:lvlJc w:val="left"/>
      <w:lvlText w:val="(%1)"/>
      <w:numFmt w:val="lowerLetter"/>
      <w:start w:val="3"/>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lowerLetter"/>
      <w:start w:val="2"/>
    </w:lvl>
  </w:abstractNum>
  <w:abstractNum w:abstractNumId="86">
    <w:nsid w:val="6A5F7029"/>
    <w:multiLevelType w:val="hybridMultilevel"/>
    <w:lvl w:ilvl="0">
      <w:lvlJc w:val="left"/>
      <w:lvlText w:val="(%1)"/>
      <w:numFmt w:val="lowerLetter"/>
      <w:start w:val="4"/>
    </w:lvl>
  </w:abstractNum>
  <w:abstractNum w:abstractNumId="87">
    <w:nsid w:val="7D5E18F8"/>
    <w:multiLevelType w:val="hybridMultilevel"/>
    <w:lvl w:ilvl="0">
      <w:lvlJc w:val="left"/>
      <w:lvlText w:val="(%1)"/>
      <w:numFmt w:val="lowerLetter"/>
      <w:start w:val="5"/>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lowerLetter"/>
      <w:start w:val="2"/>
    </w:lvl>
  </w:abstractNum>
  <w:abstractNum w:abstractNumId="90">
    <w:nsid w:val="7DE67713"/>
    <w:multiLevelType w:val="hybridMultilevel"/>
    <w:lvl w:ilvl="0">
      <w:lvlJc w:val="left"/>
      <w:lvlText w:val="(%1)"/>
      <w:numFmt w:val="lowerLetter"/>
      <w:start w:val="3"/>
    </w:lvl>
  </w:abstractNum>
  <w:abstractNum w:abstractNumId="91">
    <w:nsid w:val="555C55B5"/>
    <w:multiLevelType w:val="hybridMultilevel"/>
    <w:lvl w:ilvl="0">
      <w:lvlJc w:val="left"/>
      <w:lvlText w:val="(%1)"/>
      <w:numFmt w:val="lowerLetter"/>
      <w:start w:val="4"/>
    </w:lvl>
  </w:abstractNum>
  <w:abstractNum w:abstractNumId="92">
    <w:nsid w:val="3FA62ACA"/>
    <w:multiLevelType w:val="hybridMultilevel"/>
    <w:lvl w:ilvl="0">
      <w:lvlJc w:val="left"/>
      <w:lvlText w:val="(%1)"/>
      <w:numFmt w:val="lowerLetter"/>
      <w:start w:val="5"/>
    </w:lvl>
  </w:abstractNum>
  <w:abstractNum w:abstractNumId="93">
    <w:nsid w:val="14FCE74E"/>
    <w:multiLevelType w:val="hybridMultilevel"/>
    <w:lvl w:ilvl="0">
      <w:lvlJc w:val="left"/>
      <w:lvlText w:val="(%1)"/>
      <w:numFmt w:val="lowerRoman"/>
      <w:start w:val="2"/>
    </w:lvl>
  </w:abstractNum>
  <w:abstractNum w:abstractNumId="94">
    <w:nsid w:val="6A3DD3E8"/>
    <w:multiLevelType w:val="hybridMultilevel"/>
    <w:lvl w:ilvl="0">
      <w:lvlJc w:val="left"/>
      <w:lvlText w:val="(%1)"/>
      <w:numFmt w:val="lowerLetter"/>
      <w:start w:val="1"/>
    </w:lvl>
  </w:abstractNum>
  <w:abstractNum w:abstractNumId="95">
    <w:nsid w:val="71C91298"/>
    <w:multiLevelType w:val="hybridMultilevel"/>
    <w:lvl w:ilvl="0">
      <w:lvlJc w:val="left"/>
      <w:lvlText w:val="(%1)"/>
      <w:numFmt w:val="lowerRoman"/>
      <w:start w:val="1"/>
    </w:lvl>
  </w:abstractNum>
  <w:abstractNum w:abstractNumId="96">
    <w:nsid w:val="9DAF632"/>
    <w:multiLevelType w:val="hybridMultilevel"/>
    <w:lvl w:ilvl="0">
      <w:lvlJc w:val="left"/>
      <w:lvlText w:val="(%1)"/>
      <w:numFmt w:val="lowerLetter"/>
      <w:start w:val="2"/>
    </w:lvl>
  </w:abstractNum>
  <w:abstractNum w:abstractNumId="97">
    <w:nsid w:val="53299938"/>
    <w:multiLevelType w:val="hybridMultilevel"/>
    <w:lvl w:ilvl="0">
      <w:lvlJc w:val="left"/>
      <w:lvlText w:val="(%1)"/>
      <w:numFmt w:val="lowerLetter"/>
      <w:start w:val="4"/>
    </w:lvl>
  </w:abstractNum>
  <w:abstractNum w:abstractNumId="98">
    <w:nsid w:val="1FBFE8E0"/>
    <w:multiLevelType w:val="hybridMultilevel"/>
    <w:lvl w:ilvl="0">
      <w:lvlJc w:val="left"/>
      <w:lvlText w:val="(%1)"/>
      <w:numFmt w:val="lowerLetter"/>
      <w:start w:val="5"/>
    </w:lvl>
  </w:abstractNum>
  <w:abstractNum w:abstractNumId="99">
    <w:nsid w:val="5092CA79"/>
    <w:multiLevelType w:val="hybridMultilevel"/>
    <w:lvl w:ilvl="0">
      <w:lvlJc w:val="left"/>
      <w:lvlText w:val="(%1)"/>
      <w:numFmt w:val="lowerLetter"/>
      <w:start w:val="6"/>
    </w:lvl>
  </w:abstractNum>
  <w:abstractNum w:abstractNumId="100">
    <w:nsid w:val="1D545C4D"/>
    <w:multiLevelType w:val="hybridMultilevel"/>
    <w:lvl w:ilvl="0">
      <w:lvlJc w:val="left"/>
      <w:lvlText w:val="%1."/>
      <w:numFmt w:val="decimal"/>
      <w:start w:val="3"/>
    </w:lvl>
    <w:lvl w:ilvl="1">
      <w:lvlJc w:val="left"/>
      <w:lvlText w:val="(%2)"/>
      <w:numFmt w:val="lowerLetter"/>
      <w:start w:val="1"/>
    </w:lvl>
  </w:abstractNum>
  <w:abstractNum w:abstractNumId="101">
    <w:nsid w:val="59ADEA3D"/>
    <w:multiLevelType w:val="hybridMultilevel"/>
    <w:lvl w:ilvl="0">
      <w:lvlJc w:val="left"/>
      <w:lvlText w:val="(%1)"/>
      <w:numFmt w:val="lowerLetter"/>
      <w:start w:val="2"/>
    </w:lvl>
  </w:abstractNum>
  <w:abstractNum w:abstractNumId="102">
    <w:nsid w:val="288F1A34"/>
    <w:multiLevelType w:val="hybridMultilevel"/>
    <w:lvl w:ilvl="0">
      <w:lvlJc w:val="left"/>
      <w:lvlText w:val="%1."/>
      <w:numFmt w:val="decimal"/>
      <w:start w:val="4"/>
    </w:lvl>
  </w:abstractNum>
  <w:abstractNum w:abstractNumId="103">
    <w:nsid w:val="2A155DBC"/>
    <w:multiLevelType w:val="hybridMultilevel"/>
    <w:lvl w:ilvl="0">
      <w:lvlJc w:val="left"/>
      <w:lvlText w:val="(%1)"/>
      <w:numFmt w:val="lowerLetter"/>
      <w:start w:val="1"/>
    </w:lvl>
  </w:abstractNum>
  <w:abstractNum w:abstractNumId="104">
    <w:nsid w:val="1D9F6E5F"/>
    <w:multiLevelType w:val="hybridMultilevel"/>
    <w:lvl w:ilvl="0">
      <w:lvlJc w:val="left"/>
      <w:lvlText w:val="(%1)"/>
      <w:numFmt w:val="lowerLetter"/>
      <w:start w:val="2"/>
    </w:lvl>
  </w:abstractNum>
  <w:abstractNum w:abstractNumId="105">
    <w:nsid w:val="97E1B4E"/>
    <w:multiLevelType w:val="hybridMultilevel"/>
    <w:lvl w:ilvl="0">
      <w:lvlJc w:val="left"/>
      <w:lvlText w:val="(%1)"/>
      <w:numFmt w:val="lowerLetter"/>
      <w:start w:val="9"/>
    </w:lvl>
  </w:abstractNum>
  <w:abstractNum w:abstractNumId="106">
    <w:nsid w:val="51088277"/>
    <w:multiLevelType w:val="hybridMultilevel"/>
    <w:lvl w:ilvl="0">
      <w:lvlJc w:val="left"/>
      <w:lvlText w:val="(%1)"/>
      <w:numFmt w:val="lowerLetter"/>
      <w:start w:val="2"/>
    </w:lvl>
  </w:abstractNum>
  <w:abstractNum w:abstractNumId="107">
    <w:nsid w:val="1CA0C5FA"/>
    <w:multiLevelType w:val="hybridMultilevel"/>
    <w:lvl w:ilvl="0">
      <w:lvlJc w:val="left"/>
      <w:lvlText w:val="(%1)"/>
      <w:numFmt w:val="lowerLetter"/>
      <w:start w:val="1"/>
    </w:lvl>
  </w:abstractNum>
  <w:abstractNum w:abstractNumId="108">
    <w:nsid w:val="53584BCB"/>
    <w:multiLevelType w:val="hybridMultilevel"/>
    <w:lvl w:ilvl="0">
      <w:lvlJc w:val="left"/>
      <w:lvlText w:val="(%1)"/>
      <w:numFmt w:val="lowerLetter"/>
      <w:start w:val="2"/>
    </w:lvl>
  </w:abstractNum>
  <w:abstractNum w:abstractNumId="109">
    <w:nsid w:val="415E286C"/>
    <w:multiLevelType w:val="hybridMultilevel"/>
    <w:lvl w:ilvl="0">
      <w:lvlJc w:val="left"/>
      <w:lvlText w:val="(%1)"/>
      <w:numFmt w:val="lowerRoman"/>
      <w:start w:val="1"/>
    </w:lvl>
  </w:abstractNum>
  <w:abstractNum w:abstractNumId="110">
    <w:nsid w:val="7C58FD05"/>
    <w:multiLevelType w:val="hybridMultilevel"/>
    <w:lvl w:ilvl="0">
      <w:lvlJc w:val="left"/>
      <w:lvlText w:val="(%1)"/>
      <w:numFmt w:val="lowerRoman"/>
      <w:start w:val="3"/>
    </w:lvl>
  </w:abstractNum>
  <w:abstractNum w:abstractNumId="111">
    <w:nsid w:val="23D86AAC"/>
    <w:multiLevelType w:val="hybridMultilevel"/>
    <w:lvl w:ilvl="0">
      <w:lvlJc w:val="left"/>
      <w:lvlText w:val="(%1)"/>
      <w:numFmt w:val="decimal"/>
      <w:start w:val="30"/>
    </w:lvl>
  </w:abstractNum>
  <w:abstractNum w:abstractNumId="112">
    <w:nsid w:val="45E6D48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2019-12-16T16:12:47Z</dcterms:created>
  <dcterms:modified xsi:type="dcterms:W3CDTF">2019-12-16T16:12:47Z</dcterms:modified>
</cp:coreProperties>
</file>