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880" w:type="dxa"/>
            <w:vAlign w:val="bottom"/>
            <w:gridSpan w:val="2"/>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BHATIA MANISH H</w:t>
              </w:r>
            </w:hyperlink>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880" w:type="dxa"/>
            <w:vAlign w:val="bottom"/>
            <w:tcBorders>
              <w:bottom w:val="single" w:sz="8" w:color="0000EE"/>
            </w:tcBorders>
            <w:gridSpan w:val="2"/>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01/27/2023</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EVP, Global Operations</w:t>
      </w:r>
    </w:p>
    <w:p>
      <w:pPr>
        <w:spacing w:after="0" w:line="32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01/27/2023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63.29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260,347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$63.17 to $63.41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404.84 shares acquired on January 31, 2023 under the Micron Technology, Inc. Employee Stock Purchase Plan, which acquisition is exempt from reporting under Rules 16a-3(g)(1) and 16b-3(c).</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 Beard, Attorney-in-fact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01/31/2023</w:t>
            </w:r>
          </w:p>
        </w:tc>
      </w:tr>
      <w:tr>
        <w:trPr>
          <w:trHeight w:val="235"/>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9498"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2023-01-31T18:12:47Z</dcterms:created>
  <dcterms:modified xsi:type="dcterms:W3CDTF">2023-01-31T18:12:47Z</dcterms:modified>
</cp:coreProperties>
</file>