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9"/>
        <w:spacing w:after="0"/>
        <w:rPr>
          <w:sz w:val="20"/>
          <w:szCs w:val="20"/>
          <w:color w:val="auto"/>
        </w:rPr>
      </w:pPr>
      <w:r>
        <w:rPr>
          <w:rFonts w:ascii="Courier New" w:cs="Courier New" w:eastAsia="Courier New" w:hAnsi="Courier New"/>
          <w:sz w:val="15"/>
          <w:szCs w:val="15"/>
          <w:color w:val="auto"/>
        </w:rPr>
        <w:t>FORM 10-Q</w:t>
      </w:r>
    </w:p>
    <w:p>
      <w:pPr>
        <w:spacing w:after="0" w:line="27"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_______</w:t>
      </w:r>
    </w:p>
    <w:p>
      <w:pPr>
        <w:spacing w:after="0" w:line="145"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UNITED STATES</w:t>
      </w:r>
    </w:p>
    <w:p>
      <w:pPr>
        <w:spacing w:after="0" w:line="27"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Washington, DC 20549</w:t>
      </w:r>
    </w:p>
    <w:p>
      <w:pPr>
        <w:spacing w:after="0" w:line="316"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_______</w:t>
      </w:r>
    </w:p>
    <w:p>
      <w:pPr>
        <w:spacing w:after="0" w:line="342" w:lineRule="exact"/>
        <w:rPr>
          <w:sz w:val="24"/>
          <w:szCs w:val="24"/>
          <w:color w:val="auto"/>
        </w:rPr>
      </w:pPr>
    </w:p>
    <w:p>
      <w:pPr>
        <w:ind w:left="2560" w:right="3579" w:hanging="2303"/>
        <w:spacing w:after="0" w:line="353" w:lineRule="auto"/>
        <w:tabs>
          <w:tab w:leader="none" w:pos="69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 (d) OF THE SECURITIES EXCHANGE ACT OF 1934</w:t>
      </w:r>
    </w:p>
    <w:p>
      <w:pPr>
        <w:spacing w:after="0" w:line="12"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For the quarterly period ended March 2, 2000</w:t>
      </w:r>
    </w:p>
    <w:p>
      <w:pPr>
        <w:spacing w:after="0" w:line="171"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OR</w:t>
      </w:r>
    </w:p>
    <w:p>
      <w:pPr>
        <w:spacing w:after="0" w:line="171" w:lineRule="exact"/>
        <w:rPr>
          <w:sz w:val="24"/>
          <w:szCs w:val="24"/>
          <w:color w:val="auto"/>
        </w:rPr>
      </w:pPr>
    </w:p>
    <w:p>
      <w:pPr>
        <w:jc w:val="center"/>
        <w:ind w:right="3319"/>
        <w:spacing w:after="0"/>
        <w:tabs>
          <w:tab w:leader="none" w:pos="16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TRANSITION REPORT PURSUANT TO SECTION 13 OR 15(d) OF THE SECURITIES</w:t>
      </w:r>
    </w:p>
    <w:p>
      <w:pPr>
        <w:spacing w:after="0" w:line="27"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EXCHANGE ACT OF 1934</w:t>
      </w:r>
    </w:p>
    <w:p>
      <w:pPr>
        <w:spacing w:after="0" w:line="316"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_______</w:t>
      </w:r>
    </w:p>
    <w:p>
      <w:pPr>
        <w:spacing w:after="0" w:line="342"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Commission File Number: 1-10658</w:t>
      </w:r>
    </w:p>
    <w:p>
      <w:pPr>
        <w:spacing w:after="0" w:line="342"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State or other jurisdiction of incorporation or organization: Delaware</w:t>
      </w:r>
    </w:p>
    <w:p>
      <w:pPr>
        <w:spacing w:after="0" w:line="342" w:lineRule="exact"/>
        <w:rPr>
          <w:sz w:val="24"/>
          <w:szCs w:val="24"/>
          <w:color w:val="auto"/>
        </w:rPr>
      </w:pPr>
    </w:p>
    <w:p>
      <w:pPr>
        <w:ind w:left="3280"/>
        <w:spacing w:after="0"/>
        <w:rPr>
          <w:sz w:val="20"/>
          <w:szCs w:val="20"/>
          <w:color w:val="auto"/>
        </w:rPr>
      </w:pPr>
      <w:r>
        <w:rPr>
          <w:rFonts w:ascii="Courier New" w:cs="Courier New" w:eastAsia="Courier New" w:hAnsi="Courier New"/>
          <w:sz w:val="15"/>
          <w:szCs w:val="15"/>
          <w:color w:val="auto"/>
        </w:rPr>
        <w:t>_______</w:t>
      </w:r>
    </w:p>
    <w:p>
      <w:pPr>
        <w:spacing w:after="0" w:line="342"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Internal Revenue Service - Employer Identification No. 75-1618004</w:t>
      </w:r>
    </w:p>
    <w:p>
      <w:pPr>
        <w:spacing w:after="0" w:line="342"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8000 S. Federal Way, Boise, Idaho 83716-9632</w:t>
      </w:r>
    </w:p>
    <w:p>
      <w:pPr>
        <w:spacing w:after="0" w:line="27"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(208) 368-4000</w:t>
      </w:r>
    </w:p>
    <w:p>
      <w:pPr>
        <w:spacing w:after="0" w:line="316"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_______</w:t>
      </w:r>
    </w:p>
    <w:p>
      <w:pPr>
        <w:spacing w:after="0" w:line="171" w:lineRule="exact"/>
        <w:rPr>
          <w:sz w:val="24"/>
          <w:szCs w:val="24"/>
          <w:color w:val="auto"/>
        </w:rPr>
      </w:pPr>
    </w:p>
    <w:p>
      <w:pPr>
        <w:ind w:right="3219" w:firstLine="444"/>
        <w:spacing w:after="0" w:line="248"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 w:lineRule="exact"/>
        <w:rPr>
          <w:sz w:val="24"/>
          <w:szCs w:val="24"/>
          <w:color w:val="auto"/>
        </w:rPr>
      </w:pPr>
    </w:p>
    <w:p>
      <w:pPr>
        <w:ind w:left="4080"/>
        <w:spacing w:after="0"/>
        <w:tabs>
          <w:tab w:leader="none" w:pos="4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___</w:t>
      </w:r>
    </w:p>
    <w:p>
      <w:pPr>
        <w:spacing w:after="0" w:line="145" w:lineRule="exact"/>
        <w:rPr>
          <w:sz w:val="24"/>
          <w:szCs w:val="24"/>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The number of outstanding shares of the registrant's Common Stock as of April 5, 2000, was 261,602,148 shares of Common Stock and 15,810,277 shares of Class A Common Stock.</w:t>
      </w:r>
    </w:p>
    <w:p>
      <w:pPr>
        <w:sectPr>
          <w:pgSz w:w="11900" w:h="16838" w:orient="portrait"/>
          <w:cols w:equalWidth="0" w:num="1">
            <w:col w:w="10219"/>
          </w:cols>
          <w:pgMar w:left="240" w:top="548" w:right="1440" w:bottom="1440" w:gutter="0" w:footer="0" w:header="0"/>
        </w:sectPr>
      </w:pPr>
    </w:p>
    <w:bookmarkStart w:id="1" w:name="page2"/>
    <w:bookmarkEnd w:id="1"/>
    <w:tbl>
      <w:tblPr>
        <w:tblLayout w:type="fixed"/>
        <w:tblInd w:w="9" w:type="dxa"/>
        <w:tblCellMar>
          <w:top w:w="0" w:type="dxa"/>
          <w:left w:w="0" w:type="dxa"/>
          <w:bottom w:w="0" w:type="dxa"/>
          <w:right w:w="0" w:type="dxa"/>
        </w:tblCellMar>
      </w:tblPr>
      <w:tr>
        <w:trPr>
          <w:trHeight w:val="249"/>
        </w:trPr>
        <w:tc>
          <w:tcPr>
            <w:tcW w:w="700" w:type="dxa"/>
            <w:vAlign w:val="bottom"/>
          </w:tcPr>
          <w:p>
            <w:pPr>
              <w:spacing w:after="0"/>
              <w:rPr>
                <w:sz w:val="21"/>
                <w:szCs w:val="21"/>
                <w:color w:val="auto"/>
              </w:rPr>
            </w:pPr>
          </w:p>
        </w:tc>
        <w:tc>
          <w:tcPr>
            <w:tcW w:w="6960" w:type="dxa"/>
            <w:vAlign w:val="bottom"/>
          </w:tcPr>
          <w:p>
            <w:pPr>
              <w:ind w:left="1420"/>
              <w:spacing w:after="0"/>
              <w:rPr>
                <w:sz w:val="20"/>
                <w:szCs w:val="20"/>
                <w:color w:val="auto"/>
              </w:rPr>
            </w:pPr>
            <w:r>
              <w:rPr>
                <w:rFonts w:ascii="Courier New" w:cs="Courier New" w:eastAsia="Courier New" w:hAnsi="Courier New"/>
                <w:sz w:val="15"/>
                <w:szCs w:val="15"/>
                <w:color w:val="auto"/>
              </w:rPr>
              <w:t>Part I.  FINANCIAL INFORMATION</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96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700" w:type="dxa"/>
            <w:vAlign w:val="bottom"/>
          </w:tcPr>
          <w:p>
            <w:pPr>
              <w:spacing w:after="0"/>
              <w:rPr>
                <w:sz w:val="24"/>
                <w:szCs w:val="24"/>
                <w:color w:val="auto"/>
              </w:rPr>
            </w:pPr>
          </w:p>
        </w:tc>
        <w:tc>
          <w:tcPr>
            <w:tcW w:w="6960" w:type="dxa"/>
            <w:vAlign w:val="bottom"/>
          </w:tcPr>
          <w:p>
            <w:pPr>
              <w:jc w:val="center"/>
              <w:ind w:right="1286"/>
              <w:spacing w:after="0"/>
              <w:rPr>
                <w:sz w:val="20"/>
                <w:szCs w:val="20"/>
                <w:color w:val="auto"/>
              </w:rPr>
            </w:pPr>
            <w:r>
              <w:rPr>
                <w:rFonts w:ascii="Courier New" w:cs="Courier New" w:eastAsia="Courier New" w:hAnsi="Courier New"/>
                <w:sz w:val="15"/>
                <w:szCs w:val="15"/>
                <w:color w:val="auto"/>
                <w:w w:val="98"/>
              </w:rPr>
              <w:t>MICRON TECHNOLOGY, INC.</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00" w:type="dxa"/>
            <w:vAlign w:val="bottom"/>
          </w:tcPr>
          <w:p>
            <w:pPr>
              <w:spacing w:after="0"/>
              <w:rPr>
                <w:sz w:val="22"/>
                <w:szCs w:val="22"/>
                <w:color w:val="auto"/>
              </w:rPr>
            </w:pPr>
          </w:p>
        </w:tc>
        <w:tc>
          <w:tcPr>
            <w:tcW w:w="6960" w:type="dxa"/>
            <w:vAlign w:val="bottom"/>
          </w:tcPr>
          <w:p>
            <w:pPr>
              <w:jc w:val="center"/>
              <w:ind w:right="1286"/>
              <w:spacing w:after="0"/>
              <w:rPr>
                <w:sz w:val="20"/>
                <w:szCs w:val="20"/>
                <w:color w:val="auto"/>
              </w:rPr>
            </w:pPr>
            <w:r>
              <w:rPr>
                <w:rFonts w:ascii="Courier New" w:cs="Courier New" w:eastAsia="Courier New" w:hAnsi="Courier New"/>
                <w:sz w:val="15"/>
                <w:szCs w:val="15"/>
                <w:color w:val="auto"/>
                <w:w w:val="98"/>
              </w:rPr>
              <w:t>Consolidated Balance Sheets</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700" w:type="dxa"/>
            <w:vAlign w:val="bottom"/>
          </w:tcPr>
          <w:p>
            <w:pPr>
              <w:spacing w:after="0"/>
              <w:rPr>
                <w:sz w:val="21"/>
                <w:szCs w:val="21"/>
                <w:color w:val="auto"/>
              </w:rPr>
            </w:pPr>
          </w:p>
        </w:tc>
        <w:tc>
          <w:tcPr>
            <w:tcW w:w="6960" w:type="dxa"/>
            <w:vAlign w:val="bottom"/>
          </w:tcPr>
          <w:p>
            <w:pPr>
              <w:jc w:val="center"/>
              <w:ind w:right="1306"/>
              <w:spacing w:after="0"/>
              <w:rPr>
                <w:sz w:val="20"/>
                <w:szCs w:val="20"/>
                <w:color w:val="auto"/>
              </w:rPr>
            </w:pPr>
            <w:r>
              <w:rPr>
                <w:rFonts w:ascii="Courier New" w:cs="Courier New" w:eastAsia="Courier New" w:hAnsi="Courier New"/>
                <w:sz w:val="15"/>
                <w:szCs w:val="15"/>
                <w:color w:val="auto"/>
                <w:w w:val="98"/>
              </w:rPr>
              <w:t>(Dollars in millions, except for par value)</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700" w:type="dxa"/>
            <w:vAlign w:val="bottom"/>
            <w:vMerge w:val="restart"/>
          </w:tcPr>
          <w:p>
            <w:pPr>
              <w:spacing w:after="0"/>
              <w:rPr>
                <w:sz w:val="20"/>
                <w:szCs w:val="20"/>
                <w:color w:val="auto"/>
              </w:rPr>
            </w:pPr>
            <w:r>
              <w:rPr>
                <w:rFonts w:ascii="Courier New" w:cs="Courier New" w:eastAsia="Courier New" w:hAnsi="Courier New"/>
                <w:sz w:val="15"/>
                <w:szCs w:val="15"/>
                <w:color w:val="auto"/>
              </w:rPr>
              <w:t>As of</w:t>
            </w:r>
          </w:p>
        </w:tc>
        <w:tc>
          <w:tcPr>
            <w:tcW w:w="6960" w:type="dxa"/>
            <w:vAlign w:val="bottom"/>
          </w:tcPr>
          <w:p>
            <w:pPr>
              <w:jc w:val="center"/>
              <w:ind w:left="5566"/>
              <w:spacing w:after="0"/>
              <w:rPr>
                <w:sz w:val="20"/>
                <w:szCs w:val="20"/>
                <w:color w:val="auto"/>
              </w:rPr>
            </w:pPr>
            <w:r>
              <w:rPr>
                <w:rFonts w:ascii="Courier New" w:cs="Courier New" w:eastAsia="Courier New" w:hAnsi="Courier New"/>
                <w:sz w:val="15"/>
                <w:szCs w:val="15"/>
                <w:color w:val="auto"/>
                <w:w w:val="99"/>
              </w:rPr>
              <w:t>March 2,</w:t>
            </w:r>
          </w:p>
        </w:tc>
        <w:tc>
          <w:tcPr>
            <w:tcW w:w="138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September 2,</w:t>
            </w:r>
          </w:p>
        </w:tc>
        <w:tc>
          <w:tcPr>
            <w:tcW w:w="0" w:type="dxa"/>
            <w:vAlign w:val="bottom"/>
          </w:tcPr>
          <w:p>
            <w:pPr>
              <w:spacing w:after="0"/>
              <w:rPr>
                <w:sz w:val="1"/>
                <w:szCs w:val="1"/>
                <w:color w:val="auto"/>
              </w:rPr>
            </w:pPr>
          </w:p>
        </w:tc>
      </w:tr>
      <w:tr>
        <w:trPr>
          <w:trHeight w:val="197"/>
        </w:trPr>
        <w:tc>
          <w:tcPr>
            <w:tcW w:w="700" w:type="dxa"/>
            <w:vAlign w:val="bottom"/>
            <w:vMerge w:val="continue"/>
          </w:tcPr>
          <w:p>
            <w:pPr>
              <w:spacing w:after="0"/>
              <w:rPr>
                <w:sz w:val="17"/>
                <w:szCs w:val="17"/>
                <w:color w:val="auto"/>
              </w:rPr>
            </w:pPr>
          </w:p>
        </w:tc>
        <w:tc>
          <w:tcPr>
            <w:tcW w:w="69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2000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bl>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64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spacing w:after="0" w:line="145"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Cash and equivalents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429.9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294.6</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Liquid investments</w:t>
            </w:r>
          </w:p>
        </w:tc>
        <w:tc>
          <w:tcPr>
            <w:tcW w:w="4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1,248.5</w:t>
            </w:r>
          </w:p>
        </w:tc>
        <w:tc>
          <w:tcPr>
            <w:tcW w:w="5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1,318.9</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Receivables</w:t>
            </w:r>
          </w:p>
        </w:tc>
        <w:tc>
          <w:tcPr>
            <w:tcW w:w="4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875.8</w:t>
            </w:r>
          </w:p>
        </w:tc>
        <w:tc>
          <w:tcPr>
            <w:tcW w:w="5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692.6</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4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690.1</w:t>
            </w:r>
          </w:p>
        </w:tc>
        <w:tc>
          <w:tcPr>
            <w:tcW w:w="5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365.7</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4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26.3</w:t>
            </w:r>
          </w:p>
        </w:tc>
        <w:tc>
          <w:tcPr>
            <w:tcW w:w="5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38.3</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4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89.8</w:t>
            </w:r>
          </w:p>
        </w:tc>
        <w:tc>
          <w:tcPr>
            <w:tcW w:w="5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119.9</w:t>
            </w:r>
          </w:p>
        </w:tc>
        <w:tc>
          <w:tcPr>
            <w:tcW w:w="0" w:type="dxa"/>
            <w:vAlign w:val="bottom"/>
          </w:tcPr>
          <w:p>
            <w:pPr>
              <w:spacing w:after="0"/>
              <w:rPr>
                <w:sz w:val="1"/>
                <w:szCs w:val="1"/>
                <w:color w:val="auto"/>
              </w:rPr>
            </w:pPr>
          </w:p>
        </w:tc>
      </w:tr>
      <w:tr>
        <w:trPr>
          <w:trHeight w:val="171"/>
        </w:trPr>
        <w:tc>
          <w:tcPr>
            <w:tcW w:w="64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64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3,360.4</w:t>
            </w:r>
          </w:p>
        </w:tc>
        <w:tc>
          <w:tcPr>
            <w:tcW w:w="540" w:type="dxa"/>
            <w:vAlign w:val="bottom"/>
          </w:tcPr>
          <w:p>
            <w:pPr>
              <w:spacing w:after="0"/>
              <w:rPr>
                <w:sz w:val="21"/>
                <w:szCs w:val="21"/>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2,830.0</w:t>
            </w: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0"/>
                <w:szCs w:val="20"/>
                <w:color w:val="auto"/>
              </w:rPr>
            </w:pPr>
            <w:r>
              <w:rPr>
                <w:rFonts w:ascii="Courier New" w:cs="Courier New" w:eastAsia="Courier New" w:hAnsi="Courier New"/>
                <w:sz w:val="15"/>
                <w:szCs w:val="15"/>
                <w:color w:val="auto"/>
              </w:rPr>
              <w:t>Product and process technology, net</w:t>
            </w:r>
          </w:p>
        </w:tc>
        <w:tc>
          <w:tcPr>
            <w:tcW w:w="400" w:type="dxa"/>
            <w:vAlign w:val="bottom"/>
          </w:tcPr>
          <w:p>
            <w:pPr>
              <w:spacing w:after="0"/>
              <w:rPr>
                <w:sz w:val="22"/>
                <w:szCs w:val="22"/>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215.8</w:t>
            </w:r>
          </w:p>
        </w:tc>
        <w:tc>
          <w:tcPr>
            <w:tcW w:w="540" w:type="dxa"/>
            <w:vAlign w:val="bottom"/>
          </w:tcPr>
          <w:p>
            <w:pPr>
              <w:spacing w:after="0"/>
              <w:rPr>
                <w:sz w:val="22"/>
                <w:szCs w:val="22"/>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212.6</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4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3,926.9</w:t>
            </w:r>
          </w:p>
        </w:tc>
        <w:tc>
          <w:tcPr>
            <w:tcW w:w="5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3,799.6</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4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231.7</w:t>
            </w:r>
          </w:p>
        </w:tc>
        <w:tc>
          <w:tcPr>
            <w:tcW w:w="5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123.0</w:t>
            </w:r>
          </w:p>
        </w:tc>
        <w:tc>
          <w:tcPr>
            <w:tcW w:w="0" w:type="dxa"/>
            <w:vAlign w:val="bottom"/>
          </w:tcPr>
          <w:p>
            <w:pPr>
              <w:spacing w:after="0"/>
              <w:rPr>
                <w:sz w:val="1"/>
                <w:szCs w:val="1"/>
                <w:color w:val="auto"/>
              </w:rPr>
            </w:pPr>
          </w:p>
        </w:tc>
      </w:tr>
      <w:tr>
        <w:trPr>
          <w:trHeight w:val="171"/>
        </w:trPr>
        <w:tc>
          <w:tcPr>
            <w:tcW w:w="64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assets</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6420" w:type="dxa"/>
            <w:vAlign w:val="bottom"/>
            <w:vMerge w:val="continue"/>
          </w:tcPr>
          <w:p>
            <w:pPr>
              <w:spacing w:after="0"/>
              <w:rPr>
                <w:sz w:val="14"/>
                <w:szCs w:val="14"/>
                <w:color w:val="auto"/>
              </w:rPr>
            </w:pP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$7,734.8</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$6,965.2</w:t>
            </w:r>
          </w:p>
        </w:tc>
        <w:tc>
          <w:tcPr>
            <w:tcW w:w="0" w:type="dxa"/>
            <w:vAlign w:val="bottom"/>
          </w:tcPr>
          <w:p>
            <w:pPr>
              <w:spacing w:after="0"/>
              <w:rPr>
                <w:sz w:val="1"/>
                <w:szCs w:val="1"/>
                <w:color w:val="auto"/>
              </w:rPr>
            </w:pPr>
          </w:p>
        </w:tc>
      </w:tr>
      <w:tr>
        <w:trPr>
          <w:trHeight w:val="249"/>
        </w:trPr>
        <w:tc>
          <w:tcPr>
            <w:tcW w:w="6420" w:type="dxa"/>
            <w:vAlign w:val="bottom"/>
          </w:tcPr>
          <w:p>
            <w:pPr>
              <w:spacing w:after="0"/>
              <w:rPr>
                <w:sz w:val="21"/>
                <w:szCs w:val="21"/>
                <w:color w:val="auto"/>
              </w:rPr>
            </w:pP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789.8</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705.4</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Accounts payable and accrued expenses</w:t>
            </w:r>
          </w:p>
        </w:tc>
        <w:tc>
          <w:tcPr>
            <w:tcW w:w="4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Deferred income</w:t>
            </w:r>
          </w:p>
        </w:tc>
        <w:tc>
          <w:tcPr>
            <w:tcW w:w="4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37.6</w:t>
            </w:r>
          </w:p>
        </w:tc>
        <w:tc>
          <w:tcPr>
            <w:tcW w:w="5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23.4</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Equipment purchase contracts</w:t>
            </w:r>
          </w:p>
        </w:tc>
        <w:tc>
          <w:tcPr>
            <w:tcW w:w="4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65.9</w:t>
            </w:r>
          </w:p>
        </w:tc>
        <w:tc>
          <w:tcPr>
            <w:tcW w:w="5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81.5</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4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74.2</w:t>
            </w:r>
          </w:p>
        </w:tc>
        <w:tc>
          <w:tcPr>
            <w:tcW w:w="5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111.7</w:t>
            </w:r>
          </w:p>
        </w:tc>
        <w:tc>
          <w:tcPr>
            <w:tcW w:w="0" w:type="dxa"/>
            <w:vAlign w:val="bottom"/>
          </w:tcPr>
          <w:p>
            <w:pPr>
              <w:spacing w:after="0"/>
              <w:rPr>
                <w:sz w:val="1"/>
                <w:szCs w:val="1"/>
                <w:color w:val="auto"/>
              </w:rPr>
            </w:pPr>
          </w:p>
        </w:tc>
      </w:tr>
      <w:tr>
        <w:trPr>
          <w:trHeight w:val="171"/>
        </w:trPr>
        <w:tc>
          <w:tcPr>
            <w:tcW w:w="64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current liabilities</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64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967.5</w:t>
            </w:r>
          </w:p>
        </w:tc>
        <w:tc>
          <w:tcPr>
            <w:tcW w:w="540" w:type="dxa"/>
            <w:vAlign w:val="bottom"/>
          </w:tcPr>
          <w:p>
            <w:pPr>
              <w:spacing w:after="0"/>
              <w:rPr>
                <w:sz w:val="21"/>
                <w:szCs w:val="21"/>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922.0</w:t>
            </w: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400" w:type="dxa"/>
            <w:vAlign w:val="bottom"/>
          </w:tcPr>
          <w:p>
            <w:pPr>
              <w:spacing w:after="0"/>
              <w:rPr>
                <w:sz w:val="22"/>
                <w:szCs w:val="22"/>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1,464.5</w:t>
            </w:r>
          </w:p>
        </w:tc>
        <w:tc>
          <w:tcPr>
            <w:tcW w:w="540" w:type="dxa"/>
            <w:vAlign w:val="bottom"/>
          </w:tcPr>
          <w:p>
            <w:pPr>
              <w:spacing w:after="0"/>
              <w:rPr>
                <w:sz w:val="22"/>
                <w:szCs w:val="22"/>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1,527.5</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4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310.9</w:t>
            </w:r>
          </w:p>
        </w:tc>
        <w:tc>
          <w:tcPr>
            <w:tcW w:w="5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309.1</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4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72.3</w:t>
            </w:r>
          </w:p>
        </w:tc>
        <w:tc>
          <w:tcPr>
            <w:tcW w:w="5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74.2</w:t>
            </w:r>
          </w:p>
        </w:tc>
        <w:tc>
          <w:tcPr>
            <w:tcW w:w="0" w:type="dxa"/>
            <w:vAlign w:val="bottom"/>
          </w:tcPr>
          <w:p>
            <w:pPr>
              <w:spacing w:after="0"/>
              <w:rPr>
                <w:sz w:val="1"/>
                <w:szCs w:val="1"/>
                <w:color w:val="auto"/>
              </w:rPr>
            </w:pPr>
          </w:p>
        </w:tc>
      </w:tr>
      <w:tr>
        <w:trPr>
          <w:trHeight w:val="171"/>
        </w:trPr>
        <w:tc>
          <w:tcPr>
            <w:tcW w:w="64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Total liabilities</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6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2,815.2</w:t>
            </w:r>
          </w:p>
        </w:tc>
        <w:tc>
          <w:tcPr>
            <w:tcW w:w="5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2,832.8</w:t>
            </w:r>
          </w:p>
        </w:tc>
        <w:tc>
          <w:tcPr>
            <w:tcW w:w="0" w:type="dxa"/>
            <w:vAlign w:val="bottom"/>
          </w:tcPr>
          <w:p>
            <w:pPr>
              <w:spacing w:after="0"/>
              <w:rPr>
                <w:sz w:val="1"/>
                <w:szCs w:val="1"/>
                <w:color w:val="auto"/>
              </w:rPr>
            </w:pPr>
          </w:p>
        </w:tc>
      </w:tr>
      <w:tr>
        <w:trPr>
          <w:trHeight w:val="249"/>
        </w:trPr>
        <w:tc>
          <w:tcPr>
            <w:tcW w:w="6420" w:type="dxa"/>
            <w:vAlign w:val="bottom"/>
          </w:tcPr>
          <w:p>
            <w:pPr>
              <w:spacing w:after="0"/>
              <w:rPr>
                <w:sz w:val="21"/>
                <w:szCs w:val="21"/>
                <w:color w:val="auto"/>
              </w:rPr>
            </w:pP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1"/>
        </w:trPr>
        <w:tc>
          <w:tcPr>
            <w:tcW w:w="64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420" w:type="dxa"/>
            <w:vAlign w:val="bottom"/>
          </w:tcPr>
          <w:p>
            <w:pPr>
              <w:spacing w:after="0"/>
              <w:rPr>
                <w:sz w:val="20"/>
                <w:szCs w:val="20"/>
                <w:color w:val="auto"/>
              </w:rPr>
            </w:pPr>
            <w:r>
              <w:rPr>
                <w:rFonts w:ascii="Courier New" w:cs="Courier New" w:eastAsia="Courier New" w:hAnsi="Courier New"/>
                <w:sz w:val="15"/>
                <w:szCs w:val="15"/>
                <w:color w:val="auto"/>
              </w:rPr>
              <w:t>Minority interests</w:t>
            </w:r>
          </w:p>
        </w:tc>
        <w:tc>
          <w:tcPr>
            <w:tcW w:w="400" w:type="dxa"/>
            <w:vAlign w:val="bottom"/>
          </w:tcPr>
          <w:p>
            <w:pPr>
              <w:spacing w:after="0"/>
              <w:rPr>
                <w:sz w:val="24"/>
                <w:szCs w:val="2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186.0</w:t>
            </w:r>
          </w:p>
        </w:tc>
        <w:tc>
          <w:tcPr>
            <w:tcW w:w="54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168.3</w:t>
            </w: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0"/>
                <w:szCs w:val="20"/>
                <w:color w:val="auto"/>
              </w:rPr>
            </w:pPr>
            <w:r>
              <w:rPr>
                <w:rFonts w:ascii="Courier New" w:cs="Courier New" w:eastAsia="Courier New" w:hAnsi="Courier New"/>
                <w:sz w:val="15"/>
                <w:szCs w:val="15"/>
                <w:color w:val="auto"/>
              </w:rPr>
              <w:t>Common Stock, $0.10 par value, authorized 1.0 billion shares, issued</w:t>
            </w:r>
          </w:p>
        </w:tc>
        <w:tc>
          <w:tcPr>
            <w:tcW w:w="400" w:type="dxa"/>
            <w:vAlign w:val="bottom"/>
          </w:tcPr>
          <w:p>
            <w:pPr>
              <w:spacing w:after="0"/>
              <w:rPr>
                <w:sz w:val="22"/>
                <w:szCs w:val="22"/>
                <w:color w:val="auto"/>
              </w:rPr>
            </w:pPr>
          </w:p>
        </w:tc>
        <w:tc>
          <w:tcPr>
            <w:tcW w:w="106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25.7</w:t>
            </w:r>
          </w:p>
        </w:tc>
        <w:tc>
          <w:tcPr>
            <w:tcW w:w="540" w:type="dxa"/>
            <w:vAlign w:val="bottom"/>
          </w:tcPr>
          <w:p>
            <w:pPr>
              <w:spacing w:after="0"/>
              <w:rPr>
                <w:sz w:val="22"/>
                <w:szCs w:val="22"/>
                <w:color w:val="auto"/>
              </w:rPr>
            </w:pP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25.2</w:t>
            </w:r>
          </w:p>
        </w:tc>
        <w:tc>
          <w:tcPr>
            <w:tcW w:w="0" w:type="dxa"/>
            <w:vAlign w:val="bottom"/>
          </w:tcPr>
          <w:p>
            <w:pPr>
              <w:spacing w:after="0"/>
              <w:rPr>
                <w:sz w:val="1"/>
                <w:szCs w:val="1"/>
                <w:color w:val="auto"/>
              </w:rPr>
            </w:pPr>
          </w:p>
        </w:tc>
      </w:tr>
      <w:tr>
        <w:trPr>
          <w:trHeight w:val="249"/>
        </w:trPr>
        <w:tc>
          <w:tcPr>
            <w:tcW w:w="6420" w:type="dxa"/>
            <w:vAlign w:val="bottom"/>
          </w:tcPr>
          <w:p>
            <w:pPr>
              <w:ind w:left="80"/>
              <w:spacing w:after="0"/>
              <w:rPr>
                <w:sz w:val="20"/>
                <w:szCs w:val="20"/>
                <w:color w:val="auto"/>
              </w:rPr>
            </w:pPr>
            <w:r>
              <w:rPr>
                <w:rFonts w:ascii="Courier New" w:cs="Courier New" w:eastAsia="Courier New" w:hAnsi="Courier New"/>
                <w:sz w:val="15"/>
                <w:szCs w:val="15"/>
                <w:color w:val="auto"/>
              </w:rPr>
              <w:t>and outstanding 256.9 million and 252.2 million shares, respectively</w:t>
            </w:r>
          </w:p>
        </w:tc>
        <w:tc>
          <w:tcPr>
            <w:tcW w:w="4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0"/>
                <w:szCs w:val="20"/>
                <w:color w:val="auto"/>
              </w:rPr>
            </w:pPr>
            <w:r>
              <w:rPr>
                <w:rFonts w:ascii="Courier New" w:cs="Courier New" w:eastAsia="Courier New" w:hAnsi="Courier New"/>
                <w:sz w:val="15"/>
                <w:szCs w:val="15"/>
                <w:color w:val="auto"/>
              </w:rPr>
              <w:t>Class A Common Stock, $0.10 par value, authorized 32 million shares,</w:t>
            </w:r>
          </w:p>
        </w:tc>
        <w:tc>
          <w:tcPr>
            <w:tcW w:w="400" w:type="dxa"/>
            <w:vAlign w:val="bottom"/>
          </w:tcPr>
          <w:p>
            <w:pPr>
              <w:spacing w:after="0"/>
              <w:rPr>
                <w:sz w:val="22"/>
                <w:szCs w:val="22"/>
                <w:color w:val="auto"/>
              </w:rPr>
            </w:pPr>
          </w:p>
        </w:tc>
        <w:tc>
          <w:tcPr>
            <w:tcW w:w="106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1.6</w:t>
            </w:r>
          </w:p>
        </w:tc>
        <w:tc>
          <w:tcPr>
            <w:tcW w:w="540" w:type="dxa"/>
            <w:vAlign w:val="bottom"/>
          </w:tcPr>
          <w:p>
            <w:pPr>
              <w:spacing w:after="0"/>
              <w:rPr>
                <w:sz w:val="22"/>
                <w:szCs w:val="22"/>
                <w:color w:val="auto"/>
              </w:rPr>
            </w:pP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249"/>
        </w:trPr>
        <w:tc>
          <w:tcPr>
            <w:tcW w:w="6420" w:type="dxa"/>
            <w:vAlign w:val="bottom"/>
          </w:tcPr>
          <w:p>
            <w:pPr>
              <w:ind w:left="80"/>
              <w:spacing w:after="0"/>
              <w:rPr>
                <w:sz w:val="20"/>
                <w:szCs w:val="20"/>
                <w:color w:val="auto"/>
              </w:rPr>
            </w:pPr>
            <w:r>
              <w:rPr>
                <w:rFonts w:ascii="Courier New" w:cs="Courier New" w:eastAsia="Courier New" w:hAnsi="Courier New"/>
                <w:sz w:val="15"/>
                <w:szCs w:val="15"/>
                <w:color w:val="auto"/>
              </w:rPr>
              <w:t>issued and outstanding 15.8 million shares</w:t>
            </w:r>
          </w:p>
        </w:tc>
        <w:tc>
          <w:tcPr>
            <w:tcW w:w="4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0"/>
                <w:szCs w:val="20"/>
                <w:color w:val="auto"/>
              </w:rPr>
            </w:pPr>
            <w:r>
              <w:rPr>
                <w:rFonts w:ascii="Courier New" w:cs="Courier New" w:eastAsia="Courier New" w:hAnsi="Courier New"/>
                <w:sz w:val="15"/>
                <w:szCs w:val="15"/>
                <w:color w:val="auto"/>
              </w:rPr>
              <w:t>Additional capital</w:t>
            </w:r>
          </w:p>
        </w:tc>
        <w:tc>
          <w:tcPr>
            <w:tcW w:w="400" w:type="dxa"/>
            <w:vAlign w:val="bottom"/>
          </w:tcPr>
          <w:p>
            <w:pPr>
              <w:spacing w:after="0"/>
              <w:rPr>
                <w:sz w:val="22"/>
                <w:szCs w:val="22"/>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2,120.8</w:t>
            </w:r>
          </w:p>
        </w:tc>
        <w:tc>
          <w:tcPr>
            <w:tcW w:w="540" w:type="dxa"/>
            <w:vAlign w:val="bottom"/>
          </w:tcPr>
          <w:p>
            <w:pPr>
              <w:spacing w:after="0"/>
              <w:rPr>
                <w:sz w:val="22"/>
                <w:szCs w:val="22"/>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1,894.0</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4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2,548.1</w:t>
            </w:r>
          </w:p>
        </w:tc>
        <w:tc>
          <w:tcPr>
            <w:tcW w:w="5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2,045.4</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4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37.4</w:t>
            </w:r>
          </w:p>
        </w:tc>
        <w:tc>
          <w:tcPr>
            <w:tcW w:w="5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71"/>
        </w:trPr>
        <w:tc>
          <w:tcPr>
            <w:tcW w:w="64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Total shareholders' equity</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6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4,733.6</w:t>
            </w:r>
          </w:p>
        </w:tc>
        <w:tc>
          <w:tcPr>
            <w:tcW w:w="5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3,964.1</w:t>
            </w:r>
          </w:p>
        </w:tc>
        <w:tc>
          <w:tcPr>
            <w:tcW w:w="0" w:type="dxa"/>
            <w:vAlign w:val="bottom"/>
          </w:tcPr>
          <w:p>
            <w:pPr>
              <w:spacing w:after="0"/>
              <w:rPr>
                <w:sz w:val="1"/>
                <w:szCs w:val="1"/>
                <w:color w:val="auto"/>
              </w:rPr>
            </w:pPr>
          </w:p>
        </w:tc>
      </w:tr>
      <w:tr>
        <w:trPr>
          <w:trHeight w:val="171"/>
        </w:trPr>
        <w:tc>
          <w:tcPr>
            <w:tcW w:w="64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6420" w:type="dxa"/>
            <w:vAlign w:val="bottom"/>
            <w:vMerge w:val="continue"/>
          </w:tcPr>
          <w:p>
            <w:pPr>
              <w:spacing w:after="0"/>
              <w:rPr>
                <w:sz w:val="14"/>
                <w:szCs w:val="14"/>
                <w:color w:val="auto"/>
              </w:rPr>
            </w:pP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$7,734.8</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$6,965.2</w:t>
            </w:r>
          </w:p>
        </w:tc>
        <w:tc>
          <w:tcPr>
            <w:tcW w:w="0" w:type="dxa"/>
            <w:vAlign w:val="bottom"/>
          </w:tcPr>
          <w:p>
            <w:pPr>
              <w:spacing w:after="0"/>
              <w:rPr>
                <w:sz w:val="1"/>
                <w:szCs w:val="1"/>
                <w:color w:val="auto"/>
              </w:rPr>
            </w:pPr>
          </w:p>
        </w:tc>
      </w:tr>
      <w:tr>
        <w:trPr>
          <w:trHeight w:val="249"/>
        </w:trPr>
        <w:tc>
          <w:tcPr>
            <w:tcW w:w="6420" w:type="dxa"/>
            <w:vAlign w:val="bottom"/>
          </w:tcPr>
          <w:p>
            <w:pPr>
              <w:spacing w:after="0"/>
              <w:rPr>
                <w:sz w:val="21"/>
                <w:szCs w:val="21"/>
                <w:color w:val="auto"/>
              </w:rPr>
            </w:pP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605" w:right="1440" w:bottom="1440" w:gutter="0" w:footer="0" w:header="0"/>
        </w:sectPr>
      </w:pPr>
    </w:p>
    <w:bookmarkStart w:id="2" w:name="page3"/>
    <w:bookmarkEnd w:id="2"/>
    <w:p>
      <w:pPr>
        <w:jc w:val="center"/>
        <w:ind w:right="3219"/>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(Dollars in millions, except for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440" w:type="dxa"/>
            <w:vAlign w:val="bottom"/>
          </w:tcPr>
          <w:p>
            <w:pPr>
              <w:spacing w:after="0"/>
              <w:rPr>
                <w:sz w:val="21"/>
                <w:szCs w:val="21"/>
                <w:color w:val="auto"/>
              </w:rPr>
            </w:pPr>
          </w:p>
        </w:tc>
        <w:tc>
          <w:tcPr>
            <w:tcW w:w="4780" w:type="dxa"/>
            <w:vAlign w:val="bottom"/>
          </w:tcPr>
          <w:p>
            <w:pPr>
              <w:ind w:left="560"/>
              <w:spacing w:after="0"/>
              <w:rPr>
                <w:sz w:val="20"/>
                <w:szCs w:val="20"/>
                <w:color w:val="auto"/>
              </w:rPr>
            </w:pPr>
            <w:r>
              <w:rPr>
                <w:rFonts w:ascii="Courier New" w:cs="Courier New" w:eastAsia="Courier New" w:hAnsi="Courier New"/>
                <w:sz w:val="15"/>
                <w:szCs w:val="15"/>
                <w:color w:val="auto"/>
              </w:rPr>
              <w:t>(Unaudited)</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8"/>
        </w:trPr>
        <w:tc>
          <w:tcPr>
            <w:tcW w:w="2440" w:type="dxa"/>
            <w:vAlign w:val="bottom"/>
            <w:vMerge w:val="restart"/>
          </w:tcPr>
          <w:p>
            <w:pPr>
              <w:spacing w:after="0"/>
              <w:rPr>
                <w:sz w:val="20"/>
                <w:szCs w:val="20"/>
                <w:color w:val="auto"/>
              </w:rPr>
            </w:pPr>
            <w:r>
              <w:rPr>
                <w:rFonts w:ascii="Courier New" w:cs="Courier New" w:eastAsia="Courier New" w:hAnsi="Courier New"/>
                <w:sz w:val="15"/>
                <w:szCs w:val="15"/>
                <w:color w:val="auto"/>
              </w:rPr>
              <w:t>For the quarter ended</w:t>
            </w:r>
          </w:p>
        </w:tc>
        <w:tc>
          <w:tcPr>
            <w:tcW w:w="4780" w:type="dxa"/>
            <w:vAlign w:val="bottom"/>
          </w:tcPr>
          <w:p>
            <w:pPr>
              <w:jc w:val="center"/>
              <w:ind w:left="3566"/>
              <w:spacing w:after="0"/>
              <w:rPr>
                <w:sz w:val="20"/>
                <w:szCs w:val="20"/>
                <w:color w:val="auto"/>
              </w:rPr>
            </w:pPr>
            <w:r>
              <w:rPr>
                <w:rFonts w:ascii="Courier New" w:cs="Courier New" w:eastAsia="Courier New" w:hAnsi="Courier New"/>
                <w:sz w:val="15"/>
                <w:szCs w:val="15"/>
                <w:color w:val="auto"/>
                <w:w w:val="97"/>
              </w:rPr>
              <w:t>March 2,</w:t>
            </w:r>
          </w:p>
        </w:tc>
        <w:tc>
          <w:tcPr>
            <w:tcW w:w="9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9"/>
              </w:rPr>
              <w:t>March 4,</w:t>
            </w:r>
          </w:p>
        </w:tc>
        <w:tc>
          <w:tcPr>
            <w:tcW w:w="0" w:type="dxa"/>
            <w:vAlign w:val="bottom"/>
          </w:tcPr>
          <w:p>
            <w:pPr>
              <w:spacing w:after="0"/>
              <w:rPr>
                <w:sz w:val="1"/>
                <w:szCs w:val="1"/>
                <w:color w:val="auto"/>
              </w:rPr>
            </w:pPr>
          </w:p>
        </w:tc>
      </w:tr>
      <w:tr>
        <w:trPr>
          <w:trHeight w:val="197"/>
        </w:trPr>
        <w:tc>
          <w:tcPr>
            <w:tcW w:w="2440" w:type="dxa"/>
            <w:vAlign w:val="bottom"/>
            <w:vMerge w:val="continue"/>
          </w:tcPr>
          <w:p>
            <w:pPr>
              <w:spacing w:after="0"/>
              <w:rPr>
                <w:sz w:val="17"/>
                <w:szCs w:val="17"/>
                <w:color w:val="auto"/>
              </w:rPr>
            </w:pPr>
          </w:p>
        </w:tc>
        <w:tc>
          <w:tcPr>
            <w:tcW w:w="47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2000</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9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$1,392.5</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$1,025.8</w:t>
            </w:r>
          </w:p>
        </w:tc>
        <w:tc>
          <w:tcPr>
            <w:tcW w:w="0" w:type="dxa"/>
            <w:vAlign w:val="bottom"/>
          </w:tcPr>
          <w:p>
            <w:pPr>
              <w:spacing w:after="0"/>
              <w:rPr>
                <w:sz w:val="1"/>
                <w:szCs w:val="1"/>
                <w:color w:val="auto"/>
              </w:rPr>
            </w:pPr>
          </w:p>
        </w:tc>
      </w:tr>
      <w:tr>
        <w:trPr>
          <w:trHeight w:val="249"/>
        </w:trPr>
        <w:tc>
          <w:tcPr>
            <w:tcW w:w="5320" w:type="dxa"/>
            <w:vAlign w:val="bottom"/>
            <w:vMerge w:val="restart"/>
          </w:tcPr>
          <w:p>
            <w:pPr>
              <w:spacing w:after="0"/>
              <w:rPr>
                <w:sz w:val="20"/>
                <w:szCs w:val="20"/>
                <w:color w:val="auto"/>
              </w:rPr>
            </w:pPr>
            <w:r>
              <w:rPr>
                <w:rFonts w:ascii="Courier New" w:cs="Courier New" w:eastAsia="Courier New" w:hAnsi="Courier New"/>
                <w:sz w:val="15"/>
                <w:szCs w:val="15"/>
                <w:color w:val="auto"/>
              </w:rPr>
              <w:t>Costs and expenses:</w:t>
            </w:r>
          </w:p>
        </w:tc>
        <w:tc>
          <w:tcPr>
            <w:tcW w:w="19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32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8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881.4</w:t>
            </w:r>
          </w:p>
        </w:tc>
        <w:tc>
          <w:tcPr>
            <w:tcW w:w="360" w:type="dxa"/>
            <w:vAlign w:val="bottom"/>
          </w:tcPr>
          <w:p>
            <w:pPr>
              <w:spacing w:after="0"/>
              <w:rPr>
                <w:sz w:val="8"/>
                <w:szCs w:val="8"/>
                <w:color w:val="auto"/>
              </w:rPr>
            </w:pPr>
          </w:p>
        </w:tc>
        <w:tc>
          <w:tcPr>
            <w:tcW w:w="62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745.1</w:t>
            </w:r>
          </w:p>
        </w:tc>
        <w:tc>
          <w:tcPr>
            <w:tcW w:w="0" w:type="dxa"/>
            <w:vAlign w:val="bottom"/>
          </w:tcPr>
          <w:p>
            <w:pPr>
              <w:spacing w:after="0"/>
              <w:rPr>
                <w:sz w:val="1"/>
                <w:szCs w:val="1"/>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Cost of goods sold</w:t>
            </w:r>
          </w:p>
        </w:tc>
        <w:tc>
          <w:tcPr>
            <w:tcW w:w="10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10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142.7</w:t>
            </w:r>
          </w:p>
        </w:tc>
        <w:tc>
          <w:tcPr>
            <w:tcW w:w="3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125.5</w:t>
            </w:r>
          </w:p>
        </w:tc>
        <w:tc>
          <w:tcPr>
            <w:tcW w:w="0" w:type="dxa"/>
            <w:vAlign w:val="bottom"/>
          </w:tcPr>
          <w:p>
            <w:pPr>
              <w:spacing w:after="0"/>
              <w:rPr>
                <w:sz w:val="1"/>
                <w:szCs w:val="1"/>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10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103.5</w:t>
            </w:r>
          </w:p>
        </w:tc>
        <w:tc>
          <w:tcPr>
            <w:tcW w:w="3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85.5</w:t>
            </w:r>
          </w:p>
        </w:tc>
        <w:tc>
          <w:tcPr>
            <w:tcW w:w="0" w:type="dxa"/>
            <w:vAlign w:val="bottom"/>
          </w:tcPr>
          <w:p>
            <w:pPr>
              <w:spacing w:after="0"/>
              <w:rPr>
                <w:sz w:val="1"/>
                <w:szCs w:val="1"/>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Other operating expense, net</w:t>
            </w:r>
          </w:p>
        </w:tc>
        <w:tc>
          <w:tcPr>
            <w:tcW w:w="10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10.5</w:t>
            </w:r>
          </w:p>
        </w:tc>
        <w:tc>
          <w:tcPr>
            <w:tcW w:w="3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18.4</w:t>
            </w:r>
          </w:p>
        </w:tc>
        <w:tc>
          <w:tcPr>
            <w:tcW w:w="0" w:type="dxa"/>
            <w:vAlign w:val="bottom"/>
          </w:tcPr>
          <w:p>
            <w:pPr>
              <w:spacing w:after="0"/>
              <w:rPr>
                <w:sz w:val="1"/>
                <w:szCs w:val="1"/>
                <w:color w:val="auto"/>
              </w:rPr>
            </w:pPr>
          </w:p>
        </w:tc>
      </w:tr>
      <w:tr>
        <w:trPr>
          <w:trHeight w:val="171"/>
        </w:trPr>
        <w:tc>
          <w:tcPr>
            <w:tcW w:w="532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Total costs and expenses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w w:val="95"/>
              </w:rPr>
              <w:t>1,138.1</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32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974.5</w:t>
            </w:r>
          </w:p>
        </w:tc>
        <w:tc>
          <w:tcPr>
            <w:tcW w:w="0" w:type="dxa"/>
            <w:vAlign w:val="bottom"/>
          </w:tcPr>
          <w:p>
            <w:pPr>
              <w:spacing w:after="0"/>
              <w:rPr>
                <w:sz w:val="1"/>
                <w:szCs w:val="1"/>
                <w:color w:val="auto"/>
              </w:rPr>
            </w:pPr>
          </w:p>
        </w:tc>
      </w:tr>
      <w:tr>
        <w:trPr>
          <w:trHeight w:val="249"/>
        </w:trPr>
        <w:tc>
          <w:tcPr>
            <w:tcW w:w="5320" w:type="dxa"/>
            <w:vAlign w:val="bottom"/>
          </w:tcPr>
          <w:p>
            <w:pPr>
              <w:spacing w:after="0"/>
              <w:rPr>
                <w:sz w:val="21"/>
                <w:szCs w:val="21"/>
                <w:color w:val="auto"/>
              </w:rPr>
            </w:pPr>
          </w:p>
        </w:tc>
        <w:tc>
          <w:tcPr>
            <w:tcW w:w="19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3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60" w:type="dxa"/>
            <w:vAlign w:val="bottom"/>
          </w:tcPr>
          <w:p>
            <w:pPr>
              <w:spacing w:after="0"/>
              <w:rPr>
                <w:sz w:val="22"/>
                <w:szCs w:val="22"/>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254.4</w:t>
            </w:r>
          </w:p>
        </w:tc>
        <w:tc>
          <w:tcPr>
            <w:tcW w:w="360" w:type="dxa"/>
            <w:vAlign w:val="bottom"/>
          </w:tcPr>
          <w:p>
            <w:pPr>
              <w:spacing w:after="0"/>
              <w:rPr>
                <w:sz w:val="22"/>
                <w:szCs w:val="22"/>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51.3</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0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26.6</w:t>
            </w:r>
          </w:p>
        </w:tc>
        <w:tc>
          <w:tcPr>
            <w:tcW w:w="3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23.3</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(30.7)</w:t>
            </w:r>
          </w:p>
        </w:tc>
        <w:tc>
          <w:tcPr>
            <w:tcW w:w="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non-operating (loss) income, net</w:t>
            </w:r>
          </w:p>
        </w:tc>
        <w:tc>
          <w:tcPr>
            <w:tcW w:w="10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0.4</w:t>
            </w:r>
          </w:p>
        </w:tc>
        <w:tc>
          <w:tcPr>
            <w:tcW w:w="0" w:type="dxa"/>
            <w:vAlign w:val="bottom"/>
          </w:tcPr>
          <w:p>
            <w:pPr>
              <w:spacing w:after="0"/>
              <w:rPr>
                <w:sz w:val="1"/>
                <w:szCs w:val="1"/>
                <w:color w:val="auto"/>
              </w:rPr>
            </w:pPr>
          </w:p>
        </w:tc>
      </w:tr>
      <w:tr>
        <w:trPr>
          <w:trHeight w:val="171"/>
        </w:trPr>
        <w:tc>
          <w:tcPr>
            <w:tcW w:w="532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 and minority interests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250.0</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5320" w:type="dxa"/>
            <w:vAlign w:val="bottom"/>
            <w:vMerge w:val="continue"/>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40.0</w:t>
            </w:r>
          </w:p>
        </w:tc>
        <w:tc>
          <w:tcPr>
            <w:tcW w:w="0" w:type="dxa"/>
            <w:vAlign w:val="bottom"/>
          </w:tcPr>
          <w:p>
            <w:pPr>
              <w:spacing w:after="0"/>
              <w:rPr>
                <w:sz w:val="1"/>
                <w:szCs w:val="1"/>
                <w:color w:val="auto"/>
              </w:rPr>
            </w:pP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tax provision</w:t>
            </w:r>
          </w:p>
        </w:tc>
        <w:tc>
          <w:tcPr>
            <w:tcW w:w="1060" w:type="dxa"/>
            <w:vAlign w:val="bottom"/>
          </w:tcPr>
          <w:p>
            <w:pPr>
              <w:spacing w:after="0"/>
              <w:rPr>
                <w:sz w:val="24"/>
                <w:szCs w:val="2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(86.4)</w:t>
            </w: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c>
          <w:tcPr>
            <w:tcW w:w="0" w:type="dxa"/>
            <w:vAlign w:val="bottom"/>
          </w:tcPr>
          <w:p>
            <w:pPr>
              <w:spacing w:after="0"/>
              <w:rPr>
                <w:sz w:val="1"/>
                <w:szCs w:val="1"/>
                <w:color w:val="auto"/>
              </w:rPr>
            </w:pPr>
          </w:p>
        </w:tc>
      </w:tr>
      <w:tr>
        <w:trPr>
          <w:trHeight w:val="263"/>
        </w:trPr>
        <w:tc>
          <w:tcPr>
            <w:tcW w:w="5320" w:type="dxa"/>
            <w:vAlign w:val="bottom"/>
          </w:tcPr>
          <w:p>
            <w:pPr>
              <w:spacing w:after="0"/>
              <w:rPr>
                <w:sz w:val="20"/>
                <w:szCs w:val="20"/>
                <w:color w:val="auto"/>
              </w:rPr>
            </w:pPr>
            <w:r>
              <w:rPr>
                <w:rFonts w:ascii="Courier New" w:cs="Courier New" w:eastAsia="Courier New" w:hAnsi="Courier New"/>
                <w:sz w:val="15"/>
                <w:szCs w:val="15"/>
                <w:color w:val="auto"/>
              </w:rPr>
              <w:t>Minority interests in net income</w:t>
            </w:r>
          </w:p>
        </w:tc>
        <w:tc>
          <w:tcPr>
            <w:tcW w:w="1060" w:type="dxa"/>
            <w:vAlign w:val="bottom"/>
          </w:tcPr>
          <w:p>
            <w:pPr>
              <w:spacing w:after="0"/>
              <w:rPr>
                <w:sz w:val="22"/>
                <w:szCs w:val="22"/>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w:t>
            </w:r>
          </w:p>
        </w:tc>
        <w:tc>
          <w:tcPr>
            <w:tcW w:w="3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1"/>
        </w:trPr>
        <w:tc>
          <w:tcPr>
            <w:tcW w:w="532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vMerge w:val="restart"/>
          </w:tcPr>
          <w:p>
            <w:pPr>
              <w:jc w:val="right"/>
              <w:spacing w:after="0"/>
              <w:rPr>
                <w:sz w:val="20"/>
                <w:szCs w:val="20"/>
                <w:color w:val="auto"/>
              </w:rPr>
            </w:pPr>
            <w:r>
              <w:rPr>
                <w:rFonts w:ascii="Courier New" w:cs="Courier New" w:eastAsia="Courier New" w:hAnsi="Courier New"/>
                <w:sz w:val="29"/>
                <w:szCs w:val="29"/>
                <w:color w:val="auto"/>
                <w:vertAlign w:val="subscript"/>
              </w:rPr>
              <w:t>$</w:t>
            </w:r>
            <w:r>
              <w:rPr>
                <w:rFonts w:ascii="Courier New" w:cs="Courier New" w:eastAsia="Courier New" w:hAnsi="Courier New"/>
                <w:sz w:val="15"/>
                <w:szCs w:val="15"/>
                <w:color w:val="auto"/>
              </w:rPr>
              <w:t>--------</w:t>
            </w:r>
          </w:p>
        </w:tc>
        <w:tc>
          <w:tcPr>
            <w:tcW w:w="8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161.3</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3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22.4</w:t>
            </w:r>
          </w:p>
        </w:tc>
        <w:tc>
          <w:tcPr>
            <w:tcW w:w="0" w:type="dxa"/>
            <w:vAlign w:val="bottom"/>
          </w:tcPr>
          <w:p>
            <w:pPr>
              <w:spacing w:after="0"/>
              <w:rPr>
                <w:sz w:val="1"/>
                <w:szCs w:val="1"/>
                <w:color w:val="auto"/>
              </w:rPr>
            </w:pPr>
          </w:p>
        </w:tc>
      </w:tr>
      <w:tr>
        <w:trPr>
          <w:trHeight w:val="249"/>
        </w:trPr>
        <w:tc>
          <w:tcPr>
            <w:tcW w:w="5320" w:type="dxa"/>
            <w:vAlign w:val="bottom"/>
          </w:tcPr>
          <w:p>
            <w:pPr>
              <w:spacing w:after="0"/>
              <w:rPr>
                <w:sz w:val="21"/>
                <w:szCs w:val="21"/>
                <w:color w:val="auto"/>
              </w:rPr>
            </w:pPr>
          </w:p>
        </w:tc>
        <w:tc>
          <w:tcPr>
            <w:tcW w:w="19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3"/>
        </w:trPr>
        <w:tc>
          <w:tcPr>
            <w:tcW w:w="53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0.60</w:t>
            </w:r>
          </w:p>
        </w:tc>
        <w:tc>
          <w:tcPr>
            <w:tcW w:w="3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0.08</w:t>
            </w:r>
          </w:p>
        </w:tc>
        <w:tc>
          <w:tcPr>
            <w:tcW w:w="0" w:type="dxa"/>
            <w:vAlign w:val="bottom"/>
          </w:tcPr>
          <w:p>
            <w:pPr>
              <w:spacing w:after="0"/>
              <w:rPr>
                <w:sz w:val="1"/>
                <w:szCs w:val="1"/>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10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10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0.58</w:t>
            </w:r>
          </w:p>
        </w:tc>
        <w:tc>
          <w:tcPr>
            <w:tcW w:w="3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0.08</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Number of shares used in per share calculations:</w:t>
            </w:r>
          </w:p>
        </w:tc>
        <w:tc>
          <w:tcPr>
            <w:tcW w:w="1060" w:type="dxa"/>
            <w:vAlign w:val="bottom"/>
          </w:tcPr>
          <w:p>
            <w:pPr>
              <w:spacing w:after="0"/>
              <w:rPr>
                <w:sz w:val="14"/>
                <w:szCs w:val="14"/>
                <w:color w:val="auto"/>
              </w:rPr>
            </w:pPr>
          </w:p>
        </w:tc>
        <w:tc>
          <w:tcPr>
            <w:tcW w:w="8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270.4</w:t>
            </w:r>
          </w:p>
        </w:tc>
        <w:tc>
          <w:tcPr>
            <w:tcW w:w="360" w:type="dxa"/>
            <w:vAlign w:val="bottom"/>
          </w:tcPr>
          <w:p>
            <w:pPr>
              <w:spacing w:after="0"/>
              <w:rPr>
                <w:sz w:val="14"/>
                <w:szCs w:val="14"/>
                <w:color w:val="auto"/>
              </w:rPr>
            </w:pPr>
          </w:p>
        </w:tc>
        <w:tc>
          <w:tcPr>
            <w:tcW w:w="62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264.3</w:t>
            </w:r>
          </w:p>
        </w:tc>
        <w:tc>
          <w:tcPr>
            <w:tcW w:w="0" w:type="dxa"/>
            <w:vAlign w:val="bottom"/>
          </w:tcPr>
          <w:p>
            <w:pPr>
              <w:spacing w:after="0"/>
              <w:rPr>
                <w:sz w:val="1"/>
                <w:szCs w:val="1"/>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10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1060" w:type="dxa"/>
            <w:vAlign w:val="bottom"/>
          </w:tcPr>
          <w:p>
            <w:pPr>
              <w:spacing w:after="0"/>
              <w:rPr>
                <w:sz w:val="21"/>
                <w:szCs w:val="21"/>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278.6</w:t>
            </w:r>
          </w:p>
        </w:tc>
        <w:tc>
          <w:tcPr>
            <w:tcW w:w="360" w:type="dxa"/>
            <w:vAlign w:val="bottom"/>
          </w:tcPr>
          <w:p>
            <w:pPr>
              <w:spacing w:after="0"/>
              <w:rPr>
                <w:sz w:val="21"/>
                <w:szCs w:val="21"/>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272.9</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5" w:right="1440" w:bottom="1440" w:gutter="0" w:footer="0" w:header="0"/>
        </w:sectPr>
      </w:pPr>
    </w:p>
    <w:bookmarkStart w:id="3" w:name="page4"/>
    <w:bookmarkEnd w:id="3"/>
    <w:p>
      <w:pPr>
        <w:jc w:val="center"/>
        <w:ind w:right="3219"/>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(Dollars in millions, except for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560" w:type="dxa"/>
            <w:vAlign w:val="bottom"/>
          </w:tcPr>
          <w:p>
            <w:pPr>
              <w:spacing w:after="0"/>
              <w:rPr>
                <w:sz w:val="21"/>
                <w:szCs w:val="21"/>
                <w:color w:val="auto"/>
              </w:rPr>
            </w:pPr>
          </w:p>
        </w:tc>
        <w:tc>
          <w:tcPr>
            <w:tcW w:w="5280" w:type="dxa"/>
            <w:vAlign w:val="bottom"/>
          </w:tcPr>
          <w:p>
            <w:pPr>
              <w:ind w:left="440"/>
              <w:spacing w:after="0"/>
              <w:rPr>
                <w:sz w:val="20"/>
                <w:szCs w:val="20"/>
                <w:color w:val="auto"/>
              </w:rPr>
            </w:pPr>
            <w:r>
              <w:rPr>
                <w:rFonts w:ascii="Courier New" w:cs="Courier New" w:eastAsia="Courier New" w:hAnsi="Courier New"/>
                <w:sz w:val="15"/>
                <w:szCs w:val="15"/>
                <w:color w:val="auto"/>
              </w:rPr>
              <w:t>(Unaudited)</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8"/>
        </w:trPr>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For the six months ended</w:t>
            </w:r>
          </w:p>
        </w:tc>
        <w:tc>
          <w:tcPr>
            <w:tcW w:w="5280" w:type="dxa"/>
            <w:vAlign w:val="bottom"/>
          </w:tcPr>
          <w:p>
            <w:pPr>
              <w:jc w:val="center"/>
              <w:ind w:left="4066"/>
              <w:spacing w:after="0"/>
              <w:rPr>
                <w:sz w:val="20"/>
                <w:szCs w:val="20"/>
                <w:color w:val="auto"/>
              </w:rPr>
            </w:pPr>
            <w:r>
              <w:rPr>
                <w:rFonts w:ascii="Courier New" w:cs="Courier New" w:eastAsia="Courier New" w:hAnsi="Courier New"/>
                <w:sz w:val="15"/>
                <w:szCs w:val="15"/>
                <w:color w:val="auto"/>
                <w:w w:val="97"/>
              </w:rPr>
              <w:t>March 2,</w:t>
            </w:r>
          </w:p>
        </w:tc>
        <w:tc>
          <w:tcPr>
            <w:tcW w:w="9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9"/>
              </w:rPr>
              <w:t>March 4,</w:t>
            </w:r>
          </w:p>
        </w:tc>
        <w:tc>
          <w:tcPr>
            <w:tcW w:w="0" w:type="dxa"/>
            <w:vAlign w:val="bottom"/>
          </w:tcPr>
          <w:p>
            <w:pPr>
              <w:spacing w:after="0"/>
              <w:rPr>
                <w:sz w:val="1"/>
                <w:szCs w:val="1"/>
                <w:color w:val="auto"/>
              </w:rPr>
            </w:pPr>
          </w:p>
        </w:tc>
      </w:tr>
      <w:tr>
        <w:trPr>
          <w:trHeight w:val="197"/>
        </w:trPr>
        <w:tc>
          <w:tcPr>
            <w:tcW w:w="2560" w:type="dxa"/>
            <w:vAlign w:val="bottom"/>
            <w:vMerge w:val="continue"/>
          </w:tcPr>
          <w:p>
            <w:pPr>
              <w:spacing w:after="0"/>
              <w:rPr>
                <w:sz w:val="17"/>
                <w:szCs w:val="17"/>
                <w:color w:val="auto"/>
              </w:rPr>
            </w:pPr>
          </w:p>
        </w:tc>
        <w:tc>
          <w:tcPr>
            <w:tcW w:w="5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2000</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$2,976.9</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$1,819.4</w:t>
            </w:r>
          </w:p>
        </w:tc>
        <w:tc>
          <w:tcPr>
            <w:tcW w:w="0" w:type="dxa"/>
            <w:vAlign w:val="bottom"/>
          </w:tcPr>
          <w:p>
            <w:pPr>
              <w:spacing w:after="0"/>
              <w:rPr>
                <w:sz w:val="1"/>
                <w:szCs w:val="1"/>
                <w:color w:val="auto"/>
              </w:rPr>
            </w:pPr>
          </w:p>
        </w:tc>
      </w:tr>
      <w:tr>
        <w:trPr>
          <w:trHeight w:val="249"/>
        </w:trPr>
        <w:tc>
          <w:tcPr>
            <w:tcW w:w="5940" w:type="dxa"/>
            <w:vAlign w:val="bottom"/>
            <w:vMerge w:val="restart"/>
          </w:tcPr>
          <w:p>
            <w:pPr>
              <w:spacing w:after="0"/>
              <w:rPr>
                <w:sz w:val="20"/>
                <w:szCs w:val="20"/>
                <w:color w:val="auto"/>
              </w:rPr>
            </w:pPr>
            <w:r>
              <w:rPr>
                <w:rFonts w:ascii="Courier New" w:cs="Courier New" w:eastAsia="Courier New" w:hAnsi="Courier New"/>
                <w:sz w:val="15"/>
                <w:szCs w:val="15"/>
                <w:color w:val="auto"/>
              </w:rPr>
              <w:t>Costs and expenses:</w:t>
            </w: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9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94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w w:val="95"/>
              </w:rPr>
              <w:t>1,652.1</w:t>
            </w:r>
          </w:p>
        </w:tc>
        <w:tc>
          <w:tcPr>
            <w:tcW w:w="300" w:type="dxa"/>
            <w:vAlign w:val="bottom"/>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w w:val="95"/>
              </w:rPr>
              <w:t>1,422.8</w:t>
            </w:r>
          </w:p>
        </w:tc>
        <w:tc>
          <w:tcPr>
            <w:tcW w:w="0" w:type="dxa"/>
            <w:vAlign w:val="bottom"/>
          </w:tcPr>
          <w:p>
            <w:pPr>
              <w:spacing w:after="0"/>
              <w:rPr>
                <w:sz w:val="1"/>
                <w:szCs w:val="1"/>
                <w:color w:val="auto"/>
              </w:rPr>
            </w:pPr>
          </w:p>
        </w:tc>
      </w:tr>
      <w:tr>
        <w:trPr>
          <w:trHeight w:val="171"/>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Cost of goods sold</w:t>
            </w:r>
          </w:p>
        </w:tc>
        <w:tc>
          <w:tcPr>
            <w:tcW w:w="10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106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310.3</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228.5</w:t>
            </w:r>
          </w:p>
        </w:tc>
        <w:tc>
          <w:tcPr>
            <w:tcW w:w="0" w:type="dxa"/>
            <w:vAlign w:val="bottom"/>
          </w:tcPr>
          <w:p>
            <w:pPr>
              <w:spacing w:after="0"/>
              <w:rPr>
                <w:sz w:val="1"/>
                <w:szCs w:val="1"/>
                <w:color w:val="auto"/>
              </w:rPr>
            </w:pPr>
          </w:p>
        </w:tc>
      </w:tr>
      <w:tr>
        <w:trPr>
          <w:trHeight w:val="171"/>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106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195.2</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153.2</w:t>
            </w:r>
          </w:p>
        </w:tc>
        <w:tc>
          <w:tcPr>
            <w:tcW w:w="0" w:type="dxa"/>
            <w:vAlign w:val="bottom"/>
          </w:tcPr>
          <w:p>
            <w:pPr>
              <w:spacing w:after="0"/>
              <w:rPr>
                <w:sz w:val="1"/>
                <w:szCs w:val="1"/>
                <w:color w:val="auto"/>
              </w:rPr>
            </w:pPr>
          </w:p>
        </w:tc>
      </w:tr>
      <w:tr>
        <w:trPr>
          <w:trHeight w:val="171"/>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Other operating expense, net</w:t>
            </w:r>
          </w:p>
        </w:tc>
        <w:tc>
          <w:tcPr>
            <w:tcW w:w="106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32.9</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26.1</w:t>
            </w:r>
          </w:p>
        </w:tc>
        <w:tc>
          <w:tcPr>
            <w:tcW w:w="0" w:type="dxa"/>
            <w:vAlign w:val="bottom"/>
          </w:tcPr>
          <w:p>
            <w:pPr>
              <w:spacing w:after="0"/>
              <w:rPr>
                <w:sz w:val="1"/>
                <w:szCs w:val="1"/>
                <w:color w:val="auto"/>
              </w:rPr>
            </w:pPr>
          </w:p>
        </w:tc>
      </w:tr>
      <w:tr>
        <w:trPr>
          <w:trHeight w:val="171"/>
        </w:trPr>
        <w:tc>
          <w:tcPr>
            <w:tcW w:w="59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Total costs and expenses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w w:val="95"/>
              </w:rPr>
              <w:t>2,190.5</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9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1,830.6</w:t>
            </w:r>
          </w:p>
        </w:tc>
        <w:tc>
          <w:tcPr>
            <w:tcW w:w="0" w:type="dxa"/>
            <w:vAlign w:val="bottom"/>
          </w:tcPr>
          <w:p>
            <w:pPr>
              <w:spacing w:after="0"/>
              <w:rPr>
                <w:sz w:val="1"/>
                <w:szCs w:val="1"/>
                <w:color w:val="auto"/>
              </w:rPr>
            </w:pPr>
          </w:p>
        </w:tc>
      </w:tr>
      <w:tr>
        <w:trPr>
          <w:trHeight w:val="249"/>
        </w:trPr>
        <w:tc>
          <w:tcPr>
            <w:tcW w:w="5940" w:type="dxa"/>
            <w:vAlign w:val="bottom"/>
          </w:tcPr>
          <w:p>
            <w:pPr>
              <w:spacing w:after="0"/>
              <w:rPr>
                <w:sz w:val="21"/>
                <w:szCs w:val="21"/>
                <w:color w:val="auto"/>
              </w:rPr>
            </w:pP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9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060" w:type="dxa"/>
            <w:vAlign w:val="bottom"/>
          </w:tcPr>
          <w:p>
            <w:pPr>
              <w:spacing w:after="0"/>
              <w:rPr>
                <w:sz w:val="22"/>
                <w:szCs w:val="22"/>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786.4</w:t>
            </w: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06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49.8</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40.9</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6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(62.4)</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(60.5)</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Other non-operating income, net</w:t>
            </w:r>
          </w:p>
        </w:tc>
        <w:tc>
          <w:tcPr>
            <w:tcW w:w="106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9.3</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1"/>
        </w:trPr>
        <w:tc>
          <w:tcPr>
            <w:tcW w:w="594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income taxes and minority interests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783.1</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5940" w:type="dxa"/>
            <w:vAlign w:val="bottom"/>
            <w:vMerge w:val="continue"/>
          </w:tcPr>
          <w:p>
            <w:pPr>
              <w:spacing w:after="0"/>
              <w:rPr>
                <w:sz w:val="21"/>
                <w:szCs w:val="21"/>
                <w:color w:val="auto"/>
              </w:rPr>
            </w:pPr>
          </w:p>
        </w:tc>
        <w:tc>
          <w:tcPr>
            <w:tcW w:w="10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c>
          <w:tcPr>
            <w:tcW w:w="0" w:type="dxa"/>
            <w:vAlign w:val="bottom"/>
          </w:tcPr>
          <w:p>
            <w:pPr>
              <w:spacing w:after="0"/>
              <w:rPr>
                <w:sz w:val="1"/>
                <w:szCs w:val="1"/>
                <w:color w:val="auto"/>
              </w:rPr>
            </w:pPr>
          </w:p>
        </w:tc>
      </w:tr>
      <w:tr>
        <w:trPr>
          <w:trHeight w:val="341"/>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Income tax (provision) benefit</w:t>
            </w:r>
          </w:p>
        </w:tc>
        <w:tc>
          <w:tcPr>
            <w:tcW w:w="106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(272.6)</w:t>
            </w:r>
          </w:p>
        </w:tc>
        <w:tc>
          <w:tcPr>
            <w:tcW w:w="30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11.4</w:t>
            </w:r>
          </w:p>
        </w:tc>
        <w:tc>
          <w:tcPr>
            <w:tcW w:w="0" w:type="dxa"/>
            <w:vAlign w:val="bottom"/>
          </w:tcPr>
          <w:p>
            <w:pPr>
              <w:spacing w:after="0"/>
              <w:rPr>
                <w:sz w:val="1"/>
                <w:szCs w:val="1"/>
                <w:color w:val="auto"/>
              </w:rPr>
            </w:pPr>
          </w:p>
        </w:tc>
      </w:tr>
      <w:tr>
        <w:trPr>
          <w:trHeight w:val="263"/>
        </w:trPr>
        <w:tc>
          <w:tcPr>
            <w:tcW w:w="5940" w:type="dxa"/>
            <w:vAlign w:val="bottom"/>
          </w:tcPr>
          <w:p>
            <w:pPr>
              <w:spacing w:after="0"/>
              <w:rPr>
                <w:sz w:val="20"/>
                <w:szCs w:val="20"/>
                <w:color w:val="auto"/>
              </w:rPr>
            </w:pPr>
            <w:r>
              <w:rPr>
                <w:rFonts w:ascii="Courier New" w:cs="Courier New" w:eastAsia="Courier New" w:hAnsi="Courier New"/>
                <w:sz w:val="15"/>
                <w:szCs w:val="15"/>
                <w:color w:val="auto"/>
              </w:rPr>
              <w:t>Minority interests in net income</w:t>
            </w:r>
          </w:p>
        </w:tc>
        <w:tc>
          <w:tcPr>
            <w:tcW w:w="1060" w:type="dxa"/>
            <w:vAlign w:val="bottom"/>
          </w:tcPr>
          <w:p>
            <w:pPr>
              <w:spacing w:after="0"/>
              <w:rPr>
                <w:sz w:val="22"/>
                <w:szCs w:val="22"/>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w:t>
            </w: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71"/>
        </w:trPr>
        <w:tc>
          <w:tcPr>
            <w:tcW w:w="59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1060" w:type="dxa"/>
            <w:vAlign w:val="bottom"/>
            <w:vMerge w:val="restart"/>
          </w:tcPr>
          <w:p>
            <w:pPr>
              <w:jc w:val="right"/>
              <w:spacing w:after="0"/>
              <w:rPr>
                <w:sz w:val="20"/>
                <w:szCs w:val="20"/>
                <w:color w:val="auto"/>
              </w:rPr>
            </w:pPr>
            <w:r>
              <w:rPr>
                <w:rFonts w:ascii="Courier New" w:cs="Courier New" w:eastAsia="Courier New" w:hAnsi="Courier New"/>
                <w:sz w:val="29"/>
                <w:szCs w:val="29"/>
                <w:color w:val="auto"/>
                <w:vertAlign w:val="subscript"/>
              </w:rPr>
              <w:t>$</w:t>
            </w:r>
            <w:r>
              <w:rPr>
                <w:rFonts w:ascii="Courier New" w:cs="Courier New" w:eastAsia="Courier New" w:hAnsi="Courier New"/>
                <w:sz w:val="15"/>
                <w:szCs w:val="15"/>
                <w:color w:val="auto"/>
              </w:rPr>
              <w:t>--------</w:t>
            </w:r>
          </w:p>
        </w:tc>
        <w:tc>
          <w:tcPr>
            <w:tcW w:w="94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502.6</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9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(23.7)</w:t>
            </w:r>
          </w:p>
        </w:tc>
        <w:tc>
          <w:tcPr>
            <w:tcW w:w="0" w:type="dxa"/>
            <w:vAlign w:val="bottom"/>
          </w:tcPr>
          <w:p>
            <w:pPr>
              <w:spacing w:after="0"/>
              <w:rPr>
                <w:sz w:val="1"/>
                <w:szCs w:val="1"/>
                <w:color w:val="auto"/>
              </w:rPr>
            </w:pPr>
          </w:p>
        </w:tc>
      </w:tr>
      <w:tr>
        <w:trPr>
          <w:trHeight w:val="249"/>
        </w:trPr>
        <w:tc>
          <w:tcPr>
            <w:tcW w:w="5940" w:type="dxa"/>
            <w:vAlign w:val="bottom"/>
          </w:tcPr>
          <w:p>
            <w:pPr>
              <w:spacing w:after="0"/>
              <w:rPr>
                <w:sz w:val="21"/>
                <w:szCs w:val="21"/>
                <w:color w:val="auto"/>
              </w:rPr>
            </w:pP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3"/>
        </w:trPr>
        <w:tc>
          <w:tcPr>
            <w:tcW w:w="594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1.86</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(0.09)</w:t>
            </w:r>
          </w:p>
        </w:tc>
        <w:tc>
          <w:tcPr>
            <w:tcW w:w="0" w:type="dxa"/>
            <w:vAlign w:val="bottom"/>
          </w:tcPr>
          <w:p>
            <w:pPr>
              <w:spacing w:after="0"/>
              <w:rPr>
                <w:sz w:val="1"/>
                <w:szCs w:val="1"/>
                <w:color w:val="auto"/>
              </w:rPr>
            </w:pPr>
          </w:p>
        </w:tc>
      </w:tr>
      <w:tr>
        <w:trPr>
          <w:trHeight w:val="171"/>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10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106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1.77</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Number of shares used in per share calculations:</w:t>
            </w:r>
          </w:p>
        </w:tc>
        <w:tc>
          <w:tcPr>
            <w:tcW w:w="1060" w:type="dxa"/>
            <w:vAlign w:val="bottom"/>
          </w:tcPr>
          <w:p>
            <w:pPr>
              <w:spacing w:after="0"/>
              <w:rPr>
                <w:sz w:val="14"/>
                <w:szCs w:val="14"/>
                <w:color w:val="auto"/>
              </w:rPr>
            </w:pPr>
          </w:p>
        </w:tc>
        <w:tc>
          <w:tcPr>
            <w:tcW w:w="94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269.8</w:t>
            </w:r>
          </w:p>
        </w:tc>
        <w:tc>
          <w:tcPr>
            <w:tcW w:w="300" w:type="dxa"/>
            <w:vAlign w:val="bottom"/>
          </w:tcPr>
          <w:p>
            <w:pPr>
              <w:spacing w:after="0"/>
              <w:rPr>
                <w:sz w:val="14"/>
                <w:szCs w:val="14"/>
                <w:color w:val="auto"/>
              </w:rPr>
            </w:pP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255.0</w:t>
            </w:r>
          </w:p>
        </w:tc>
        <w:tc>
          <w:tcPr>
            <w:tcW w:w="0" w:type="dxa"/>
            <w:vAlign w:val="bottom"/>
          </w:tcPr>
          <w:p>
            <w:pPr>
              <w:spacing w:after="0"/>
              <w:rPr>
                <w:sz w:val="1"/>
                <w:szCs w:val="1"/>
                <w:color w:val="auto"/>
              </w:rPr>
            </w:pPr>
          </w:p>
        </w:tc>
      </w:tr>
      <w:tr>
        <w:trPr>
          <w:trHeight w:val="171"/>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10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1060" w:type="dxa"/>
            <w:vAlign w:val="bottom"/>
          </w:tcPr>
          <w:p>
            <w:pPr>
              <w:spacing w:after="0"/>
              <w:rPr>
                <w:sz w:val="21"/>
                <w:szCs w:val="21"/>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298.0</w:t>
            </w:r>
          </w:p>
        </w:tc>
        <w:tc>
          <w:tcPr>
            <w:tcW w:w="300" w:type="dxa"/>
            <w:vAlign w:val="bottom"/>
          </w:tcPr>
          <w:p>
            <w:pPr>
              <w:spacing w:after="0"/>
              <w:rPr>
                <w:sz w:val="21"/>
                <w:szCs w:val="21"/>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255.0</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05" w:right="1440" w:bottom="1440" w:gutter="0" w:footer="0" w:header="0"/>
        </w:sectPr>
      </w:pPr>
    </w:p>
    <w:bookmarkStart w:id="4" w:name="page5"/>
    <w:bookmarkEnd w:id="4"/>
    <w:p>
      <w:pPr>
        <w:jc w:val="center"/>
        <w:ind w:right="3219"/>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(Dollars in millions)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vMerge w:val="restart"/>
          </w:tcPr>
          <w:p>
            <w:pPr>
              <w:spacing w:after="0"/>
              <w:rPr>
                <w:sz w:val="20"/>
                <w:szCs w:val="20"/>
                <w:color w:val="auto"/>
              </w:rPr>
            </w:pPr>
            <w:r>
              <w:rPr>
                <w:rFonts w:ascii="Courier New" w:cs="Courier New" w:eastAsia="Courier New" w:hAnsi="Courier New"/>
                <w:sz w:val="15"/>
                <w:szCs w:val="15"/>
                <w:color w:val="auto"/>
              </w:rPr>
              <w:t>For the six months ended</w:t>
            </w:r>
          </w:p>
        </w:tc>
        <w:tc>
          <w:tcPr>
            <w:tcW w:w="3460" w:type="dxa"/>
            <w:vAlign w:val="bottom"/>
          </w:tcPr>
          <w:p>
            <w:pPr>
              <w:jc w:val="center"/>
              <w:ind w:left="1966"/>
              <w:spacing w:after="0"/>
              <w:rPr>
                <w:sz w:val="20"/>
                <w:szCs w:val="20"/>
                <w:color w:val="auto"/>
              </w:rPr>
            </w:pPr>
            <w:r>
              <w:rPr>
                <w:rFonts w:ascii="Courier New" w:cs="Courier New" w:eastAsia="Courier New" w:hAnsi="Courier New"/>
                <w:sz w:val="15"/>
                <w:szCs w:val="15"/>
                <w:color w:val="auto"/>
                <w:w w:val="97"/>
              </w:rPr>
              <w:t>March 2,</w:t>
            </w:r>
          </w:p>
        </w:tc>
        <w:tc>
          <w:tcPr>
            <w:tcW w:w="106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7"/>
              </w:rPr>
              <w:t>March 4,</w:t>
            </w:r>
          </w:p>
        </w:tc>
        <w:tc>
          <w:tcPr>
            <w:tcW w:w="0" w:type="dxa"/>
            <w:vAlign w:val="bottom"/>
          </w:tcPr>
          <w:p>
            <w:pPr>
              <w:spacing w:after="0"/>
              <w:rPr>
                <w:sz w:val="1"/>
                <w:szCs w:val="1"/>
                <w:color w:val="auto"/>
              </w:rPr>
            </w:pPr>
          </w:p>
        </w:tc>
      </w:tr>
      <w:tr>
        <w:trPr>
          <w:trHeight w:val="197"/>
        </w:trPr>
        <w:tc>
          <w:tcPr>
            <w:tcW w:w="4520" w:type="dxa"/>
            <w:vAlign w:val="bottom"/>
            <w:vMerge w:val="continue"/>
          </w:tcPr>
          <w:p>
            <w:pPr>
              <w:spacing w:after="0"/>
              <w:rPr>
                <w:sz w:val="17"/>
                <w:szCs w:val="17"/>
                <w:color w:val="auto"/>
              </w:rPr>
            </w:pPr>
          </w:p>
        </w:tc>
        <w:tc>
          <w:tcPr>
            <w:tcW w:w="34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502.6</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(23.7)</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5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 to net cash provided by</w:t>
            </w: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operating activities:</w:t>
            </w:r>
          </w:p>
        </w:tc>
        <w:tc>
          <w:tcPr>
            <w:tcW w:w="580" w:type="dxa"/>
            <w:vAlign w:val="bottom"/>
          </w:tcPr>
          <w:p>
            <w:pPr>
              <w:spacing w:after="0"/>
              <w:rPr>
                <w:sz w:val="14"/>
                <w:szCs w:val="14"/>
                <w:color w:val="auto"/>
              </w:rPr>
            </w:pPr>
          </w:p>
        </w:tc>
        <w:tc>
          <w:tcPr>
            <w:tcW w:w="110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471.5</w:t>
            </w:r>
          </w:p>
        </w:tc>
        <w:tc>
          <w:tcPr>
            <w:tcW w:w="400" w:type="dxa"/>
            <w:vAlign w:val="bottom"/>
          </w:tcPr>
          <w:p>
            <w:pPr>
              <w:spacing w:after="0"/>
              <w:rPr>
                <w:sz w:val="14"/>
                <w:szCs w:val="14"/>
                <w:color w:val="auto"/>
              </w:rPr>
            </w:pPr>
          </w:p>
        </w:tc>
        <w:tc>
          <w:tcPr>
            <w:tcW w:w="84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408.9</w:t>
            </w:r>
          </w:p>
        </w:tc>
        <w:tc>
          <w:tcPr>
            <w:tcW w:w="0" w:type="dxa"/>
            <w:vAlign w:val="bottom"/>
          </w:tcPr>
          <w:p>
            <w:pPr>
              <w:spacing w:after="0"/>
              <w:rPr>
                <w:sz w:val="1"/>
                <w:szCs w:val="1"/>
                <w:color w:val="auto"/>
              </w:rPr>
            </w:pPr>
          </w:p>
        </w:tc>
      </w:tr>
      <w:tr>
        <w:trPr>
          <w:trHeight w:val="171"/>
        </w:trPr>
        <w:tc>
          <w:tcPr>
            <w:tcW w:w="638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5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80" w:type="dxa"/>
            <w:vAlign w:val="bottom"/>
          </w:tcPr>
          <w:p>
            <w:pPr>
              <w:ind w:left="340"/>
              <w:spacing w:after="0"/>
              <w:rPr>
                <w:sz w:val="20"/>
                <w:szCs w:val="20"/>
                <w:color w:val="auto"/>
              </w:rPr>
            </w:pPr>
            <w:r>
              <w:rPr>
                <w:rFonts w:ascii="Courier New" w:cs="Courier New" w:eastAsia="Courier New" w:hAnsi="Courier New"/>
                <w:sz w:val="15"/>
                <w:szCs w:val="15"/>
                <w:color w:val="auto"/>
              </w:rPr>
              <w:t>Change in assets and liabilities, net of effects of acquisition</w:t>
            </w:r>
          </w:p>
        </w:tc>
        <w:tc>
          <w:tcPr>
            <w:tcW w:w="580" w:type="dxa"/>
            <w:vAlign w:val="bottom"/>
          </w:tcPr>
          <w:p>
            <w:pPr>
              <w:spacing w:after="0"/>
              <w:rPr>
                <w:sz w:val="14"/>
                <w:szCs w:val="14"/>
                <w:color w:val="auto"/>
              </w:rPr>
            </w:pPr>
          </w:p>
        </w:tc>
        <w:tc>
          <w:tcPr>
            <w:tcW w:w="110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(183.0)</w:t>
            </w:r>
          </w:p>
        </w:tc>
        <w:tc>
          <w:tcPr>
            <w:tcW w:w="400" w:type="dxa"/>
            <w:vAlign w:val="bottom"/>
          </w:tcPr>
          <w:p>
            <w:pPr>
              <w:spacing w:after="0"/>
              <w:rPr>
                <w:sz w:val="14"/>
                <w:szCs w:val="14"/>
                <w:color w:val="auto"/>
              </w:rPr>
            </w:pPr>
          </w:p>
        </w:tc>
        <w:tc>
          <w:tcPr>
            <w:tcW w:w="84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1"/>
        </w:trPr>
        <w:tc>
          <w:tcPr>
            <w:tcW w:w="6380" w:type="dxa"/>
            <w:vAlign w:val="bottom"/>
          </w:tcPr>
          <w:p>
            <w:pPr>
              <w:ind w:left="520"/>
              <w:spacing w:after="0"/>
              <w:rPr>
                <w:sz w:val="20"/>
                <w:szCs w:val="20"/>
                <w:color w:val="auto"/>
              </w:rPr>
            </w:pPr>
            <w:r>
              <w:rPr>
                <w:rFonts w:ascii="Courier New" w:cs="Courier New" w:eastAsia="Courier New" w:hAnsi="Courier New"/>
                <w:sz w:val="15"/>
                <w:szCs w:val="15"/>
                <w:color w:val="auto"/>
              </w:rPr>
              <w:t>Decrease (increase) in receivables</w:t>
            </w:r>
          </w:p>
        </w:tc>
        <w:tc>
          <w:tcPr>
            <w:tcW w:w="5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80" w:type="dxa"/>
            <w:vAlign w:val="bottom"/>
          </w:tcPr>
          <w:p>
            <w:pPr>
              <w:ind w:left="520"/>
              <w:spacing w:after="0"/>
              <w:rPr>
                <w:sz w:val="20"/>
                <w:szCs w:val="20"/>
                <w:color w:val="auto"/>
              </w:rPr>
            </w:pPr>
            <w:r>
              <w:rPr>
                <w:rFonts w:ascii="Courier New" w:cs="Courier New" w:eastAsia="Courier New" w:hAnsi="Courier New"/>
                <w:sz w:val="15"/>
                <w:szCs w:val="15"/>
                <w:color w:val="auto"/>
              </w:rPr>
              <w:t>Increase in inventories</w:t>
            </w:r>
          </w:p>
        </w:tc>
        <w:tc>
          <w:tcPr>
            <w:tcW w:w="5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(324.5)</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(40.9)</w:t>
            </w:r>
          </w:p>
        </w:tc>
        <w:tc>
          <w:tcPr>
            <w:tcW w:w="0" w:type="dxa"/>
            <w:vAlign w:val="bottom"/>
          </w:tcPr>
          <w:p>
            <w:pPr>
              <w:spacing w:after="0"/>
              <w:rPr>
                <w:sz w:val="1"/>
                <w:szCs w:val="1"/>
                <w:color w:val="auto"/>
              </w:rPr>
            </w:pPr>
          </w:p>
        </w:tc>
      </w:tr>
      <w:tr>
        <w:trPr>
          <w:trHeight w:val="171"/>
        </w:trPr>
        <w:tc>
          <w:tcPr>
            <w:tcW w:w="6380" w:type="dxa"/>
            <w:vAlign w:val="bottom"/>
          </w:tcPr>
          <w:p>
            <w:pPr>
              <w:ind w:left="520"/>
              <w:spacing w:after="0"/>
              <w:rPr>
                <w:sz w:val="20"/>
                <w:szCs w:val="20"/>
                <w:color w:val="auto"/>
              </w:rPr>
            </w:pPr>
            <w:r>
              <w:rPr>
                <w:rFonts w:ascii="Courier New" w:cs="Courier New" w:eastAsia="Courier New" w:hAnsi="Courier New"/>
                <w:sz w:val="15"/>
                <w:szCs w:val="15"/>
                <w:color w:val="auto"/>
              </w:rPr>
              <w:t>Increase in accounts payable and accrued</w:t>
            </w:r>
          </w:p>
        </w:tc>
        <w:tc>
          <w:tcPr>
            <w:tcW w:w="580" w:type="dxa"/>
            <w:vAlign w:val="bottom"/>
          </w:tcPr>
          <w:p>
            <w:pPr>
              <w:spacing w:after="0"/>
              <w:rPr>
                <w:sz w:val="14"/>
                <w:szCs w:val="14"/>
                <w:color w:val="auto"/>
              </w:rPr>
            </w:pPr>
          </w:p>
        </w:tc>
        <w:tc>
          <w:tcPr>
            <w:tcW w:w="110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61.0</w:t>
            </w:r>
          </w:p>
        </w:tc>
        <w:tc>
          <w:tcPr>
            <w:tcW w:w="400" w:type="dxa"/>
            <w:vAlign w:val="bottom"/>
          </w:tcPr>
          <w:p>
            <w:pPr>
              <w:spacing w:after="0"/>
              <w:rPr>
                <w:sz w:val="14"/>
                <w:szCs w:val="14"/>
                <w:color w:val="auto"/>
              </w:rPr>
            </w:pPr>
          </w:p>
        </w:tc>
        <w:tc>
          <w:tcPr>
            <w:tcW w:w="84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15.5</w:t>
            </w:r>
          </w:p>
        </w:tc>
        <w:tc>
          <w:tcPr>
            <w:tcW w:w="0" w:type="dxa"/>
            <w:vAlign w:val="bottom"/>
          </w:tcPr>
          <w:p>
            <w:pPr>
              <w:spacing w:after="0"/>
              <w:rPr>
                <w:sz w:val="1"/>
                <w:szCs w:val="1"/>
                <w:color w:val="auto"/>
              </w:rPr>
            </w:pPr>
          </w:p>
        </w:tc>
      </w:tr>
      <w:tr>
        <w:trPr>
          <w:trHeight w:val="171"/>
        </w:trPr>
        <w:tc>
          <w:tcPr>
            <w:tcW w:w="6380" w:type="dxa"/>
            <w:vAlign w:val="bottom"/>
          </w:tcPr>
          <w:p>
            <w:pPr>
              <w:ind w:left="880"/>
              <w:spacing w:after="0"/>
              <w:rPr>
                <w:sz w:val="20"/>
                <w:szCs w:val="20"/>
                <w:color w:val="auto"/>
              </w:rPr>
            </w:pPr>
            <w:r>
              <w:rPr>
                <w:rFonts w:ascii="Courier New" w:cs="Courier New" w:eastAsia="Courier New" w:hAnsi="Courier New"/>
                <w:sz w:val="15"/>
                <w:szCs w:val="15"/>
                <w:color w:val="auto"/>
              </w:rPr>
              <w:t>expenses, net of plant and equipment payables</w:t>
            </w:r>
          </w:p>
        </w:tc>
        <w:tc>
          <w:tcPr>
            <w:tcW w:w="5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80" w:type="dxa"/>
            <w:vAlign w:val="bottom"/>
          </w:tcPr>
          <w:p>
            <w:pPr>
              <w:ind w:left="520"/>
              <w:spacing w:after="0"/>
              <w:rPr>
                <w:sz w:val="20"/>
                <w:szCs w:val="20"/>
                <w:color w:val="auto"/>
              </w:rPr>
            </w:pPr>
            <w:r>
              <w:rPr>
                <w:rFonts w:ascii="Courier New" w:cs="Courier New" w:eastAsia="Courier New" w:hAnsi="Courier New"/>
                <w:sz w:val="15"/>
                <w:szCs w:val="15"/>
                <w:color w:val="auto"/>
              </w:rPr>
              <w:t>Decrease (increase) in deferred income taxes</w:t>
            </w:r>
          </w:p>
        </w:tc>
        <w:tc>
          <w:tcPr>
            <w:tcW w:w="58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20.7</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1"/>
        </w:trPr>
        <w:tc>
          <w:tcPr>
            <w:tcW w:w="6380" w:type="dxa"/>
            <w:vAlign w:val="bottom"/>
          </w:tcPr>
          <w:p>
            <w:pPr>
              <w:ind w:left="520"/>
              <w:spacing w:after="0"/>
              <w:rPr>
                <w:sz w:val="20"/>
                <w:szCs w:val="20"/>
                <w:color w:val="auto"/>
              </w:rPr>
            </w:pPr>
            <w:r>
              <w:rPr>
                <w:rFonts w:ascii="Courier New" w:cs="Courier New" w:eastAsia="Courier New" w:hAnsi="Courier New"/>
                <w:sz w:val="15"/>
                <w:szCs w:val="15"/>
                <w:color w:val="auto"/>
              </w:rPr>
              <w:t>Additional capital tax effect from stock purchase plans</w:t>
            </w:r>
          </w:p>
        </w:tc>
        <w:tc>
          <w:tcPr>
            <w:tcW w:w="58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84.8</w:t>
            </w:r>
          </w:p>
        </w:tc>
        <w:tc>
          <w:tcPr>
            <w:tcW w:w="4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35.7</w:t>
            </w:r>
          </w:p>
        </w:tc>
        <w:tc>
          <w:tcPr>
            <w:tcW w:w="0" w:type="dxa"/>
            <w:vAlign w:val="bottom"/>
          </w:tcPr>
          <w:p>
            <w:pPr>
              <w:spacing w:after="0"/>
              <w:rPr>
                <w:sz w:val="1"/>
                <w:szCs w:val="1"/>
                <w:color w:val="auto"/>
              </w:rPr>
            </w:pPr>
          </w:p>
        </w:tc>
      </w:tr>
      <w:tr>
        <w:trPr>
          <w:trHeight w:val="171"/>
        </w:trPr>
        <w:tc>
          <w:tcPr>
            <w:tcW w:w="638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73.4</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c>
          <w:tcPr>
            <w:tcW w:w="0" w:type="dxa"/>
            <w:vAlign w:val="bottom"/>
          </w:tcPr>
          <w:p>
            <w:pPr>
              <w:spacing w:after="0"/>
              <w:rPr>
                <w:sz w:val="1"/>
                <w:szCs w:val="1"/>
                <w:color w:val="auto"/>
              </w:rPr>
            </w:pPr>
          </w:p>
        </w:tc>
      </w:tr>
      <w:tr>
        <w:trPr>
          <w:trHeight w:val="171"/>
        </w:trPr>
        <w:tc>
          <w:tcPr>
            <w:tcW w:w="638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6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6380" w:type="dxa"/>
            <w:vAlign w:val="bottom"/>
            <w:vMerge w:val="continue"/>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706.5</w:t>
            </w:r>
          </w:p>
        </w:tc>
        <w:tc>
          <w:tcPr>
            <w:tcW w:w="400" w:type="dxa"/>
            <w:vAlign w:val="bottom"/>
          </w:tcPr>
          <w:p>
            <w:pPr>
              <w:spacing w:after="0"/>
              <w:rPr>
                <w:sz w:val="21"/>
                <w:szCs w:val="21"/>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377.9</w:t>
            </w:r>
          </w:p>
        </w:tc>
        <w:tc>
          <w:tcPr>
            <w:tcW w:w="0" w:type="dxa"/>
            <w:vAlign w:val="bottom"/>
          </w:tcPr>
          <w:p>
            <w:pPr>
              <w:spacing w:after="0"/>
              <w:rPr>
                <w:sz w:val="1"/>
                <w:szCs w:val="1"/>
                <w:color w:val="auto"/>
              </w:rPr>
            </w:pPr>
          </w:p>
        </w:tc>
      </w:tr>
      <w:tr>
        <w:trPr>
          <w:trHeight w:val="263"/>
        </w:trPr>
        <w:tc>
          <w:tcPr>
            <w:tcW w:w="63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80" w:type="dxa"/>
            <w:vAlign w:val="bottom"/>
          </w:tcPr>
          <w:p>
            <w:pPr>
              <w:spacing w:after="0"/>
              <w:rPr>
                <w:sz w:val="22"/>
                <w:szCs w:val="22"/>
                <w:color w:val="auto"/>
              </w:rPr>
            </w:pPr>
          </w:p>
        </w:tc>
        <w:tc>
          <w:tcPr>
            <w:tcW w:w="110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1,310.9</w:t>
            </w:r>
          </w:p>
        </w:tc>
        <w:tc>
          <w:tcPr>
            <w:tcW w:w="400" w:type="dxa"/>
            <w:vAlign w:val="bottom"/>
          </w:tcPr>
          <w:p>
            <w:pPr>
              <w:spacing w:after="0"/>
              <w:rPr>
                <w:sz w:val="22"/>
                <w:szCs w:val="22"/>
                <w:color w:val="auto"/>
              </w:rPr>
            </w:pPr>
          </w:p>
        </w:tc>
        <w:tc>
          <w:tcPr>
            <w:tcW w:w="84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655.5</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Proceeds from sales and maturities of securities</w:t>
            </w:r>
          </w:p>
        </w:tc>
        <w:tc>
          <w:tcPr>
            <w:tcW w:w="5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Purchase of available-for-sale and held-to-maturity securities</w:t>
            </w:r>
          </w:p>
        </w:tc>
        <w:tc>
          <w:tcPr>
            <w:tcW w:w="5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(1,247.7)</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(1,945.8)</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Expenditures for property, plant and equipment</w:t>
            </w:r>
          </w:p>
        </w:tc>
        <w:tc>
          <w:tcPr>
            <w:tcW w:w="5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(459.9)</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(306.2)</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Acquisition of business</w:t>
            </w:r>
          </w:p>
        </w:tc>
        <w:tc>
          <w:tcPr>
            <w:tcW w:w="5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(43.4)</w:t>
            </w:r>
          </w:p>
        </w:tc>
        <w:tc>
          <w:tcPr>
            <w:tcW w:w="4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w:t>
            </w:r>
          </w:p>
        </w:tc>
        <w:tc>
          <w:tcPr>
            <w:tcW w:w="4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w:t>
            </w:r>
          </w:p>
        </w:tc>
        <w:tc>
          <w:tcPr>
            <w:tcW w:w="0" w:type="dxa"/>
            <w:vAlign w:val="bottom"/>
          </w:tcPr>
          <w:p>
            <w:pPr>
              <w:spacing w:after="0"/>
              <w:rPr>
                <w:sz w:val="1"/>
                <w:szCs w:val="1"/>
                <w:color w:val="auto"/>
              </w:rPr>
            </w:pPr>
          </w:p>
        </w:tc>
      </w:tr>
      <w:tr>
        <w:trPr>
          <w:trHeight w:val="171"/>
        </w:trPr>
        <w:tc>
          <w:tcPr>
            <w:tcW w:w="638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for investing activities</w:t>
            </w:r>
          </w:p>
        </w:tc>
        <w:tc>
          <w:tcPr>
            <w:tcW w:w="16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6380" w:type="dxa"/>
            <w:vAlign w:val="bottom"/>
            <w:vMerge w:val="continue"/>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(447.9)</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(1,583.3)</w:t>
            </w:r>
          </w:p>
        </w:tc>
        <w:tc>
          <w:tcPr>
            <w:tcW w:w="0" w:type="dxa"/>
            <w:vAlign w:val="bottom"/>
          </w:tcPr>
          <w:p>
            <w:pPr>
              <w:spacing w:after="0"/>
              <w:rPr>
                <w:sz w:val="1"/>
                <w:szCs w:val="1"/>
                <w:color w:val="auto"/>
              </w:rPr>
            </w:pPr>
          </w:p>
        </w:tc>
      </w:tr>
      <w:tr>
        <w:trPr>
          <w:trHeight w:val="263"/>
        </w:trPr>
        <w:tc>
          <w:tcPr>
            <w:tcW w:w="63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80" w:type="dxa"/>
            <w:vAlign w:val="bottom"/>
          </w:tcPr>
          <w:p>
            <w:pPr>
              <w:spacing w:after="0"/>
              <w:rPr>
                <w:sz w:val="22"/>
                <w:szCs w:val="22"/>
                <w:color w:val="auto"/>
              </w:rPr>
            </w:pPr>
          </w:p>
        </w:tc>
        <w:tc>
          <w:tcPr>
            <w:tcW w:w="110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(150.7)</w:t>
            </w:r>
          </w:p>
        </w:tc>
        <w:tc>
          <w:tcPr>
            <w:tcW w:w="400" w:type="dxa"/>
            <w:vAlign w:val="bottom"/>
          </w:tcPr>
          <w:p>
            <w:pPr>
              <w:spacing w:after="0"/>
              <w:rPr>
                <w:sz w:val="22"/>
                <w:szCs w:val="22"/>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(153.5)</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Payments on equipment purchase contracts</w:t>
            </w:r>
          </w:p>
        </w:tc>
        <w:tc>
          <w:tcPr>
            <w:tcW w:w="5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Repayments of debt</w:t>
            </w:r>
          </w:p>
        </w:tc>
        <w:tc>
          <w:tcPr>
            <w:tcW w:w="5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(111.4)</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(66.3)</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Proceeds from issuance of common stock</w:t>
            </w:r>
          </w:p>
        </w:tc>
        <w:tc>
          <w:tcPr>
            <w:tcW w:w="58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138.4</w:t>
            </w:r>
          </w:p>
        </w:tc>
        <w:tc>
          <w:tcPr>
            <w:tcW w:w="4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576.7</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Cash received in conjunction with acquisition</w:t>
            </w:r>
          </w:p>
        </w:tc>
        <w:tc>
          <w:tcPr>
            <w:tcW w:w="58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681.1</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Proceeds from issuance of debt</w:t>
            </w:r>
          </w:p>
        </w:tc>
        <w:tc>
          <w:tcPr>
            <w:tcW w:w="58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34.0</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0.4</w:t>
            </w:r>
          </w:p>
        </w:tc>
        <w:tc>
          <w:tcPr>
            <w:tcW w:w="4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1"/>
        </w:trPr>
        <w:tc>
          <w:tcPr>
            <w:tcW w:w="638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(used for) financing activities</w:t>
            </w:r>
          </w:p>
        </w:tc>
        <w:tc>
          <w:tcPr>
            <w:tcW w:w="16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63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(123.3)</w:t>
            </w:r>
          </w:p>
        </w:tc>
        <w:tc>
          <w:tcPr>
            <w:tcW w:w="4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1,075.5</w:t>
            </w:r>
          </w:p>
        </w:tc>
        <w:tc>
          <w:tcPr>
            <w:tcW w:w="0" w:type="dxa"/>
            <w:vAlign w:val="bottom"/>
          </w:tcPr>
          <w:p>
            <w:pPr>
              <w:spacing w:after="0"/>
              <w:rPr>
                <w:sz w:val="1"/>
                <w:szCs w:val="1"/>
                <w:color w:val="auto"/>
              </w:rPr>
            </w:pPr>
          </w:p>
        </w:tc>
      </w:tr>
      <w:tr>
        <w:trPr>
          <w:trHeight w:val="249"/>
        </w:trPr>
        <w:tc>
          <w:tcPr>
            <w:tcW w:w="6380" w:type="dxa"/>
            <w:vAlign w:val="bottom"/>
          </w:tcPr>
          <w:p>
            <w:pPr>
              <w:spacing w:after="0"/>
              <w:rPr>
                <w:sz w:val="21"/>
                <w:szCs w:val="21"/>
                <w:color w:val="auto"/>
              </w:rPr>
            </w:pPr>
          </w:p>
        </w:tc>
        <w:tc>
          <w:tcPr>
            <w:tcW w:w="16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638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equivalents</w:t>
            </w:r>
          </w:p>
        </w:tc>
        <w:tc>
          <w:tcPr>
            <w:tcW w:w="580" w:type="dxa"/>
            <w:vAlign w:val="bottom"/>
          </w:tcPr>
          <w:p>
            <w:pPr>
              <w:spacing w:after="0"/>
              <w:rPr>
                <w:sz w:val="22"/>
                <w:szCs w:val="22"/>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135.3</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(129.9)</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Cash and equivalents at beginning of period</w:t>
            </w:r>
          </w:p>
        </w:tc>
        <w:tc>
          <w:tcPr>
            <w:tcW w:w="58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294.6</w:t>
            </w:r>
          </w:p>
        </w:tc>
        <w:tc>
          <w:tcPr>
            <w:tcW w:w="4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558.8</w:t>
            </w:r>
          </w:p>
        </w:tc>
        <w:tc>
          <w:tcPr>
            <w:tcW w:w="0" w:type="dxa"/>
            <w:vAlign w:val="bottom"/>
          </w:tcPr>
          <w:p>
            <w:pPr>
              <w:spacing w:after="0"/>
              <w:rPr>
                <w:sz w:val="1"/>
                <w:szCs w:val="1"/>
                <w:color w:val="auto"/>
              </w:rPr>
            </w:pPr>
          </w:p>
        </w:tc>
      </w:tr>
      <w:tr>
        <w:trPr>
          <w:trHeight w:val="171"/>
        </w:trPr>
        <w:tc>
          <w:tcPr>
            <w:tcW w:w="6380" w:type="dxa"/>
            <w:vAlign w:val="bottom"/>
            <w:vMerge w:val="restart"/>
          </w:tcPr>
          <w:p>
            <w:pPr>
              <w:spacing w:after="0"/>
              <w:rPr>
                <w:sz w:val="20"/>
                <w:szCs w:val="20"/>
                <w:color w:val="auto"/>
              </w:rPr>
            </w:pPr>
            <w:r>
              <w:rPr>
                <w:rFonts w:ascii="Courier New" w:cs="Courier New" w:eastAsia="Courier New" w:hAnsi="Courier New"/>
                <w:sz w:val="15"/>
                <w:szCs w:val="15"/>
                <w:color w:val="auto"/>
              </w:rPr>
              <w:t>Cash and equivalents at end of period</w:t>
            </w:r>
          </w:p>
        </w:tc>
        <w:tc>
          <w:tcPr>
            <w:tcW w:w="16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6380" w:type="dxa"/>
            <w:vAlign w:val="bottom"/>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429.9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428.9</w:t>
            </w:r>
          </w:p>
        </w:tc>
        <w:tc>
          <w:tcPr>
            <w:tcW w:w="0" w:type="dxa"/>
            <w:vAlign w:val="bottom"/>
          </w:tcPr>
          <w:p>
            <w:pPr>
              <w:spacing w:after="0"/>
              <w:rPr>
                <w:sz w:val="1"/>
                <w:szCs w:val="1"/>
                <w:color w:val="auto"/>
              </w:rPr>
            </w:pPr>
          </w:p>
        </w:tc>
      </w:tr>
      <w:tr>
        <w:trPr>
          <w:trHeight w:val="249"/>
        </w:trPr>
        <w:tc>
          <w:tcPr>
            <w:tcW w:w="6380" w:type="dxa"/>
            <w:vAlign w:val="bottom"/>
            <w:vMerge w:val="restart"/>
          </w:tcPr>
          <w:p>
            <w:pPr>
              <w:spacing w:after="0"/>
              <w:rPr>
                <w:sz w:val="20"/>
                <w:szCs w:val="20"/>
                <w:color w:val="auto"/>
              </w:rPr>
            </w:pPr>
            <w:r>
              <w:rPr>
                <w:rFonts w:ascii="Courier New" w:cs="Courier New" w:eastAsia="Courier New" w:hAnsi="Courier New"/>
                <w:sz w:val="15"/>
                <w:szCs w:val="15"/>
                <w:color w:val="auto"/>
              </w:rPr>
              <w:t>SUPPLEMENTAL DISCLOSURES</w:t>
            </w:r>
          </w:p>
        </w:tc>
        <w:tc>
          <w:tcPr>
            <w:tcW w:w="16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380" w:type="dxa"/>
            <w:vAlign w:val="bottom"/>
            <w:vMerge w:val="continue"/>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(54.9)</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(30.9)</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Interest paid, net of amounts capitalized</w:t>
            </w:r>
          </w:p>
        </w:tc>
        <w:tc>
          <w:tcPr>
            <w:tcW w:w="5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Income taxes refunded, net</w:t>
            </w:r>
          </w:p>
        </w:tc>
        <w:tc>
          <w:tcPr>
            <w:tcW w:w="58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168.1</w:t>
            </w:r>
          </w:p>
        </w:tc>
        <w:tc>
          <w:tcPr>
            <w:tcW w:w="4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171.4</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580" w:type="dxa"/>
            <w:vAlign w:val="bottom"/>
          </w:tcPr>
          <w:p>
            <w:pPr>
              <w:spacing w:after="0"/>
              <w:rPr>
                <w:sz w:val="14"/>
                <w:szCs w:val="14"/>
                <w:color w:val="auto"/>
              </w:rPr>
            </w:pPr>
          </w:p>
        </w:tc>
        <w:tc>
          <w:tcPr>
            <w:tcW w:w="110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135.1</w:t>
            </w:r>
          </w:p>
        </w:tc>
        <w:tc>
          <w:tcPr>
            <w:tcW w:w="400" w:type="dxa"/>
            <w:vAlign w:val="bottom"/>
          </w:tcPr>
          <w:p>
            <w:pPr>
              <w:spacing w:after="0"/>
              <w:rPr>
                <w:sz w:val="14"/>
                <w:szCs w:val="14"/>
                <w:color w:val="auto"/>
              </w:rPr>
            </w:pPr>
          </w:p>
        </w:tc>
        <w:tc>
          <w:tcPr>
            <w:tcW w:w="84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55.8</w:t>
            </w:r>
          </w:p>
        </w:tc>
        <w:tc>
          <w:tcPr>
            <w:tcW w:w="0" w:type="dxa"/>
            <w:vAlign w:val="bottom"/>
          </w:tcPr>
          <w:p>
            <w:pPr>
              <w:spacing w:after="0"/>
              <w:rPr>
                <w:sz w:val="1"/>
                <w:szCs w:val="1"/>
                <w:color w:val="auto"/>
              </w:rPr>
            </w:pPr>
          </w:p>
        </w:tc>
      </w:tr>
      <w:tr>
        <w:trPr>
          <w:trHeight w:val="171"/>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Equipment acquisitions on contracts payable and capital leases</w:t>
            </w:r>
          </w:p>
        </w:tc>
        <w:tc>
          <w:tcPr>
            <w:tcW w:w="5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Cash received in conjunction with acquisition:</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949.3</w:t>
            </w:r>
          </w:p>
        </w:tc>
        <w:tc>
          <w:tcPr>
            <w:tcW w:w="0" w:type="dxa"/>
            <w:vAlign w:val="bottom"/>
          </w:tcPr>
          <w:p>
            <w:pPr>
              <w:spacing w:after="0"/>
              <w:rPr>
                <w:sz w:val="1"/>
                <w:szCs w:val="1"/>
                <w:color w:val="auto"/>
              </w:rPr>
            </w:pPr>
          </w:p>
        </w:tc>
      </w:tr>
      <w:tr>
        <w:trPr>
          <w:trHeight w:val="171"/>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Fair value of assets acquired</w:t>
            </w:r>
          </w:p>
        </w:tc>
        <w:tc>
          <w:tcPr>
            <w:tcW w:w="5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Liabilities assumed</w:t>
            </w:r>
          </w:p>
        </w:tc>
        <w:tc>
          <w:tcPr>
            <w:tcW w:w="58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(138.0)</w:t>
            </w:r>
          </w:p>
        </w:tc>
        <w:tc>
          <w:tcPr>
            <w:tcW w:w="0" w:type="dxa"/>
            <w:vAlign w:val="bottom"/>
          </w:tcPr>
          <w:p>
            <w:pPr>
              <w:spacing w:after="0"/>
              <w:rPr>
                <w:sz w:val="1"/>
                <w:szCs w:val="1"/>
                <w:color w:val="auto"/>
              </w:rPr>
            </w:pPr>
          </w:p>
        </w:tc>
      </w:tr>
      <w:tr>
        <w:trPr>
          <w:trHeight w:val="171"/>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Debt issued</w:t>
            </w:r>
          </w:p>
        </w:tc>
        <w:tc>
          <w:tcPr>
            <w:tcW w:w="58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(836.0)</w:t>
            </w:r>
          </w:p>
        </w:tc>
        <w:tc>
          <w:tcPr>
            <w:tcW w:w="0" w:type="dxa"/>
            <w:vAlign w:val="bottom"/>
          </w:tcPr>
          <w:p>
            <w:pPr>
              <w:spacing w:after="0"/>
              <w:rPr>
                <w:sz w:val="1"/>
                <w:szCs w:val="1"/>
                <w:color w:val="auto"/>
              </w:rPr>
            </w:pPr>
          </w:p>
        </w:tc>
      </w:tr>
      <w:tr>
        <w:trPr>
          <w:trHeight w:val="171"/>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Stock issued</w:t>
            </w:r>
          </w:p>
        </w:tc>
        <w:tc>
          <w:tcPr>
            <w:tcW w:w="58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(656.4)</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16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681.1</w:t>
            </w:r>
          </w:p>
        </w:tc>
        <w:tc>
          <w:tcPr>
            <w:tcW w:w="0" w:type="dxa"/>
            <w:vAlign w:val="bottom"/>
          </w:tcPr>
          <w:p>
            <w:pPr>
              <w:spacing w:after="0"/>
              <w:rPr>
                <w:sz w:val="1"/>
                <w:szCs w:val="1"/>
                <w:color w:val="auto"/>
              </w:rPr>
            </w:pPr>
          </w:p>
        </w:tc>
      </w:tr>
      <w:tr>
        <w:trPr>
          <w:trHeight w:val="249"/>
        </w:trPr>
        <w:tc>
          <w:tcPr>
            <w:tcW w:w="6380" w:type="dxa"/>
            <w:vAlign w:val="bottom"/>
          </w:tcPr>
          <w:p>
            <w:pPr>
              <w:spacing w:after="0"/>
              <w:rPr>
                <w:sz w:val="21"/>
                <w:szCs w:val="21"/>
                <w:color w:val="auto"/>
              </w:rPr>
            </w:pPr>
          </w:p>
        </w:tc>
        <w:tc>
          <w:tcPr>
            <w:tcW w:w="16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05" w:right="1440" w:bottom="1440" w:gutter="0" w:footer="0" w:header="0"/>
        </w:sectPr>
      </w:pPr>
    </w:p>
    <w:bookmarkStart w:id="5" w:name="page6"/>
    <w:bookmarkEnd w:id="5"/>
    <w:p>
      <w:pPr>
        <w:jc w:val="center"/>
        <w:ind w:right="3219"/>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Consolidated Statements of Comprehensive Income (Loss)</w:t>
      </w:r>
    </w:p>
    <w:p>
      <w:pPr>
        <w:spacing w:after="0" w:line="2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(Dollars in millions)</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vMerge w:val="restart"/>
          </w:tcPr>
          <w:p>
            <w:pPr>
              <w:spacing w:after="0"/>
              <w:rPr>
                <w:sz w:val="20"/>
                <w:szCs w:val="20"/>
                <w:color w:val="auto"/>
              </w:rPr>
            </w:pPr>
            <w:r>
              <w:rPr>
                <w:rFonts w:ascii="Courier New" w:cs="Courier New" w:eastAsia="Courier New" w:hAnsi="Courier New"/>
                <w:sz w:val="15"/>
                <w:szCs w:val="15"/>
                <w:color w:val="auto"/>
              </w:rPr>
              <w:t>For the quarter ended</w:t>
            </w:r>
          </w:p>
        </w:tc>
        <w:tc>
          <w:tcPr>
            <w:tcW w:w="24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7"/>
              </w:rPr>
              <w:t>March 2,</w:t>
            </w:r>
          </w:p>
        </w:tc>
        <w:tc>
          <w:tcPr>
            <w:tcW w:w="10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9"/>
              </w:rPr>
              <w:t>March 4,</w:t>
            </w:r>
          </w:p>
        </w:tc>
        <w:tc>
          <w:tcPr>
            <w:tcW w:w="0" w:type="dxa"/>
            <w:vAlign w:val="bottom"/>
          </w:tcPr>
          <w:p>
            <w:pPr>
              <w:spacing w:after="0"/>
              <w:rPr>
                <w:sz w:val="1"/>
                <w:szCs w:val="1"/>
                <w:color w:val="auto"/>
              </w:rPr>
            </w:pPr>
          </w:p>
        </w:tc>
      </w:tr>
      <w:tr>
        <w:trPr>
          <w:trHeight w:val="197"/>
        </w:trPr>
        <w:tc>
          <w:tcPr>
            <w:tcW w:w="3280" w:type="dxa"/>
            <w:vAlign w:val="bottom"/>
            <w:vMerge w:val="continue"/>
          </w:tcPr>
          <w:p>
            <w:pPr>
              <w:spacing w:after="0"/>
              <w:rPr>
                <w:sz w:val="17"/>
                <w:szCs w:val="17"/>
                <w:color w:val="auto"/>
              </w:rPr>
            </w:pPr>
          </w:p>
        </w:tc>
        <w:tc>
          <w:tcPr>
            <w:tcW w:w="24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$161.3</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$ 22.4</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currency translation adjustment</w:t>
            </w: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71"/>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Unrealized gain (loss) on investments</w:t>
            </w: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1"/>
        </w:trPr>
        <w:tc>
          <w:tcPr>
            <w:tcW w:w="6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Total</w:t>
            </w:r>
          </w:p>
        </w:tc>
        <w:tc>
          <w:tcPr>
            <w:tcW w:w="34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comprehensive income</w:t>
            </w:r>
          </w:p>
        </w:tc>
        <w:tc>
          <w:tcPr>
            <w:tcW w:w="164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w w:val="98"/>
              </w:rPr>
              <w:t>$</w:t>
            </w:r>
            <w:r>
              <w:rPr>
                <w:rFonts w:ascii="Courier New" w:cs="Courier New" w:eastAsia="Courier New" w:hAnsi="Courier New"/>
                <w:sz w:val="29"/>
                <w:szCs w:val="29"/>
                <w:color w:val="auto"/>
                <w:w w:val="98"/>
                <w:vertAlign w:val="superscript"/>
              </w:rPr>
              <w:t>------</w:t>
            </w:r>
            <w:r>
              <w:rPr>
                <w:rFonts w:ascii="Courier New" w:cs="Courier New" w:eastAsia="Courier New" w:hAnsi="Courier New"/>
                <w:sz w:val="15"/>
                <w:szCs w:val="15"/>
                <w:color w:val="auto"/>
                <w:w w:val="98"/>
              </w:rPr>
              <w:t>200.1</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660" w:type="dxa"/>
            <w:vAlign w:val="bottom"/>
            <w:vMerge w:val="continue"/>
          </w:tcPr>
          <w:p>
            <w:pPr>
              <w:spacing w:after="0"/>
              <w:rPr>
                <w:sz w:val="14"/>
                <w:szCs w:val="14"/>
                <w:color w:val="auto"/>
              </w:rPr>
            </w:pPr>
          </w:p>
        </w:tc>
        <w:tc>
          <w:tcPr>
            <w:tcW w:w="342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$ 21.3</w:t>
            </w:r>
          </w:p>
        </w:tc>
        <w:tc>
          <w:tcPr>
            <w:tcW w:w="0" w:type="dxa"/>
            <w:vAlign w:val="bottom"/>
          </w:tcPr>
          <w:p>
            <w:pPr>
              <w:spacing w:after="0"/>
              <w:rPr>
                <w:sz w:val="1"/>
                <w:szCs w:val="1"/>
                <w:color w:val="auto"/>
              </w:rPr>
            </w:pPr>
          </w:p>
        </w:tc>
      </w:tr>
      <w:tr>
        <w:trPr>
          <w:trHeight w:val="249"/>
        </w:trPr>
        <w:tc>
          <w:tcPr>
            <w:tcW w:w="6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3"/>
        </w:trPr>
        <w:tc>
          <w:tcPr>
            <w:tcW w:w="660" w:type="dxa"/>
            <w:vAlign w:val="bottom"/>
            <w:vMerge w:val="restart"/>
          </w:tcPr>
          <w:p>
            <w:pPr>
              <w:spacing w:after="0"/>
              <w:rPr>
                <w:sz w:val="20"/>
                <w:szCs w:val="20"/>
                <w:color w:val="auto"/>
              </w:rPr>
            </w:pPr>
            <w:r>
              <w:rPr>
                <w:rFonts w:ascii="Courier New" w:cs="Courier New" w:eastAsia="Courier New" w:hAnsi="Courier New"/>
                <w:sz w:val="15"/>
                <w:szCs w:val="15"/>
                <w:color w:val="auto"/>
              </w:rPr>
              <w:t>For the</w:t>
            </w:r>
          </w:p>
        </w:tc>
        <w:tc>
          <w:tcPr>
            <w:tcW w:w="34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six months ended</w:t>
            </w:r>
          </w:p>
        </w:tc>
        <w:tc>
          <w:tcPr>
            <w:tcW w:w="16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March 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March 4,</w:t>
            </w:r>
          </w:p>
        </w:tc>
        <w:tc>
          <w:tcPr>
            <w:tcW w:w="0" w:type="dxa"/>
            <w:vAlign w:val="bottom"/>
          </w:tcPr>
          <w:p>
            <w:pPr>
              <w:spacing w:after="0"/>
              <w:rPr>
                <w:sz w:val="1"/>
                <w:szCs w:val="1"/>
                <w:color w:val="auto"/>
              </w:rPr>
            </w:pPr>
          </w:p>
        </w:tc>
      </w:tr>
      <w:tr>
        <w:trPr>
          <w:trHeight w:val="197"/>
        </w:trPr>
        <w:tc>
          <w:tcPr>
            <w:tcW w:w="660" w:type="dxa"/>
            <w:vAlign w:val="bottom"/>
            <w:vMerge w:val="continue"/>
          </w:tcPr>
          <w:p>
            <w:pPr>
              <w:spacing w:after="0"/>
              <w:rPr>
                <w:sz w:val="17"/>
                <w:szCs w:val="17"/>
                <w:color w:val="auto"/>
              </w:rPr>
            </w:pPr>
          </w:p>
        </w:tc>
        <w:tc>
          <w:tcPr>
            <w:tcW w:w="3420" w:type="dxa"/>
            <w:vAlign w:val="bottom"/>
            <w:vMerge w:val="continue"/>
          </w:tcPr>
          <w:p>
            <w:pPr>
              <w:spacing w:after="0"/>
              <w:rPr>
                <w:sz w:val="17"/>
                <w:szCs w:val="17"/>
                <w:color w:val="auto"/>
              </w:rPr>
            </w:pPr>
          </w:p>
        </w:tc>
        <w:tc>
          <w:tcPr>
            <w:tcW w:w="16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$502.6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$(23.7)</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Unrealized gain (loss) on investments</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1"/>
        </w:trPr>
        <w:tc>
          <w:tcPr>
            <w:tcW w:w="41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Total comprehensive income (loss)</w:t>
            </w:r>
          </w:p>
        </w:tc>
        <w:tc>
          <w:tcPr>
            <w:tcW w:w="1600" w:type="dxa"/>
            <w:vAlign w:val="bottom"/>
            <w:vMerge w:val="restart"/>
          </w:tcPr>
          <w:p>
            <w:pPr>
              <w:jc w:val="right"/>
              <w:ind w:right="326"/>
              <w:spacing w:after="0"/>
              <w:rPr>
                <w:sz w:val="20"/>
                <w:szCs w:val="20"/>
                <w:color w:val="auto"/>
              </w:rPr>
            </w:pPr>
            <w:r>
              <w:rPr>
                <w:rFonts w:ascii="Courier New" w:cs="Courier New" w:eastAsia="Courier New" w:hAnsi="Courier New"/>
                <w:sz w:val="29"/>
                <w:szCs w:val="29"/>
                <w:color w:val="auto"/>
                <w:w w:val="95"/>
                <w:vertAlign w:val="subscript"/>
              </w:rPr>
              <w:t>$</w:t>
            </w:r>
            <w:r>
              <w:rPr>
                <w:rFonts w:ascii="Courier New" w:cs="Courier New" w:eastAsia="Courier New" w:hAnsi="Courier New"/>
                <w:sz w:val="15"/>
                <w:szCs w:val="15"/>
                <w:color w:val="auto"/>
                <w:w w:val="95"/>
              </w:rPr>
              <w:t>------</w:t>
            </w:r>
            <w:r>
              <w:rPr>
                <w:rFonts w:ascii="Courier New" w:cs="Courier New" w:eastAsia="Courier New" w:hAnsi="Courier New"/>
                <w:sz w:val="29"/>
                <w:szCs w:val="29"/>
                <w:color w:val="auto"/>
                <w:w w:val="95"/>
                <w:vertAlign w:val="subscript"/>
              </w:rPr>
              <w:t>542.1</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1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0" w:type="dxa"/>
            <w:vAlign w:val="bottom"/>
          </w:tcPr>
          <w:p>
            <w:pPr>
              <w:spacing w:after="0"/>
              <w:rPr>
                <w:sz w:val="1"/>
                <w:szCs w:val="1"/>
                <w:color w:val="auto"/>
              </w:rPr>
            </w:pPr>
          </w:p>
        </w:tc>
      </w:tr>
      <w:tr>
        <w:trPr>
          <w:trHeight w:val="249"/>
        </w:trPr>
        <w:tc>
          <w:tcPr>
            <w:tcW w:w="4120" w:type="dxa"/>
            <w:vAlign w:val="bottom"/>
          </w:tcPr>
          <w:p>
            <w:pPr>
              <w:spacing w:after="0"/>
              <w:rPr>
                <w:sz w:val="21"/>
                <w:szCs w:val="21"/>
                <w:color w:val="auto"/>
              </w:rPr>
            </w:pP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05" w:right="1440" w:bottom="1440" w:gutter="0" w:footer="0" w:header="0"/>
        </w:sectPr>
      </w:pPr>
    </w:p>
    <w:bookmarkStart w:id="6" w:name="page7"/>
    <w:bookmarkEnd w:id="6"/>
    <w:p>
      <w:pPr>
        <w:ind w:left="158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7"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(All tabular dollar amounts are stated in millions)</w:t>
      </w:r>
    </w:p>
    <w:p>
      <w:pPr>
        <w:spacing w:after="0" w:line="145" w:lineRule="exact"/>
        <w:rPr>
          <w:sz w:val="20"/>
          <w:szCs w:val="20"/>
          <w:color w:val="auto"/>
        </w:rPr>
      </w:pPr>
    </w:p>
    <w:p>
      <w:pPr>
        <w:ind w:left="449" w:hanging="449"/>
        <w:spacing w:after="0"/>
        <w:tabs>
          <w:tab w:leader="none" w:pos="4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interim financial statements</w:t>
      </w:r>
    </w:p>
    <w:p>
      <w:pPr>
        <w:spacing w:after="0" w:line="171" w:lineRule="exact"/>
        <w:rPr>
          <w:sz w:val="20"/>
          <w:szCs w:val="20"/>
          <w:color w:val="auto"/>
        </w:rPr>
      </w:pPr>
    </w:p>
    <w:p>
      <w:pPr>
        <w:ind w:left="9" w:right="3119" w:firstLine="444"/>
        <w:spacing w:after="0" w:line="257" w:lineRule="auto"/>
        <w:rPr>
          <w:sz w:val="20"/>
          <w:szCs w:val="20"/>
          <w:color w:val="auto"/>
        </w:rPr>
      </w:pPr>
      <w:r>
        <w:rPr>
          <w:rFonts w:ascii="Courier New" w:cs="Courier New" w:eastAsia="Courier New" w:hAnsi="Courier New"/>
          <w:sz w:val="15"/>
          <w:szCs w:val="15"/>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and their consolidated results of operations and cash flows. Micron Technology, Inc. and its wholly-owned subsidiaries are collectively hereinafter referred to as "MTI." Micron Electronics, Inc., an approximately 61% owned subsidiary of the Company, is hereinafter referred to as "MEI."</w:t>
      </w:r>
    </w:p>
    <w:p>
      <w:pPr>
        <w:spacing w:after="0" w:line="80" w:lineRule="exact"/>
        <w:rPr>
          <w:sz w:val="20"/>
          <w:szCs w:val="20"/>
          <w:color w:val="auto"/>
        </w:rPr>
      </w:pPr>
    </w:p>
    <w:p>
      <w:pPr>
        <w:ind w:left="9" w:right="3119" w:firstLine="444"/>
        <w:spacing w:after="0" w:line="269" w:lineRule="auto"/>
        <w:rPr>
          <w:sz w:val="20"/>
          <w:szCs w:val="20"/>
          <w:color w:val="auto"/>
        </w:rPr>
      </w:pPr>
      <w:r>
        <w:rPr>
          <w:rFonts w:ascii="Courier New" w:cs="Courier New" w:eastAsia="Courier New" w:hAnsi="Courier New"/>
          <w:sz w:val="15"/>
          <w:szCs w:val="15"/>
          <w:color w:val="auto"/>
        </w:rPr>
        <w:t>Recently issued accounting standards include Statement of Financial Accounting Standards ("SFAS") No. 133 "Accounting for Derivative Instruments and Hedging Activities," issued by the FASB in June 1998 and Staff Accounting Bulletin ("SAB") No. 101 "Revenue Recognition in Financial Statements," issued by the Securities and Exchange Commission in December 1999.</w:t>
      </w:r>
    </w:p>
    <w:p>
      <w:pPr>
        <w:spacing w:after="0" w:line="72" w:lineRule="exact"/>
        <w:rPr>
          <w:sz w:val="20"/>
          <w:szCs w:val="20"/>
          <w:color w:val="auto"/>
        </w:rPr>
      </w:pPr>
    </w:p>
    <w:p>
      <w:pPr>
        <w:ind w:left="9" w:right="3119" w:firstLine="444"/>
        <w:spacing w:after="0" w:line="270" w:lineRule="auto"/>
        <w:rPr>
          <w:sz w:val="20"/>
          <w:szCs w:val="20"/>
          <w:color w:val="auto"/>
        </w:rPr>
      </w:pPr>
      <w:r>
        <w:rPr>
          <w:rFonts w:ascii="Courier New" w:cs="Courier New" w:eastAsia="Courier New" w:hAnsi="Courier New"/>
          <w:sz w:val="14"/>
          <w:szCs w:val="14"/>
          <w:color w:val="auto"/>
        </w:rPr>
        <w:t>SFAS No. 133 requires that all derivatives be recorded as either assets or liabilities in the balance sheet and marked to market on an ongoing basis. SFAS No. 133 applies to all derivatives including stand-alone instruments, such as forward currency exchange contracts and interest rate swaps, or embedded derivatives, such as call options contained in convertible debt investments. Along with the derivatives, the underlying hedged items are also to be marked to market on an ongoing basis. These market value adjustments are to be included either in the statement of operations or as a component of comprehensive income, depending on the nature of the transaction. Implementation of SFAS No. 133 is required for the Company by the first quarter of 2001. The implementation of SFAS 133 is not expected to have a significant impact on the Company's future results of operations or financial position.</w:t>
      </w:r>
    </w:p>
    <w:p>
      <w:pPr>
        <w:spacing w:after="0" w:line="78" w:lineRule="exact"/>
        <w:rPr>
          <w:sz w:val="20"/>
          <w:szCs w:val="20"/>
          <w:color w:val="auto"/>
        </w:rPr>
      </w:pPr>
    </w:p>
    <w:p>
      <w:pPr>
        <w:ind w:left="9" w:right="3119" w:firstLine="444"/>
        <w:spacing w:after="0" w:line="263" w:lineRule="auto"/>
        <w:rPr>
          <w:sz w:val="20"/>
          <w:szCs w:val="20"/>
          <w:color w:val="auto"/>
        </w:rPr>
      </w:pPr>
      <w:r>
        <w:rPr>
          <w:rFonts w:ascii="Courier New" w:cs="Courier New" w:eastAsia="Courier New" w:hAnsi="Courier New"/>
          <w:sz w:val="15"/>
          <w:szCs w:val="15"/>
          <w:color w:val="auto"/>
        </w:rPr>
        <w:t>SAB No. 101 summarizes certain staff views in applying generally accepted accounting principles to revenue recognition in the financial statements. Adoption is required for the Company by the first quarter of fiscal 2001. The implementation of SAB No. 101 is not expected to impact results of the Company's semiconductor operations and the Company is currently evaluating the effect SAB No. 101 will have on results of the Company's PC operations.</w:t>
      </w:r>
    </w:p>
    <w:p>
      <w:pPr>
        <w:spacing w:after="0" w:line="77" w:lineRule="exact"/>
        <w:rPr>
          <w:sz w:val="20"/>
          <w:szCs w:val="20"/>
          <w:color w:val="auto"/>
        </w:rPr>
      </w:pPr>
    </w:p>
    <w:p>
      <w:pPr>
        <w:ind w:left="9" w:right="3219" w:firstLine="444"/>
        <w:spacing w:after="0" w:line="297" w:lineRule="auto"/>
        <w:rPr>
          <w:sz w:val="20"/>
          <w:szCs w:val="20"/>
          <w:color w:val="auto"/>
        </w:rPr>
      </w:pPr>
      <w:r>
        <w:rPr>
          <w:rFonts w:ascii="Courier New" w:cs="Courier New" w:eastAsia="Courier New" w:hAnsi="Courier New"/>
          <w:sz w:val="15"/>
          <w:szCs w:val="15"/>
          <w:color w:val="auto"/>
        </w:rPr>
        <w:t>These unaudited interim financial statements should be read in conjunction with the consolidated financial statements and accompanying notes included in the Company's Form 10-K for the year ended September 2, 1999.</w:t>
      </w:r>
    </w:p>
    <w:p>
      <w:pPr>
        <w:spacing w:after="0" w:line="52"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Supplemental balance sheet information</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2300" w:type="dxa"/>
            <w:vAlign w:val="bottom"/>
            <w:vMerge w:val="restart"/>
          </w:tcPr>
          <w:p>
            <w:pPr>
              <w:spacing w:after="0"/>
              <w:rPr>
                <w:sz w:val="20"/>
                <w:szCs w:val="20"/>
                <w:color w:val="auto"/>
              </w:rPr>
            </w:pPr>
            <w:r>
              <w:rPr>
                <w:rFonts w:ascii="Courier New" w:cs="Courier New" w:eastAsia="Courier New" w:hAnsi="Courier New"/>
                <w:sz w:val="15"/>
                <w:szCs w:val="15"/>
                <w:color w:val="auto"/>
              </w:rPr>
              <w:t>As of</w:t>
            </w:r>
          </w:p>
        </w:tc>
        <w:tc>
          <w:tcPr>
            <w:tcW w:w="2800" w:type="dxa"/>
            <w:vAlign w:val="bottom"/>
          </w:tcPr>
          <w:p>
            <w:pPr>
              <w:jc w:val="center"/>
              <w:ind w:left="1566"/>
              <w:spacing w:after="0"/>
              <w:rPr>
                <w:sz w:val="20"/>
                <w:szCs w:val="20"/>
                <w:color w:val="auto"/>
              </w:rPr>
            </w:pPr>
            <w:r>
              <w:rPr>
                <w:rFonts w:ascii="Courier New" w:cs="Courier New" w:eastAsia="Courier New" w:hAnsi="Courier New"/>
                <w:sz w:val="15"/>
                <w:szCs w:val="15"/>
                <w:color w:val="auto"/>
                <w:w w:val="99"/>
              </w:rPr>
              <w:t>March 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September 2,</w:t>
            </w:r>
          </w:p>
        </w:tc>
        <w:tc>
          <w:tcPr>
            <w:tcW w:w="0" w:type="dxa"/>
            <w:vAlign w:val="bottom"/>
          </w:tcPr>
          <w:p>
            <w:pPr>
              <w:spacing w:after="0"/>
              <w:rPr>
                <w:sz w:val="1"/>
                <w:szCs w:val="1"/>
                <w:color w:val="auto"/>
              </w:rPr>
            </w:pPr>
          </w:p>
        </w:tc>
      </w:tr>
      <w:tr>
        <w:trPr>
          <w:trHeight w:val="197"/>
        </w:trPr>
        <w:tc>
          <w:tcPr>
            <w:tcW w:w="2300" w:type="dxa"/>
            <w:vAlign w:val="bottom"/>
            <w:vMerge w:val="continue"/>
          </w:tcPr>
          <w:p>
            <w:pPr>
              <w:spacing w:after="0"/>
              <w:rPr>
                <w:sz w:val="17"/>
                <w:szCs w:val="17"/>
                <w:color w:val="auto"/>
              </w:rPr>
            </w:pPr>
          </w:p>
        </w:tc>
        <w:tc>
          <w:tcPr>
            <w:tcW w:w="2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bl>
    <w:p>
      <w:pPr>
        <w:ind w:left="9"/>
        <w:spacing w:after="0"/>
        <w:rPr>
          <w:sz w:val="20"/>
          <w:szCs w:val="20"/>
          <w:color w:val="auto"/>
        </w:rPr>
      </w:pPr>
      <w:r>
        <w:rPr>
          <w:rFonts w:ascii="Courier New" w:cs="Courier New" w:eastAsia="Courier New" w:hAnsi="Courier New"/>
          <w:sz w:val="14"/>
          <w:szCs w:val="14"/>
          <w:color w:val="auto"/>
        </w:rPr>
        <w:t>- -------------------------------------------------------------------------------</w:t>
      </w:r>
    </w:p>
    <w:p>
      <w:pPr>
        <w:spacing w:after="0" w:line="15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Receivables</w:t>
      </w:r>
    </w:p>
    <w:p>
      <w:pPr>
        <w:spacing w:after="0" w:line="27"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tbl>
      <w:tblPr>
        <w:tblLayout w:type="fixed"/>
        <w:tblInd w:w="169" w:type="dxa"/>
        <w:tblCellMar>
          <w:top w:w="0" w:type="dxa"/>
          <w:left w:w="0" w:type="dxa"/>
          <w:bottom w:w="0" w:type="dxa"/>
          <w:right w:w="0" w:type="dxa"/>
        </w:tblCellMar>
      </w:tblPr>
      <w:tr>
        <w:trPr>
          <w:trHeight w:val="157"/>
        </w:trPr>
        <w:tc>
          <w:tcPr>
            <w:tcW w:w="3200" w:type="dxa"/>
            <w:vAlign w:val="bottom"/>
          </w:tcPr>
          <w:p>
            <w:pPr>
              <w:spacing w:after="0" w:line="157" w:lineRule="exact"/>
              <w:rPr>
                <w:sz w:val="20"/>
                <w:szCs w:val="20"/>
                <w:color w:val="auto"/>
              </w:rPr>
            </w:pPr>
            <w:r>
              <w:rPr>
                <w:rFonts w:ascii="Courier New" w:cs="Courier New" w:eastAsia="Courier New" w:hAnsi="Courier New"/>
                <w:sz w:val="15"/>
                <w:szCs w:val="15"/>
                <w:color w:val="auto"/>
              </w:rPr>
              <w:t>Trade receivables</w:t>
            </w:r>
          </w:p>
        </w:tc>
        <w:tc>
          <w:tcPr>
            <w:tcW w:w="980" w:type="dxa"/>
            <w:vAlign w:val="bottom"/>
          </w:tcPr>
          <w:p>
            <w:pPr>
              <w:ind w:left="800"/>
              <w:spacing w:after="0" w:line="157"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6"/>
              <w:spacing w:after="0" w:line="157" w:lineRule="exact"/>
              <w:rPr>
                <w:sz w:val="20"/>
                <w:szCs w:val="20"/>
                <w:color w:val="auto"/>
              </w:rPr>
            </w:pPr>
            <w:r>
              <w:rPr>
                <w:rFonts w:ascii="Courier New" w:cs="Courier New" w:eastAsia="Courier New" w:hAnsi="Courier New"/>
                <w:sz w:val="15"/>
                <w:szCs w:val="15"/>
                <w:color w:val="auto"/>
                <w:w w:val="93"/>
              </w:rPr>
              <w:t>692.9</w:t>
            </w:r>
          </w:p>
        </w:tc>
        <w:tc>
          <w:tcPr>
            <w:tcW w:w="1020" w:type="dxa"/>
            <w:vAlign w:val="bottom"/>
          </w:tcPr>
          <w:p>
            <w:pPr>
              <w:jc w:val="right"/>
              <w:ind w:right="6"/>
              <w:spacing w:after="0" w:line="157" w:lineRule="exact"/>
              <w:rPr>
                <w:sz w:val="20"/>
                <w:szCs w:val="20"/>
                <w:color w:val="auto"/>
              </w:rPr>
            </w:pPr>
            <w:r>
              <w:rPr>
                <w:rFonts w:ascii="Courier New" w:cs="Courier New" w:eastAsia="Courier New" w:hAnsi="Courier New"/>
                <w:sz w:val="15"/>
                <w:szCs w:val="15"/>
                <w:color w:val="auto"/>
              </w:rPr>
              <w:t>$ 542.4</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20"/>
                <w:szCs w:val="20"/>
                <w:color w:val="auto"/>
              </w:rPr>
            </w:pPr>
            <w:r>
              <w:rPr>
                <w:rFonts w:ascii="Courier New" w:cs="Courier New" w:eastAsia="Courier New" w:hAnsi="Courier New"/>
                <w:sz w:val="15"/>
                <w:szCs w:val="15"/>
                <w:color w:val="auto"/>
              </w:rPr>
              <w:t>Income taxes receivable</w:t>
            </w:r>
          </w:p>
        </w:tc>
        <w:tc>
          <w:tcPr>
            <w:tcW w:w="9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116.2</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100.8</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20"/>
                <w:szCs w:val="20"/>
                <w:color w:val="auto"/>
              </w:rPr>
            </w:pPr>
            <w:r>
              <w:rPr>
                <w:rFonts w:ascii="Courier New" w:cs="Courier New" w:eastAsia="Courier New" w:hAnsi="Courier New"/>
                <w:sz w:val="15"/>
                <w:szCs w:val="15"/>
                <w:color w:val="auto"/>
              </w:rPr>
              <w:t>Allowance for returns and discounts</w:t>
            </w:r>
          </w:p>
        </w:tc>
        <w:tc>
          <w:tcPr>
            <w:tcW w:w="98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(42.4)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(38.2)</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98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(10.7)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 receivables</w:t>
            </w:r>
          </w:p>
        </w:tc>
        <w:tc>
          <w:tcPr>
            <w:tcW w:w="9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119.8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97.4</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980" w:type="dxa"/>
            <w:vAlign w:val="bottom"/>
            <w:vMerge w:val="restart"/>
          </w:tcPr>
          <w:p>
            <w:pPr>
              <w:ind w:left="800"/>
              <w:spacing w:after="0"/>
              <w:rPr>
                <w:sz w:val="20"/>
                <w:szCs w:val="20"/>
                <w:color w:val="auto"/>
              </w:rPr>
            </w:pPr>
            <w:r>
              <w:rPr>
                <w:rFonts w:ascii="Courier New" w:cs="Courier New" w:eastAsia="Courier New" w:hAnsi="Courier New"/>
                <w:sz w:val="7"/>
                <w:szCs w:val="7"/>
                <w:color w:val="auto"/>
                <w:w w:val="81"/>
                <w:vertAlign w:val="subscript"/>
              </w:rPr>
              <w:t>$</w:t>
            </w:r>
            <w:r>
              <w:rPr>
                <w:rFonts w:ascii="Courier New" w:cs="Courier New" w:eastAsia="Courier New" w:hAnsi="Courier New"/>
                <w:sz w:val="4"/>
                <w:szCs w:val="4"/>
                <w:color w:val="auto"/>
                <w:w w:val="81"/>
              </w:rPr>
              <w:t>-------</w:t>
            </w:r>
          </w:p>
        </w:tc>
        <w:tc>
          <w:tcPr>
            <w:tcW w:w="84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w w:val="93"/>
              </w:rPr>
              <w:t>875.8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$ 692.6</w:t>
            </w:r>
          </w:p>
        </w:tc>
        <w:tc>
          <w:tcPr>
            <w:tcW w:w="0" w:type="dxa"/>
            <w:vAlign w:val="bottom"/>
          </w:tcPr>
          <w:p>
            <w:pPr>
              <w:spacing w:after="0"/>
              <w:rPr>
                <w:sz w:val="1"/>
                <w:szCs w:val="1"/>
                <w:color w:val="auto"/>
              </w:rPr>
            </w:pPr>
          </w:p>
        </w:tc>
      </w:tr>
      <w:tr>
        <w:trPr>
          <w:trHeight w:val="249"/>
        </w:trPr>
        <w:tc>
          <w:tcPr>
            <w:tcW w:w="3200" w:type="dxa"/>
            <w:vAlign w:val="bottom"/>
          </w:tcPr>
          <w:p>
            <w:pPr>
              <w:spacing w:after="0"/>
              <w:rPr>
                <w:sz w:val="21"/>
                <w:szCs w:val="21"/>
                <w:color w:val="auto"/>
              </w:rPr>
            </w:pPr>
          </w:p>
        </w:tc>
        <w:tc>
          <w:tcPr>
            <w:tcW w:w="18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1"/>
        </w:trPr>
        <w:tc>
          <w:tcPr>
            <w:tcW w:w="3200" w:type="dxa"/>
            <w:vAlign w:val="bottom"/>
          </w:tcPr>
          <w:p>
            <w:pPr>
              <w:spacing w:after="0"/>
              <w:rPr>
                <w:sz w:val="24"/>
                <w:szCs w:val="24"/>
                <w:color w:val="auto"/>
              </w:rPr>
            </w:pPr>
          </w:p>
        </w:tc>
        <w:tc>
          <w:tcPr>
            <w:tcW w:w="980" w:type="dxa"/>
            <w:vAlign w:val="bottom"/>
          </w:tcPr>
          <w:p>
            <w:pPr>
              <w:jc w:val="right"/>
              <w:ind w:right="740"/>
              <w:spacing w:after="0"/>
              <w:rPr>
                <w:sz w:val="20"/>
                <w:szCs w:val="20"/>
                <w:color w:val="auto"/>
              </w:rPr>
            </w:pPr>
            <w:r>
              <w:rPr>
                <w:rFonts w:ascii="Courier New" w:cs="Courier New" w:eastAsia="Courier New" w:hAnsi="Courier New"/>
                <w:sz w:val="15"/>
                <w:szCs w:val="15"/>
                <w:color w:val="auto"/>
              </w:rPr>
              <w:t>6</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8"/>
          </w:cols>
          <w:pgMar w:left="231" w:top="605"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Notes to Consolidated Financial Statements, continued</w:t>
            </w:r>
          </w:p>
        </w:tc>
        <w:tc>
          <w:tcPr>
            <w:tcW w:w="9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3"/>
        </w:trPr>
        <w:tc>
          <w:tcPr>
            <w:tcW w:w="4780" w:type="dxa"/>
            <w:vAlign w:val="bottom"/>
          </w:tcPr>
          <w:p>
            <w:pPr>
              <w:spacing w:after="0"/>
              <w:rPr>
                <w:sz w:val="20"/>
                <w:szCs w:val="20"/>
                <w:color w:val="auto"/>
              </w:rPr>
            </w:pPr>
            <w:r>
              <w:rPr>
                <w:rFonts w:ascii="Courier New" w:cs="Courier New" w:eastAsia="Courier New" w:hAnsi="Courier New"/>
                <w:sz w:val="15"/>
                <w:szCs w:val="15"/>
                <w:color w:val="auto"/>
              </w:rPr>
              <w:t>Supplemental balance sheet information, continued</w:t>
            </w: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780" w:type="dxa"/>
            <w:vAlign w:val="bottom"/>
            <w:vMerge w:val="restart"/>
          </w:tcPr>
          <w:p>
            <w:pPr>
              <w:spacing w:after="0"/>
              <w:rPr>
                <w:sz w:val="20"/>
                <w:szCs w:val="20"/>
                <w:color w:val="auto"/>
              </w:rPr>
            </w:pPr>
            <w:r>
              <w:rPr>
                <w:rFonts w:ascii="Courier New" w:cs="Courier New" w:eastAsia="Courier New" w:hAnsi="Courier New"/>
                <w:sz w:val="15"/>
                <w:szCs w:val="15"/>
                <w:color w:val="auto"/>
              </w:rPr>
              <w:t>As of</w:t>
            </w: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March 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September 2,</w:t>
            </w:r>
          </w:p>
        </w:tc>
        <w:tc>
          <w:tcPr>
            <w:tcW w:w="0" w:type="dxa"/>
            <w:vAlign w:val="bottom"/>
          </w:tcPr>
          <w:p>
            <w:pPr>
              <w:spacing w:after="0"/>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160" w:type="dxa"/>
        <w:tblCellMar>
          <w:top w:w="0" w:type="dxa"/>
          <w:left w:w="0" w:type="dxa"/>
          <w:bottom w:w="0" w:type="dxa"/>
          <w:right w:w="0" w:type="dxa"/>
        </w:tblCellMar>
      </w:tblPr>
      <w:tr>
        <w:trPr>
          <w:trHeight w:val="157"/>
        </w:trPr>
        <w:tc>
          <w:tcPr>
            <w:tcW w:w="3460" w:type="dxa"/>
            <w:vAlign w:val="bottom"/>
          </w:tcPr>
          <w:p>
            <w:pPr>
              <w:spacing w:after="0" w:line="157" w:lineRule="exact"/>
              <w:rPr>
                <w:sz w:val="20"/>
                <w:szCs w:val="20"/>
                <w:color w:val="auto"/>
              </w:rPr>
            </w:pPr>
            <w:r>
              <w:rPr>
                <w:rFonts w:ascii="Courier New" w:cs="Courier New" w:eastAsia="Courier New" w:hAnsi="Courier New"/>
                <w:sz w:val="15"/>
                <w:szCs w:val="15"/>
                <w:color w:val="auto"/>
              </w:rPr>
              <w:t>Finished goods</w:t>
            </w:r>
          </w:p>
        </w:tc>
        <w:tc>
          <w:tcPr>
            <w:tcW w:w="1520" w:type="dxa"/>
            <w:vAlign w:val="bottom"/>
          </w:tcPr>
          <w:p>
            <w:pPr>
              <w:ind w:left="1160"/>
              <w:spacing w:after="0" w:line="157"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line="157" w:lineRule="exact"/>
              <w:rPr>
                <w:sz w:val="20"/>
                <w:szCs w:val="20"/>
                <w:color w:val="auto"/>
              </w:rPr>
            </w:pPr>
            <w:r>
              <w:rPr>
                <w:rFonts w:ascii="Courier New" w:cs="Courier New" w:eastAsia="Courier New" w:hAnsi="Courier New"/>
                <w:sz w:val="15"/>
                <w:szCs w:val="15"/>
                <w:color w:val="auto"/>
                <w:w w:val="93"/>
              </w:rPr>
              <w:t>331.0</w:t>
            </w:r>
          </w:p>
        </w:tc>
        <w:tc>
          <w:tcPr>
            <w:tcW w:w="360" w:type="dxa"/>
            <w:vAlign w:val="bottom"/>
          </w:tcPr>
          <w:p>
            <w:pPr>
              <w:jc w:val="right"/>
              <w:ind w:right="66"/>
              <w:spacing w:after="0" w:line="157"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line="157" w:lineRule="exact"/>
              <w:rPr>
                <w:sz w:val="20"/>
                <w:szCs w:val="20"/>
                <w:color w:val="auto"/>
              </w:rPr>
            </w:pPr>
            <w:r>
              <w:rPr>
                <w:rFonts w:ascii="Courier New" w:cs="Courier New" w:eastAsia="Courier New" w:hAnsi="Courier New"/>
                <w:sz w:val="15"/>
                <w:szCs w:val="15"/>
                <w:color w:val="auto"/>
              </w:rPr>
              <w:t>136.3</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Work in progress</w:t>
            </w:r>
          </w:p>
        </w:tc>
        <w:tc>
          <w:tcPr>
            <w:tcW w:w="15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286.6</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173.6</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Raw materials and supplies</w:t>
            </w:r>
          </w:p>
        </w:tc>
        <w:tc>
          <w:tcPr>
            <w:tcW w:w="15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87.4</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71.5</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Allowance for obsolescence</w:t>
            </w:r>
          </w:p>
        </w:tc>
        <w:tc>
          <w:tcPr>
            <w:tcW w:w="15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(14.9)</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520" w:type="dxa"/>
            <w:vAlign w:val="bottom"/>
            <w:vMerge w:val="restart"/>
          </w:tcPr>
          <w:p>
            <w:pPr>
              <w:ind w:left="1160"/>
              <w:spacing w:after="0"/>
              <w:rPr>
                <w:sz w:val="20"/>
                <w:szCs w:val="20"/>
                <w:color w:val="auto"/>
              </w:rPr>
            </w:pPr>
            <w:r>
              <w:rPr>
                <w:rFonts w:ascii="Courier New" w:cs="Courier New" w:eastAsia="Courier New" w:hAnsi="Courier New"/>
                <w:sz w:val="11"/>
                <w:szCs w:val="11"/>
                <w:color w:val="auto"/>
                <w:w w:val="71"/>
                <w:vertAlign w:val="subscript"/>
              </w:rPr>
              <w:t>$</w:t>
            </w:r>
            <w:r>
              <w:rPr>
                <w:rFonts w:ascii="Courier New" w:cs="Courier New" w:eastAsia="Courier New" w:hAnsi="Courier New"/>
                <w:sz w:val="8"/>
                <w:szCs w:val="8"/>
                <w:color w:val="auto"/>
                <w:w w:val="71"/>
              </w:rPr>
              <w:t>---------</w:t>
            </w:r>
          </w:p>
        </w:tc>
        <w:tc>
          <w:tcPr>
            <w:tcW w:w="6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w w:val="93"/>
              </w:rPr>
              <w:t>690.1</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365.7</w:t>
            </w:r>
          </w:p>
        </w:tc>
        <w:tc>
          <w:tcPr>
            <w:tcW w:w="0" w:type="dxa"/>
            <w:vAlign w:val="bottom"/>
          </w:tcPr>
          <w:p>
            <w:pPr>
              <w:spacing w:after="0"/>
              <w:rPr>
                <w:sz w:val="1"/>
                <w:szCs w:val="1"/>
                <w:color w:val="auto"/>
              </w:rPr>
            </w:pPr>
          </w:p>
        </w:tc>
      </w:tr>
      <w:tr>
        <w:trPr>
          <w:trHeight w:val="249"/>
        </w:trPr>
        <w:tc>
          <w:tcPr>
            <w:tcW w:w="3460" w:type="dxa"/>
            <w:vAlign w:val="bottom"/>
          </w:tcPr>
          <w:p>
            <w:pPr>
              <w:spacing w:after="0"/>
              <w:rPr>
                <w:sz w:val="21"/>
                <w:szCs w:val="21"/>
                <w:color w:val="auto"/>
              </w:rPr>
            </w:pPr>
          </w:p>
        </w:tc>
        <w:tc>
          <w:tcPr>
            <w:tcW w:w="21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and process technology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160" w:type="dxa"/>
        <w:tblCellMar>
          <w:top w:w="0" w:type="dxa"/>
          <w:left w:w="0" w:type="dxa"/>
          <w:bottom w:w="0" w:type="dxa"/>
          <w:right w:w="0" w:type="dxa"/>
        </w:tblCellMar>
      </w:tblPr>
      <w:tr>
        <w:trPr>
          <w:trHeight w:val="157"/>
        </w:trPr>
        <w:tc>
          <w:tcPr>
            <w:tcW w:w="4040" w:type="dxa"/>
            <w:vAlign w:val="bottom"/>
          </w:tcPr>
          <w:p>
            <w:pPr>
              <w:spacing w:after="0" w:line="157" w:lineRule="exact"/>
              <w:rPr>
                <w:sz w:val="20"/>
                <w:szCs w:val="20"/>
                <w:color w:val="auto"/>
              </w:rPr>
            </w:pPr>
            <w:r>
              <w:rPr>
                <w:rFonts w:ascii="Courier New" w:cs="Courier New" w:eastAsia="Courier New" w:hAnsi="Courier New"/>
                <w:sz w:val="15"/>
                <w:szCs w:val="15"/>
                <w:color w:val="auto"/>
              </w:rPr>
              <w:t>Product and process technology, at cost</w:t>
            </w:r>
          </w:p>
        </w:tc>
        <w:tc>
          <w:tcPr>
            <w:tcW w:w="940" w:type="dxa"/>
            <w:vAlign w:val="bottom"/>
          </w:tcPr>
          <w:p>
            <w:pPr>
              <w:ind w:left="580"/>
              <w:spacing w:after="0" w:line="157"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6"/>
              <w:spacing w:after="0" w:line="157" w:lineRule="exact"/>
              <w:rPr>
                <w:sz w:val="20"/>
                <w:szCs w:val="20"/>
                <w:color w:val="auto"/>
              </w:rPr>
            </w:pPr>
            <w:r>
              <w:rPr>
                <w:rFonts w:ascii="Courier New" w:cs="Courier New" w:eastAsia="Courier New" w:hAnsi="Courier New"/>
                <w:sz w:val="15"/>
                <w:szCs w:val="15"/>
                <w:color w:val="auto"/>
              </w:rPr>
              <w:t>348.9</w:t>
            </w:r>
          </w:p>
        </w:tc>
        <w:tc>
          <w:tcPr>
            <w:tcW w:w="320" w:type="dxa"/>
            <w:vAlign w:val="bottom"/>
          </w:tcPr>
          <w:p>
            <w:pPr>
              <w:jc w:val="right"/>
              <w:ind w:right="66"/>
              <w:spacing w:after="0" w:line="157"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line="157" w:lineRule="exact"/>
              <w:rPr>
                <w:sz w:val="20"/>
                <w:szCs w:val="20"/>
                <w:color w:val="auto"/>
              </w:rPr>
            </w:pPr>
            <w:r>
              <w:rPr>
                <w:rFonts w:ascii="Courier New" w:cs="Courier New" w:eastAsia="Courier New" w:hAnsi="Courier New"/>
                <w:sz w:val="15"/>
                <w:szCs w:val="15"/>
                <w:color w:val="auto"/>
              </w:rPr>
              <w:t>325.2</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20"/>
                <w:szCs w:val="20"/>
                <w:color w:val="auto"/>
              </w:rPr>
            </w:pPr>
            <w:r>
              <w:rPr>
                <w:rFonts w:ascii="Courier New" w:cs="Courier New" w:eastAsia="Courier New" w:hAnsi="Courier New"/>
                <w:sz w:val="15"/>
                <w:szCs w:val="15"/>
                <w:color w:val="auto"/>
              </w:rPr>
              <w:t>Less accumulated amortization</w:t>
            </w:r>
          </w:p>
        </w:tc>
        <w:tc>
          <w:tcPr>
            <w:tcW w:w="9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(133.1)</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(112.6)</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940" w:type="dxa"/>
            <w:vAlign w:val="bottom"/>
            <w:vMerge w:val="restart"/>
          </w:tcPr>
          <w:p>
            <w:pPr>
              <w:ind w:left="580"/>
              <w:spacing w:after="0"/>
              <w:rPr>
                <w:sz w:val="20"/>
                <w:szCs w:val="20"/>
                <w:color w:val="auto"/>
              </w:rPr>
            </w:pPr>
            <w:r>
              <w:rPr>
                <w:rFonts w:ascii="Courier New" w:cs="Courier New" w:eastAsia="Courier New" w:hAnsi="Courier New"/>
                <w:sz w:val="8"/>
                <w:szCs w:val="8"/>
                <w:color w:val="auto"/>
                <w:w w:val="75"/>
                <w:vertAlign w:val="subscript"/>
              </w:rPr>
              <w:t>$</w:t>
            </w:r>
            <w:r>
              <w:rPr>
                <w:rFonts w:ascii="Courier New" w:cs="Courier New" w:eastAsia="Courier New" w:hAnsi="Courier New"/>
                <w:sz w:val="7"/>
                <w:szCs w:val="7"/>
                <w:color w:val="auto"/>
                <w:w w:val="75"/>
              </w:rPr>
              <w:t>----------</w:t>
            </w:r>
          </w:p>
        </w:tc>
        <w:tc>
          <w:tcPr>
            <w:tcW w:w="70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215.8</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212.6</w:t>
            </w:r>
          </w:p>
        </w:tc>
        <w:tc>
          <w:tcPr>
            <w:tcW w:w="0" w:type="dxa"/>
            <w:vAlign w:val="bottom"/>
          </w:tcPr>
          <w:p>
            <w:pPr>
              <w:spacing w:after="0"/>
              <w:rPr>
                <w:sz w:val="1"/>
                <w:szCs w:val="1"/>
                <w:color w:val="auto"/>
              </w:rPr>
            </w:pPr>
          </w:p>
        </w:tc>
      </w:tr>
      <w:tr>
        <w:trPr>
          <w:trHeight w:val="249"/>
        </w:trPr>
        <w:tc>
          <w:tcPr>
            <w:tcW w:w="4040" w:type="dxa"/>
            <w:vAlign w:val="bottom"/>
          </w:tcPr>
          <w:p>
            <w:pPr>
              <w:spacing w:after="0"/>
              <w:rPr>
                <w:sz w:val="21"/>
                <w:szCs w:val="21"/>
                <w:color w:val="auto"/>
              </w:rPr>
            </w:pPr>
          </w:p>
        </w:tc>
        <w:tc>
          <w:tcPr>
            <w:tcW w:w="16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160" w:type="dxa"/>
        <w:tblCellMar>
          <w:top w:w="0" w:type="dxa"/>
          <w:left w:w="0" w:type="dxa"/>
          <w:bottom w:w="0" w:type="dxa"/>
          <w:right w:w="0" w:type="dxa"/>
        </w:tblCellMar>
      </w:tblPr>
      <w:tr>
        <w:trPr>
          <w:trHeight w:val="157"/>
        </w:trPr>
        <w:tc>
          <w:tcPr>
            <w:tcW w:w="4360" w:type="dxa"/>
            <w:vAlign w:val="bottom"/>
          </w:tcPr>
          <w:p>
            <w:pPr>
              <w:spacing w:after="0" w:line="157" w:lineRule="exact"/>
              <w:rPr>
                <w:sz w:val="20"/>
                <w:szCs w:val="20"/>
                <w:color w:val="auto"/>
              </w:rPr>
            </w:pPr>
            <w:r>
              <w:rPr>
                <w:rFonts w:ascii="Courier New" w:cs="Courier New" w:eastAsia="Courier New" w:hAnsi="Courier New"/>
                <w:sz w:val="15"/>
                <w:szCs w:val="15"/>
                <w:color w:val="auto"/>
              </w:rPr>
              <w:t>Land</w:t>
            </w:r>
          </w:p>
        </w:tc>
        <w:tc>
          <w:tcPr>
            <w:tcW w:w="440" w:type="dxa"/>
            <w:vAlign w:val="bottom"/>
          </w:tcPr>
          <w:p>
            <w:pPr>
              <w:ind w:left="260"/>
              <w:spacing w:after="0" w:line="157"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line="157" w:lineRule="exact"/>
              <w:rPr>
                <w:sz w:val="20"/>
                <w:szCs w:val="20"/>
                <w:color w:val="auto"/>
              </w:rPr>
            </w:pPr>
            <w:r>
              <w:rPr>
                <w:rFonts w:ascii="Courier New" w:cs="Courier New" w:eastAsia="Courier New" w:hAnsi="Courier New"/>
                <w:sz w:val="15"/>
                <w:szCs w:val="15"/>
                <w:color w:val="auto"/>
              </w:rPr>
              <w:t>50.2</w:t>
            </w:r>
          </w:p>
        </w:tc>
        <w:tc>
          <w:tcPr>
            <w:tcW w:w="240" w:type="dxa"/>
            <w:vAlign w:val="bottom"/>
          </w:tcPr>
          <w:p>
            <w:pPr>
              <w:jc w:val="right"/>
              <w:spacing w:after="0" w:line="157"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line="157" w:lineRule="exact"/>
              <w:rPr>
                <w:sz w:val="20"/>
                <w:szCs w:val="20"/>
                <w:color w:val="auto"/>
              </w:rPr>
            </w:pPr>
            <w:r>
              <w:rPr>
                <w:rFonts w:ascii="Courier New" w:cs="Courier New" w:eastAsia="Courier New" w:hAnsi="Courier New"/>
                <w:sz w:val="15"/>
                <w:szCs w:val="15"/>
                <w:color w:val="auto"/>
              </w:rPr>
              <w:t>42.2</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44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1,228.4</w:t>
            </w:r>
          </w:p>
        </w:tc>
        <w:tc>
          <w:tcPr>
            <w:tcW w:w="24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1,172.4</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44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4,402.0</w:t>
            </w:r>
          </w:p>
        </w:tc>
        <w:tc>
          <w:tcPr>
            <w:tcW w:w="24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4,074.4</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44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740.8</w:t>
            </w:r>
          </w:p>
        </w:tc>
        <w:tc>
          <w:tcPr>
            <w:tcW w:w="24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726.0</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440" w:type="dxa"/>
            <w:vAlign w:val="bottom"/>
          </w:tcPr>
          <w:p>
            <w:pPr>
              <w:ind w:left="260"/>
              <w:spacing w:after="0"/>
              <w:rPr>
                <w:sz w:val="20"/>
                <w:szCs w:val="20"/>
                <w:color w:val="auto"/>
              </w:rPr>
            </w:pPr>
            <w:r>
              <w:rPr>
                <w:rFonts w:ascii="Courier New" w:cs="Courier New" w:eastAsia="Courier New" w:hAnsi="Courier New"/>
                <w:sz w:val="3"/>
                <w:szCs w:val="3"/>
                <w:color w:val="auto"/>
                <w:w w:val="88"/>
              </w:rPr>
              <w:t>----------</w:t>
            </w:r>
          </w:p>
        </w:tc>
        <w:tc>
          <w:tcPr>
            <w:tcW w:w="88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6,421.4</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360" w:type="dxa"/>
            <w:vAlign w:val="bottom"/>
            <w:vMerge w:val="restart"/>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4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6,015.0</w:t>
            </w:r>
          </w:p>
        </w:tc>
        <w:tc>
          <w:tcPr>
            <w:tcW w:w="0" w:type="dxa"/>
            <w:vAlign w:val="bottom"/>
          </w:tcPr>
          <w:p>
            <w:pPr>
              <w:spacing w:after="0"/>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(2,494.5)</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(2,215.4)</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440" w:type="dxa"/>
            <w:vAlign w:val="bottom"/>
            <w:vMerge w:val="restart"/>
          </w:tcPr>
          <w:p>
            <w:pPr>
              <w:ind w:left="26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88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3,926.9</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3,799.6</w:t>
            </w:r>
          </w:p>
        </w:tc>
        <w:tc>
          <w:tcPr>
            <w:tcW w:w="0" w:type="dxa"/>
            <w:vAlign w:val="bottom"/>
          </w:tcPr>
          <w:p>
            <w:pPr>
              <w:spacing w:after="0"/>
              <w:rPr>
                <w:sz w:val="1"/>
                <w:szCs w:val="1"/>
                <w:color w:val="auto"/>
              </w:rPr>
            </w:pPr>
          </w:p>
        </w:tc>
      </w:tr>
      <w:tr>
        <w:trPr>
          <w:trHeight w:val="249"/>
        </w:trPr>
        <w:tc>
          <w:tcPr>
            <w:tcW w:w="4360" w:type="dxa"/>
            <w:vAlign w:val="bottom"/>
          </w:tcPr>
          <w:p>
            <w:pPr>
              <w:spacing w:after="0"/>
              <w:rPr>
                <w:sz w:val="21"/>
                <w:szCs w:val="21"/>
                <w:color w:val="auto"/>
              </w:rPr>
            </w:pPr>
          </w:p>
        </w:tc>
        <w:tc>
          <w:tcPr>
            <w:tcW w:w="13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3119" w:firstLine="178"/>
        <w:spacing w:after="0" w:line="251" w:lineRule="auto"/>
        <w:rPr>
          <w:sz w:val="20"/>
          <w:szCs w:val="20"/>
          <w:color w:val="auto"/>
        </w:rPr>
      </w:pPr>
      <w:r>
        <w:rPr>
          <w:rFonts w:ascii="Courier New" w:cs="Courier New" w:eastAsia="Courier New" w:hAnsi="Courier New"/>
          <w:sz w:val="15"/>
          <w:szCs w:val="15"/>
          <w:color w:val="auto"/>
        </w:rPr>
        <w:t>As of March 2, 2000, property, plant and equipment included total unamortized costs of $708.0 million for the Company's semiconductor memory manufacturing facility in Lehi, Utah, of which $647.0 million has not been placed in service and is not being depreciated. The Company expects to place in service approximately $250 million of plant and equipment in the third quarter of 2000 in support of Lehi test operations. Timing of the completion of the remainder of the Lehi facility is dependent upon market conditions. Market conditions which the Company expects to evaluate include, but are not limited to, worldwide market supply of and demand for semiconductor products and the Company's operations, cash flows and alternative uses of capital. The Company continues to evaluate the carrying value of the facility and as of March 2, 2000, it was determined there was no impairment.</w:t>
      </w:r>
    </w:p>
    <w:p>
      <w:pPr>
        <w:spacing w:after="0" w:line="86" w:lineRule="exact"/>
        <w:rPr>
          <w:sz w:val="20"/>
          <w:szCs w:val="20"/>
          <w:color w:val="auto"/>
        </w:rPr>
      </w:pPr>
    </w:p>
    <w:p>
      <w:pPr>
        <w:ind w:right="3219" w:firstLine="178"/>
        <w:spacing w:after="0" w:line="326" w:lineRule="auto"/>
        <w:rPr>
          <w:sz w:val="20"/>
          <w:szCs w:val="20"/>
          <w:color w:val="auto"/>
        </w:rPr>
      </w:pPr>
      <w:r>
        <w:rPr>
          <w:rFonts w:ascii="Courier New" w:cs="Courier New" w:eastAsia="Courier New" w:hAnsi="Courier New"/>
          <w:sz w:val="14"/>
          <w:szCs w:val="14"/>
          <w:color w:val="auto"/>
        </w:rPr>
        <w:t>Depreciation expense was $224.8 million and $436.3 million, respectively, for the second quarter and first six months of 2000, and $191.1 million and $372.2 million for the second quarter and first six months of 1999, respectively.</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expenses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7"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302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2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$496.9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$453.1</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20"/>
                <w:szCs w:val="20"/>
                <w:color w:val="auto"/>
              </w:rPr>
            </w:pPr>
            <w:r>
              <w:rPr>
                <w:rFonts w:ascii="Courier New" w:cs="Courier New" w:eastAsia="Courier New" w:hAnsi="Courier New"/>
                <w:sz w:val="15"/>
                <w:szCs w:val="15"/>
                <w:color w:val="auto"/>
              </w:rPr>
              <w:t>Salaries, wages and benefits</w:t>
            </w:r>
          </w:p>
        </w:tc>
        <w:tc>
          <w:tcPr>
            <w:tcW w:w="2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152.9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95.4</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20"/>
                <w:szCs w:val="20"/>
                <w:color w:val="auto"/>
              </w:rPr>
            </w:pPr>
            <w:r>
              <w:rPr>
                <w:rFonts w:ascii="Courier New" w:cs="Courier New" w:eastAsia="Courier New" w:hAnsi="Courier New"/>
                <w:sz w:val="15"/>
                <w:szCs w:val="15"/>
                <w:color w:val="auto"/>
              </w:rPr>
              <w:t>Taxes payable other than income</w:t>
            </w:r>
          </w:p>
        </w:tc>
        <w:tc>
          <w:tcPr>
            <w:tcW w:w="2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38.5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20"/>
                <w:szCs w:val="20"/>
                <w:color w:val="auto"/>
              </w:rPr>
            </w:pPr>
            <w:r>
              <w:rPr>
                <w:rFonts w:ascii="Courier New" w:cs="Courier New" w:eastAsia="Courier New" w:hAnsi="Courier New"/>
                <w:sz w:val="15"/>
                <w:szCs w:val="15"/>
                <w:color w:val="auto"/>
              </w:rPr>
              <w:t>Interest payable</w:t>
            </w:r>
          </w:p>
        </w:tc>
        <w:tc>
          <w:tcPr>
            <w:tcW w:w="2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33.4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20"/>
                <w:szCs w:val="20"/>
                <w:color w:val="auto"/>
              </w:rPr>
            </w:pPr>
            <w:r>
              <w:rPr>
                <w:rFonts w:ascii="Courier New" w:cs="Courier New" w:eastAsia="Courier New" w:hAnsi="Courier New"/>
                <w:sz w:val="15"/>
                <w:szCs w:val="15"/>
                <w:color w:val="auto"/>
              </w:rPr>
              <w:t>Income taxes payable</w:t>
            </w:r>
          </w:p>
        </w:tc>
        <w:tc>
          <w:tcPr>
            <w:tcW w:w="2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14.0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54.1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75.9</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2140" w:type="dxa"/>
            <w:vAlign w:val="bottom"/>
            <w:vMerge w:val="restart"/>
          </w:tcPr>
          <w:p>
            <w:pPr>
              <w:jc w:val="right"/>
              <w:ind w:right="546"/>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perscript"/>
              </w:rPr>
              <w:t>------</w:t>
            </w:r>
            <w:r>
              <w:rPr>
                <w:rFonts w:ascii="Courier New" w:cs="Courier New" w:eastAsia="Courier New" w:hAnsi="Courier New"/>
                <w:sz w:val="15"/>
                <w:szCs w:val="15"/>
                <w:color w:val="auto"/>
              </w:rPr>
              <w:t>789.8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2140" w:type="dxa"/>
            <w:vAlign w:val="bottom"/>
            <w:vMerge w:val="continue"/>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$705.4</w:t>
            </w:r>
          </w:p>
        </w:tc>
        <w:tc>
          <w:tcPr>
            <w:tcW w:w="0" w:type="dxa"/>
            <w:vAlign w:val="bottom"/>
          </w:tcPr>
          <w:p>
            <w:pPr>
              <w:spacing w:after="0"/>
              <w:rPr>
                <w:sz w:val="1"/>
                <w:szCs w:val="1"/>
                <w:color w:val="auto"/>
              </w:rPr>
            </w:pPr>
          </w:p>
        </w:tc>
      </w:tr>
      <w:tr>
        <w:trPr>
          <w:trHeight w:val="249"/>
        </w:trPr>
        <w:tc>
          <w:tcPr>
            <w:tcW w:w="3020" w:type="dxa"/>
            <w:vAlign w:val="bottom"/>
          </w:tcPr>
          <w:p>
            <w:pPr>
              <w:spacing w:after="0"/>
              <w:rPr>
                <w:sz w:val="21"/>
                <w:szCs w:val="21"/>
                <w:color w:val="auto"/>
              </w:rPr>
            </w:pPr>
          </w:p>
        </w:tc>
        <w:tc>
          <w:tcPr>
            <w:tcW w:w="2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1"/>
        </w:trPr>
        <w:tc>
          <w:tcPr>
            <w:tcW w:w="3020" w:type="dxa"/>
            <w:vAlign w:val="bottom"/>
          </w:tcPr>
          <w:p>
            <w:pPr>
              <w:spacing w:after="0"/>
              <w:rPr>
                <w:sz w:val="24"/>
                <w:szCs w:val="24"/>
                <w:color w:val="auto"/>
              </w:rPr>
            </w:pPr>
          </w:p>
        </w:tc>
        <w:tc>
          <w:tcPr>
            <w:tcW w:w="2140" w:type="dxa"/>
            <w:vAlign w:val="bottom"/>
          </w:tcPr>
          <w:p>
            <w:pPr>
              <w:jc w:val="right"/>
              <w:ind w:right="1706"/>
              <w:spacing w:after="0"/>
              <w:rPr>
                <w:sz w:val="20"/>
                <w:szCs w:val="20"/>
                <w:color w:val="auto"/>
              </w:rPr>
            </w:pPr>
            <w:r>
              <w:rPr>
                <w:rFonts w:ascii="Courier New" w:cs="Courier New" w:eastAsia="Courier New" w:hAnsi="Courier New"/>
                <w:sz w:val="15"/>
                <w:szCs w:val="15"/>
                <w:color w:val="auto"/>
              </w:rPr>
              <w:t>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balance sheet information, continued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vMerge w:val="restart"/>
          </w:tcPr>
          <w:p>
            <w:pPr>
              <w:spacing w:after="0"/>
              <w:rPr>
                <w:sz w:val="20"/>
                <w:szCs w:val="20"/>
                <w:color w:val="auto"/>
              </w:rPr>
            </w:pPr>
            <w:r>
              <w:rPr>
                <w:rFonts w:ascii="Courier New" w:cs="Courier New" w:eastAsia="Courier New" w:hAnsi="Courier New"/>
                <w:sz w:val="15"/>
                <w:szCs w:val="15"/>
                <w:color w:val="auto"/>
              </w:rPr>
              <w:t>As of</w:t>
            </w:r>
          </w:p>
        </w:tc>
        <w:tc>
          <w:tcPr>
            <w:tcW w:w="4940" w:type="dxa"/>
            <w:vAlign w:val="bottom"/>
          </w:tcPr>
          <w:p>
            <w:pPr>
              <w:jc w:val="center"/>
              <w:ind w:left="2806"/>
              <w:spacing w:after="0"/>
              <w:rPr>
                <w:sz w:val="20"/>
                <w:szCs w:val="20"/>
                <w:color w:val="auto"/>
              </w:rPr>
            </w:pPr>
            <w:r>
              <w:rPr>
                <w:rFonts w:ascii="Courier New" w:cs="Courier New" w:eastAsia="Courier New" w:hAnsi="Courier New"/>
                <w:sz w:val="15"/>
                <w:szCs w:val="15"/>
                <w:color w:val="auto"/>
                <w:w w:val="97"/>
              </w:rPr>
              <w:t>March 2,</w:t>
            </w:r>
          </w:p>
        </w:tc>
        <w:tc>
          <w:tcPr>
            <w:tcW w:w="1720" w:type="dxa"/>
            <w:vAlign w:val="bottom"/>
          </w:tcPr>
          <w:p>
            <w:pPr>
              <w:jc w:val="center"/>
              <w:ind w:left="586"/>
              <w:spacing w:after="0"/>
              <w:rPr>
                <w:sz w:val="20"/>
                <w:szCs w:val="20"/>
                <w:color w:val="auto"/>
              </w:rPr>
            </w:pPr>
            <w:r>
              <w:rPr>
                <w:rFonts w:ascii="Courier New" w:cs="Courier New" w:eastAsia="Courier New" w:hAnsi="Courier New"/>
                <w:sz w:val="15"/>
                <w:szCs w:val="15"/>
                <w:color w:val="auto"/>
                <w:w w:val="98"/>
              </w:rPr>
              <w:t>September 2,</w:t>
            </w:r>
          </w:p>
        </w:tc>
        <w:tc>
          <w:tcPr>
            <w:tcW w:w="0" w:type="dxa"/>
            <w:vAlign w:val="bottom"/>
          </w:tcPr>
          <w:p>
            <w:pPr>
              <w:spacing w:after="0"/>
              <w:rPr>
                <w:sz w:val="1"/>
                <w:szCs w:val="1"/>
                <w:color w:val="auto"/>
              </w:rPr>
            </w:pPr>
          </w:p>
        </w:tc>
      </w:tr>
      <w:tr>
        <w:trPr>
          <w:trHeight w:val="197"/>
        </w:trPr>
        <w:tc>
          <w:tcPr>
            <w:tcW w:w="3980" w:type="dxa"/>
            <w:vAlign w:val="bottom"/>
            <w:vMerge w:val="continue"/>
          </w:tcPr>
          <w:p>
            <w:pPr>
              <w:spacing w:after="0"/>
              <w:rPr>
                <w:sz w:val="17"/>
                <w:szCs w:val="17"/>
                <w:color w:val="auto"/>
              </w:rPr>
            </w:pPr>
          </w:p>
        </w:tc>
        <w:tc>
          <w:tcPr>
            <w:tcW w:w="494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2000</w:t>
            </w:r>
          </w:p>
        </w:tc>
        <w:tc>
          <w:tcPr>
            <w:tcW w:w="1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7"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7060" w:type="dxa"/>
            <w:vAlign w:val="bottom"/>
          </w:tcPr>
          <w:p>
            <w:pPr>
              <w:spacing w:after="0"/>
              <w:rPr>
                <w:sz w:val="20"/>
                <w:szCs w:val="20"/>
                <w:color w:val="auto"/>
              </w:rPr>
            </w:pPr>
            <w:r>
              <w:rPr>
                <w:rFonts w:ascii="Courier New" w:cs="Courier New" w:eastAsia="Courier New" w:hAnsi="Courier New"/>
                <w:sz w:val="15"/>
                <w:szCs w:val="15"/>
                <w:color w:val="auto"/>
              </w:rPr>
              <w:t>Convertible subordinated notes payable, due October 2005, with</w:t>
            </w: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60" w:type="dxa"/>
            <w:vAlign w:val="bottom"/>
          </w:tcPr>
          <w:p>
            <w:pPr>
              <w:ind w:left="180"/>
              <w:spacing w:after="0"/>
              <w:rPr>
                <w:sz w:val="20"/>
                <w:szCs w:val="20"/>
                <w:color w:val="auto"/>
              </w:rPr>
            </w:pPr>
            <w:r>
              <w:rPr>
                <w:rFonts w:ascii="Courier New" w:cs="Courier New" w:eastAsia="Courier New" w:hAnsi="Courier New"/>
                <w:sz w:val="15"/>
                <w:szCs w:val="15"/>
                <w:color w:val="auto"/>
              </w:rPr>
              <w:t>an effective yield to maturity of 8.4%, net of unamortized discount of</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726"/>
              <w:spacing w:after="0"/>
              <w:rPr>
                <w:sz w:val="20"/>
                <w:szCs w:val="20"/>
                <w:color w:val="auto"/>
              </w:rPr>
            </w:pPr>
            <w:r>
              <w:rPr>
                <w:rFonts w:ascii="Courier New" w:cs="Courier New" w:eastAsia="Courier New" w:hAnsi="Courier New"/>
                <w:sz w:val="15"/>
                <w:szCs w:val="15"/>
                <w:color w:val="auto"/>
              </w:rPr>
              <w:t>679.4</w:t>
            </w:r>
          </w:p>
        </w:tc>
        <w:tc>
          <w:tcPr>
            <w:tcW w:w="15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  675.2</w:t>
            </w:r>
          </w:p>
        </w:tc>
        <w:tc>
          <w:tcPr>
            <w:tcW w:w="0" w:type="dxa"/>
            <w:vAlign w:val="bottom"/>
          </w:tcPr>
          <w:p>
            <w:pPr>
              <w:spacing w:after="0"/>
              <w:rPr>
                <w:sz w:val="1"/>
                <w:szCs w:val="1"/>
                <w:color w:val="auto"/>
              </w:rPr>
            </w:pPr>
          </w:p>
        </w:tc>
      </w:tr>
      <w:tr>
        <w:trPr>
          <w:trHeight w:val="171"/>
        </w:trPr>
        <w:tc>
          <w:tcPr>
            <w:tcW w:w="7060" w:type="dxa"/>
            <w:vAlign w:val="bottom"/>
          </w:tcPr>
          <w:p>
            <w:pPr>
              <w:ind w:left="180"/>
              <w:spacing w:after="0"/>
              <w:rPr>
                <w:sz w:val="20"/>
                <w:szCs w:val="20"/>
                <w:color w:val="auto"/>
              </w:rPr>
            </w:pPr>
            <w:r>
              <w:rPr>
                <w:rFonts w:ascii="Courier New" w:cs="Courier New" w:eastAsia="Courier New" w:hAnsi="Courier New"/>
                <w:sz w:val="15"/>
                <w:szCs w:val="15"/>
                <w:color w:val="auto"/>
              </w:rPr>
              <w:t>$60.6 million</w:t>
            </w:r>
          </w:p>
        </w:tc>
        <w:tc>
          <w:tcPr>
            <w:tcW w:w="4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60" w:type="dxa"/>
            <w:vAlign w:val="bottom"/>
          </w:tcPr>
          <w:p>
            <w:pPr>
              <w:spacing w:after="0"/>
              <w:rPr>
                <w:sz w:val="20"/>
                <w:szCs w:val="20"/>
                <w:color w:val="auto"/>
              </w:rPr>
            </w:pPr>
            <w:r>
              <w:rPr>
                <w:rFonts w:ascii="Courier New" w:cs="Courier New" w:eastAsia="Courier New" w:hAnsi="Courier New"/>
                <w:sz w:val="15"/>
                <w:szCs w:val="15"/>
                <w:color w:val="auto"/>
              </w:rPr>
              <w:t>Convertible subordinated notes payable, due July 2004, interest rate of 7.0%</w:t>
            </w:r>
          </w:p>
        </w:tc>
        <w:tc>
          <w:tcPr>
            <w:tcW w:w="40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500.0</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500.0</w:t>
            </w:r>
          </w:p>
        </w:tc>
        <w:tc>
          <w:tcPr>
            <w:tcW w:w="0" w:type="dxa"/>
            <w:vAlign w:val="bottom"/>
          </w:tcPr>
          <w:p>
            <w:pPr>
              <w:spacing w:after="0"/>
              <w:rPr>
                <w:sz w:val="1"/>
                <w:szCs w:val="1"/>
                <w:color w:val="auto"/>
              </w:rPr>
            </w:pPr>
          </w:p>
        </w:tc>
      </w:tr>
      <w:tr>
        <w:trPr>
          <w:trHeight w:val="171"/>
        </w:trPr>
        <w:tc>
          <w:tcPr>
            <w:tcW w:w="7060" w:type="dxa"/>
            <w:vAlign w:val="bottom"/>
          </w:tcPr>
          <w:p>
            <w:pPr>
              <w:spacing w:after="0"/>
              <w:rPr>
                <w:sz w:val="20"/>
                <w:szCs w:val="20"/>
                <w:color w:val="auto"/>
              </w:rPr>
            </w:pPr>
            <w:r>
              <w:rPr>
                <w:rFonts w:ascii="Courier New" w:cs="Courier New" w:eastAsia="Courier New" w:hAnsi="Courier New"/>
                <w:sz w:val="15"/>
                <w:szCs w:val="15"/>
                <w:color w:val="auto"/>
              </w:rPr>
              <w:t>Subordinated notes payable, due October 2005, with an effective</w:t>
            </w:r>
          </w:p>
        </w:tc>
        <w:tc>
          <w:tcPr>
            <w:tcW w:w="400" w:type="dxa"/>
            <w:vAlign w:val="bottom"/>
          </w:tcPr>
          <w:p>
            <w:pPr>
              <w:spacing w:after="0"/>
              <w:rPr>
                <w:sz w:val="14"/>
                <w:szCs w:val="14"/>
                <w:color w:val="auto"/>
              </w:rPr>
            </w:pPr>
          </w:p>
        </w:tc>
        <w:tc>
          <w:tcPr>
            <w:tcW w:w="1420" w:type="dxa"/>
            <w:vAlign w:val="bottom"/>
            <w:vMerge w:val="restart"/>
          </w:tcPr>
          <w:p>
            <w:pPr>
              <w:jc w:val="right"/>
              <w:ind w:right="726"/>
              <w:spacing w:after="0"/>
              <w:rPr>
                <w:sz w:val="20"/>
                <w:szCs w:val="20"/>
                <w:color w:val="auto"/>
              </w:rPr>
            </w:pPr>
            <w:r>
              <w:rPr>
                <w:rFonts w:ascii="Courier New" w:cs="Courier New" w:eastAsia="Courier New" w:hAnsi="Courier New"/>
                <w:sz w:val="15"/>
                <w:szCs w:val="15"/>
                <w:color w:val="auto"/>
              </w:rPr>
              <w:t>174.3</w:t>
            </w:r>
          </w:p>
        </w:tc>
        <w:tc>
          <w:tcPr>
            <w:tcW w:w="15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171.9</w:t>
            </w:r>
          </w:p>
        </w:tc>
        <w:tc>
          <w:tcPr>
            <w:tcW w:w="0" w:type="dxa"/>
            <w:vAlign w:val="bottom"/>
          </w:tcPr>
          <w:p>
            <w:pPr>
              <w:spacing w:after="0"/>
              <w:rPr>
                <w:sz w:val="1"/>
                <w:szCs w:val="1"/>
                <w:color w:val="auto"/>
              </w:rPr>
            </w:pPr>
          </w:p>
        </w:tc>
      </w:tr>
      <w:tr>
        <w:trPr>
          <w:trHeight w:val="171"/>
        </w:trPr>
        <w:tc>
          <w:tcPr>
            <w:tcW w:w="7060" w:type="dxa"/>
            <w:vAlign w:val="bottom"/>
          </w:tcPr>
          <w:p>
            <w:pPr>
              <w:ind w:left="180"/>
              <w:spacing w:after="0"/>
              <w:rPr>
                <w:sz w:val="20"/>
                <w:szCs w:val="20"/>
                <w:color w:val="auto"/>
              </w:rPr>
            </w:pPr>
            <w:r>
              <w:rPr>
                <w:rFonts w:ascii="Courier New" w:cs="Courier New" w:eastAsia="Courier New" w:hAnsi="Courier New"/>
                <w:sz w:val="15"/>
                <w:szCs w:val="15"/>
                <w:color w:val="auto"/>
              </w:rPr>
              <w:t>yield to maturity of 10.7%, net of unamortized discount of $35.7 million</w:t>
            </w:r>
          </w:p>
        </w:tc>
        <w:tc>
          <w:tcPr>
            <w:tcW w:w="4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60" w:type="dxa"/>
            <w:vAlign w:val="bottom"/>
          </w:tcPr>
          <w:p>
            <w:pPr>
              <w:spacing w:after="0"/>
              <w:rPr>
                <w:sz w:val="20"/>
                <w:szCs w:val="20"/>
                <w:color w:val="auto"/>
              </w:rPr>
            </w:pPr>
            <w:r>
              <w:rPr>
                <w:rFonts w:ascii="Courier New" w:cs="Courier New" w:eastAsia="Courier New" w:hAnsi="Courier New"/>
                <w:sz w:val="15"/>
                <w:szCs w:val="15"/>
                <w:color w:val="auto"/>
              </w:rPr>
              <w:t>Notes payable in periodic installments through July 2015,</w:t>
            </w:r>
          </w:p>
        </w:tc>
        <w:tc>
          <w:tcPr>
            <w:tcW w:w="400" w:type="dxa"/>
            <w:vAlign w:val="bottom"/>
          </w:tcPr>
          <w:p>
            <w:pPr>
              <w:spacing w:after="0"/>
              <w:rPr>
                <w:sz w:val="14"/>
                <w:szCs w:val="14"/>
                <w:color w:val="auto"/>
              </w:rPr>
            </w:pPr>
          </w:p>
        </w:tc>
        <w:tc>
          <w:tcPr>
            <w:tcW w:w="1420" w:type="dxa"/>
            <w:vAlign w:val="bottom"/>
            <w:vMerge w:val="restart"/>
          </w:tcPr>
          <w:p>
            <w:pPr>
              <w:jc w:val="right"/>
              <w:ind w:right="726"/>
              <w:spacing w:after="0"/>
              <w:rPr>
                <w:sz w:val="20"/>
                <w:szCs w:val="20"/>
                <w:color w:val="auto"/>
              </w:rPr>
            </w:pPr>
            <w:r>
              <w:rPr>
                <w:rFonts w:ascii="Courier New" w:cs="Courier New" w:eastAsia="Courier New" w:hAnsi="Courier New"/>
                <w:sz w:val="15"/>
                <w:szCs w:val="15"/>
                <w:color w:val="auto"/>
              </w:rPr>
              <w:t>156.1</w:t>
            </w:r>
          </w:p>
        </w:tc>
        <w:tc>
          <w:tcPr>
            <w:tcW w:w="15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259.0</w:t>
            </w:r>
          </w:p>
        </w:tc>
        <w:tc>
          <w:tcPr>
            <w:tcW w:w="0" w:type="dxa"/>
            <w:vAlign w:val="bottom"/>
          </w:tcPr>
          <w:p>
            <w:pPr>
              <w:spacing w:after="0"/>
              <w:rPr>
                <w:sz w:val="1"/>
                <w:szCs w:val="1"/>
                <w:color w:val="auto"/>
              </w:rPr>
            </w:pPr>
          </w:p>
        </w:tc>
      </w:tr>
      <w:tr>
        <w:trPr>
          <w:trHeight w:val="171"/>
        </w:trPr>
        <w:tc>
          <w:tcPr>
            <w:tcW w:w="706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interest rate of 7.29% and 7.37%, respectively</w:t>
            </w:r>
          </w:p>
        </w:tc>
        <w:tc>
          <w:tcPr>
            <w:tcW w:w="4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6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payable in monthly installments through August</w:t>
            </w:r>
          </w:p>
        </w:tc>
        <w:tc>
          <w:tcPr>
            <w:tcW w:w="400" w:type="dxa"/>
            <w:vAlign w:val="bottom"/>
          </w:tcPr>
          <w:p>
            <w:pPr>
              <w:spacing w:after="0"/>
              <w:rPr>
                <w:sz w:val="14"/>
                <w:szCs w:val="14"/>
                <w:color w:val="auto"/>
              </w:rPr>
            </w:pPr>
          </w:p>
        </w:tc>
        <w:tc>
          <w:tcPr>
            <w:tcW w:w="1420" w:type="dxa"/>
            <w:vAlign w:val="bottom"/>
            <w:vMerge w:val="restart"/>
          </w:tcPr>
          <w:p>
            <w:pPr>
              <w:jc w:val="right"/>
              <w:ind w:right="726"/>
              <w:spacing w:after="0"/>
              <w:rPr>
                <w:sz w:val="20"/>
                <w:szCs w:val="20"/>
                <w:color w:val="auto"/>
              </w:rPr>
            </w:pPr>
            <w:r>
              <w:rPr>
                <w:rFonts w:ascii="Courier New" w:cs="Courier New" w:eastAsia="Courier New" w:hAnsi="Courier New"/>
                <w:sz w:val="15"/>
                <w:szCs w:val="15"/>
                <w:color w:val="auto"/>
              </w:rPr>
              <w:t>28.9</w:t>
            </w:r>
          </w:p>
        </w:tc>
        <w:tc>
          <w:tcPr>
            <w:tcW w:w="15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33.1</w:t>
            </w:r>
          </w:p>
        </w:tc>
        <w:tc>
          <w:tcPr>
            <w:tcW w:w="0" w:type="dxa"/>
            <w:vAlign w:val="bottom"/>
          </w:tcPr>
          <w:p>
            <w:pPr>
              <w:spacing w:after="0"/>
              <w:rPr>
                <w:sz w:val="1"/>
                <w:szCs w:val="1"/>
                <w:color w:val="auto"/>
              </w:rPr>
            </w:pPr>
          </w:p>
        </w:tc>
      </w:tr>
      <w:tr>
        <w:trPr>
          <w:trHeight w:val="171"/>
        </w:trPr>
        <w:tc>
          <w:tcPr>
            <w:tcW w:w="7060" w:type="dxa"/>
            <w:vAlign w:val="bottom"/>
          </w:tcPr>
          <w:p>
            <w:pPr>
              <w:ind w:left="180"/>
              <w:spacing w:after="0"/>
              <w:rPr>
                <w:sz w:val="20"/>
                <w:szCs w:val="20"/>
                <w:color w:val="auto"/>
              </w:rPr>
            </w:pPr>
            <w:r>
              <w:rPr>
                <w:rFonts w:ascii="Courier New" w:cs="Courier New" w:eastAsia="Courier New" w:hAnsi="Courier New"/>
                <w:sz w:val="15"/>
                <w:szCs w:val="15"/>
                <w:color w:val="auto"/>
              </w:rPr>
              <w:t>2004, weighted average interest rate of 7.65% and 7.52%, respectively</w:t>
            </w:r>
          </w:p>
        </w:tc>
        <w:tc>
          <w:tcPr>
            <w:tcW w:w="4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1"/>
                <w:szCs w:val="11"/>
                <w:color w:val="auto"/>
                <w:w w:val="71"/>
              </w:rPr>
              <w:t>--------</w:t>
            </w:r>
          </w:p>
        </w:tc>
        <w:tc>
          <w:tcPr>
            <w:tcW w:w="1420" w:type="dxa"/>
            <w:vAlign w:val="bottom"/>
            <w:vMerge w:val="restart"/>
          </w:tcPr>
          <w:p>
            <w:pPr>
              <w:jc w:val="right"/>
              <w:ind w:right="726"/>
              <w:spacing w:after="0"/>
              <w:rPr>
                <w:sz w:val="20"/>
                <w:szCs w:val="20"/>
                <w:color w:val="auto"/>
              </w:rPr>
            </w:pPr>
            <w:r>
              <w:rPr>
                <w:rFonts w:ascii="Courier New" w:cs="Courier New" w:eastAsia="Courier New" w:hAnsi="Courier New"/>
                <w:sz w:val="15"/>
                <w:szCs w:val="15"/>
                <w:color w:val="auto"/>
                <w:w w:val="95"/>
              </w:rPr>
              <w:t>1,538.7</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7060" w:type="dxa"/>
            <w:vAlign w:val="bottom"/>
            <w:vMerge w:val="restart"/>
          </w:tcPr>
          <w:p>
            <w:pPr>
              <w:spacing w:after="0"/>
              <w:rPr>
                <w:sz w:val="20"/>
                <w:szCs w:val="20"/>
                <w:color w:val="auto"/>
              </w:rPr>
            </w:pPr>
            <w:r>
              <w:rPr>
                <w:rFonts w:ascii="Courier New" w:cs="Courier New" w:eastAsia="Courier New" w:hAnsi="Courier New"/>
                <w:sz w:val="15"/>
                <w:szCs w:val="15"/>
                <w:color w:val="auto"/>
              </w:rPr>
              <w:t>Less current portion</w:t>
            </w:r>
          </w:p>
        </w:tc>
        <w:tc>
          <w:tcPr>
            <w:tcW w:w="4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1,639.2</w:t>
            </w:r>
          </w:p>
        </w:tc>
        <w:tc>
          <w:tcPr>
            <w:tcW w:w="0" w:type="dxa"/>
            <w:vAlign w:val="bottom"/>
          </w:tcPr>
          <w:p>
            <w:pPr>
              <w:spacing w:after="0"/>
              <w:rPr>
                <w:sz w:val="1"/>
                <w:szCs w:val="1"/>
                <w:color w:val="auto"/>
              </w:rPr>
            </w:pPr>
          </w:p>
        </w:tc>
      </w:tr>
      <w:tr>
        <w:trPr>
          <w:trHeight w:val="171"/>
        </w:trPr>
        <w:tc>
          <w:tcPr>
            <w:tcW w:w="7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(74.2)</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(111.7)</w:t>
            </w: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0"/>
                <w:vertAlign w:val="subscript"/>
              </w:rPr>
              <w:t>$</w:t>
            </w:r>
            <w:r>
              <w:rPr>
                <w:rFonts w:ascii="Courier New" w:cs="Courier New" w:eastAsia="Courier New" w:hAnsi="Courier New"/>
                <w:sz w:val="10"/>
                <w:szCs w:val="10"/>
                <w:color w:val="auto"/>
                <w:w w:val="70"/>
              </w:rPr>
              <w:t>--------</w:t>
            </w:r>
          </w:p>
        </w:tc>
        <w:tc>
          <w:tcPr>
            <w:tcW w:w="1420" w:type="dxa"/>
            <w:vAlign w:val="bottom"/>
            <w:vMerge w:val="restart"/>
          </w:tcPr>
          <w:p>
            <w:pPr>
              <w:jc w:val="right"/>
              <w:ind w:right="726"/>
              <w:spacing w:after="0"/>
              <w:rPr>
                <w:sz w:val="20"/>
                <w:szCs w:val="20"/>
                <w:color w:val="auto"/>
              </w:rPr>
            </w:pPr>
            <w:r>
              <w:rPr>
                <w:rFonts w:ascii="Courier New" w:cs="Courier New" w:eastAsia="Courier New" w:hAnsi="Courier New"/>
                <w:sz w:val="15"/>
                <w:szCs w:val="15"/>
                <w:color w:val="auto"/>
                <w:w w:val="95"/>
              </w:rPr>
              <w:t>1,464.5</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$1,527.5</w:t>
            </w:r>
          </w:p>
        </w:tc>
        <w:tc>
          <w:tcPr>
            <w:tcW w:w="0" w:type="dxa"/>
            <w:vAlign w:val="bottom"/>
          </w:tcPr>
          <w:p>
            <w:pPr>
              <w:spacing w:after="0"/>
              <w:rPr>
                <w:sz w:val="1"/>
                <w:szCs w:val="1"/>
                <w:color w:val="auto"/>
              </w:rPr>
            </w:pPr>
          </w:p>
        </w:tc>
      </w:tr>
      <w:tr>
        <w:trPr>
          <w:trHeight w:val="249"/>
        </w:trPr>
        <w:tc>
          <w:tcPr>
            <w:tcW w:w="7060" w:type="dxa"/>
            <w:vAlign w:val="bottom"/>
          </w:tcPr>
          <w:p>
            <w:pPr>
              <w:spacing w:after="0"/>
              <w:rPr>
                <w:sz w:val="21"/>
                <w:szCs w:val="21"/>
                <w:color w:val="auto"/>
              </w:rPr>
            </w:pPr>
          </w:p>
        </w:tc>
        <w:tc>
          <w:tcPr>
            <w:tcW w:w="18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3980" w:firstLine="178"/>
        <w:spacing w:after="0" w:line="271" w:lineRule="auto"/>
        <w:rPr>
          <w:sz w:val="20"/>
          <w:szCs w:val="20"/>
          <w:color w:val="auto"/>
        </w:rPr>
      </w:pPr>
      <w:r>
        <w:rPr>
          <w:rFonts w:ascii="Courier New" w:cs="Courier New" w:eastAsia="Courier New" w:hAnsi="Courier New"/>
          <w:sz w:val="14"/>
          <w:szCs w:val="14"/>
          <w:color w:val="auto"/>
        </w:rPr>
        <w:t>The convertible subordinated notes due October 2005 (the "Convertible Notes") with an effective yield to maturity of 8.4% have a face value of $740 million and a stated interest rate of 6.5%. The Convertible Notes are convertible into shares of the Company's common stock at $60 per share. The Company may call for the early redemption of the Convertible Notes between October 2000 and October 2002 if the price of the Company's common stock is at least $78 per share for a specified trading period. Subsequent to October 2002, the Convertible Notes are redeemable by the Company at an initial price of 103% which declines to 100% of the principal amount depending on the date of redemption. The Convertible Notes have not been registered with the Securities and Exchange Commission, however the holder has certain registration rights.</w:t>
      </w:r>
    </w:p>
    <w:p>
      <w:pPr>
        <w:spacing w:after="0" w:line="78" w:lineRule="exact"/>
        <w:rPr>
          <w:sz w:val="20"/>
          <w:szCs w:val="20"/>
          <w:color w:val="auto"/>
        </w:rPr>
      </w:pPr>
    </w:p>
    <w:p>
      <w:pPr>
        <w:ind w:right="4160" w:firstLine="178"/>
        <w:spacing w:after="0" w:line="257" w:lineRule="auto"/>
        <w:rPr>
          <w:sz w:val="20"/>
          <w:szCs w:val="20"/>
          <w:color w:val="auto"/>
        </w:rPr>
      </w:pPr>
      <w:r>
        <w:rPr>
          <w:rFonts w:ascii="Courier New" w:cs="Courier New" w:eastAsia="Courier New" w:hAnsi="Courier New"/>
          <w:sz w:val="15"/>
          <w:szCs w:val="15"/>
          <w:color w:val="auto"/>
        </w:rPr>
        <w:t>The 7.0% convertible subordinated notes due July 2004 (the "Notes") are convertible into shares of the Company's common stock at $67.44 per share. On March 27, 2000, the Company called for the redemption of the Notes, effective April 17, 2000. Holders may convert their Notes into shares of Micron common stock at a price of approximately $67.44 per share, or approximately 14.8272 shares of Micron common stock per $1,000 principal amount. Alternatively, holders may have their Notes redeemed at a total redemption price of $1,070.61 per $1,000 principal amount.</w:t>
      </w:r>
    </w:p>
    <w:p>
      <w:pPr>
        <w:spacing w:after="0" w:line="80" w:lineRule="exact"/>
        <w:rPr>
          <w:sz w:val="20"/>
          <w:szCs w:val="20"/>
          <w:color w:val="auto"/>
        </w:rPr>
      </w:pPr>
    </w:p>
    <w:p>
      <w:pPr>
        <w:ind w:right="3980" w:firstLine="178"/>
        <w:spacing w:after="0" w:line="353" w:lineRule="auto"/>
        <w:rPr>
          <w:sz w:val="20"/>
          <w:szCs w:val="20"/>
          <w:color w:val="auto"/>
        </w:rPr>
      </w:pPr>
      <w:r>
        <w:rPr>
          <w:rFonts w:ascii="Courier New" w:cs="Courier New" w:eastAsia="Courier New" w:hAnsi="Courier New"/>
          <w:sz w:val="15"/>
          <w:szCs w:val="15"/>
          <w:color w:val="auto"/>
        </w:rPr>
        <w:t>The subordinated notes due October 2005 with a yield to maturity of 10.7% have a face value of $210 million and a stated interest rate of 6.5%.</w:t>
      </w:r>
    </w:p>
    <w:p>
      <w:pPr>
        <w:spacing w:after="0" w:line="12" w:lineRule="exact"/>
        <w:rPr>
          <w:sz w:val="20"/>
          <w:szCs w:val="20"/>
          <w:color w:val="auto"/>
        </w:rPr>
      </w:pPr>
    </w:p>
    <w:p>
      <w:pPr>
        <w:ind w:right="4160" w:firstLine="178"/>
        <w:spacing w:after="0" w:line="263" w:lineRule="auto"/>
        <w:rPr>
          <w:sz w:val="20"/>
          <w:szCs w:val="20"/>
          <w:color w:val="auto"/>
        </w:rPr>
      </w:pPr>
      <w:r>
        <w:rPr>
          <w:rFonts w:ascii="Courier New" w:cs="Courier New" w:eastAsia="Courier New" w:hAnsi="Courier New"/>
          <w:sz w:val="15"/>
          <w:szCs w:val="15"/>
          <w:color w:val="auto"/>
        </w:rPr>
        <w:t>MEI has a $100 million unsecured credit agreement expiring in June 2001. Under the credit agreement, MEI is subject to certain financial and other covenants including certain financial ratios and limitations on the amount of dividends paid by MEI. As of March 2, 2000, MEI had no borrowings outstanding under the agreement. MTI terminated its secured revolving credit agreement effective December 2, 1999.</w:t>
      </w:r>
    </w:p>
    <w:p>
      <w:pPr>
        <w:spacing w:after="0" w:line="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080"/>
          </w:cols>
          <w:pgMar w:left="240" w:top="605" w:right="579" w:bottom="1440" w:gutter="0" w:footer="0" w:header="0"/>
        </w:sectPr>
      </w:pPr>
    </w:p>
    <w:bookmarkStart w:id="9" w:name="page10"/>
    <w:bookmarkEnd w:id="9"/>
    <w:p>
      <w:pPr>
        <w:ind w:left="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42" w:lineRule="exact"/>
        <w:rPr>
          <w:sz w:val="20"/>
          <w:szCs w:val="20"/>
          <w:color w:val="auto"/>
        </w:rPr>
      </w:pPr>
    </w:p>
    <w:p>
      <w:pPr>
        <w:ind w:left="449" w:hanging="449"/>
        <w:spacing w:after="0"/>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operating expense, net</w:t>
      </w:r>
    </w:p>
    <w:p>
      <w:pPr>
        <w:spacing w:after="0" w:line="171" w:lineRule="exact"/>
        <w:rPr>
          <w:sz w:val="20"/>
          <w:szCs w:val="20"/>
          <w:color w:val="auto"/>
        </w:rPr>
      </w:pPr>
    </w:p>
    <w:p>
      <w:pPr>
        <w:ind w:left="9" w:right="3460" w:firstLine="444"/>
        <w:spacing w:after="0" w:line="269" w:lineRule="auto"/>
        <w:rPr>
          <w:sz w:val="20"/>
          <w:szCs w:val="20"/>
          <w:color w:val="auto"/>
        </w:rPr>
      </w:pPr>
      <w:r>
        <w:rPr>
          <w:rFonts w:ascii="Courier New" w:cs="Courier New" w:eastAsia="Courier New" w:hAnsi="Courier New"/>
          <w:sz w:val="15"/>
          <w:szCs w:val="15"/>
          <w:color w:val="auto"/>
        </w:rPr>
        <w:t>Other operating expense for the second quarter and first six months of 2000 includes net pre-tax losses of $7 million and $25 million, respectively, from the write down and disposal of semiconductor operations equipment. Other operating expense for the second quarter of 1999 includes a $15 million charge to write down certain flat panel display assets.</w:t>
      </w:r>
    </w:p>
    <w:p>
      <w:pPr>
        <w:spacing w:after="0" w:line="242" w:lineRule="exact"/>
        <w:rPr>
          <w:sz w:val="20"/>
          <w:szCs w:val="20"/>
          <w:color w:val="auto"/>
        </w:rPr>
      </w:pPr>
    </w:p>
    <w:p>
      <w:pPr>
        <w:ind w:left="449" w:hanging="449"/>
        <w:spacing w:after="0"/>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provision (benefit)</w:t>
      </w:r>
    </w:p>
    <w:p>
      <w:pPr>
        <w:spacing w:after="0" w:line="171" w:lineRule="exact"/>
        <w:rPr>
          <w:sz w:val="20"/>
          <w:szCs w:val="20"/>
          <w:color w:val="auto"/>
        </w:rPr>
      </w:pPr>
    </w:p>
    <w:p>
      <w:pPr>
        <w:ind w:left="9" w:right="3560" w:firstLine="444"/>
        <w:spacing w:after="0" w:line="269" w:lineRule="auto"/>
        <w:rPr>
          <w:sz w:val="20"/>
          <w:szCs w:val="20"/>
          <w:color w:val="auto"/>
        </w:rPr>
      </w:pPr>
      <w:r>
        <w:rPr>
          <w:rFonts w:ascii="Courier New" w:cs="Courier New" w:eastAsia="Courier New" w:hAnsi="Courier New"/>
          <w:sz w:val="15"/>
          <w:szCs w:val="15"/>
          <w:color w:val="auto"/>
        </w:rPr>
        <w:t>The effective tax rate for the second quarter and first six months of 2000 was 35%. The effective tax rates for the second quarter and first six months of 1999 were 40% and 39%, respectively. The reduction in the effective tax rate is principally a result of favorable tax treatment on permanently reinvested earnings from certain of the Company's foreign operations.</w:t>
      </w:r>
    </w:p>
    <w:p>
      <w:pPr>
        <w:spacing w:after="0" w:line="242" w:lineRule="exact"/>
        <w:rPr>
          <w:sz w:val="20"/>
          <w:szCs w:val="20"/>
          <w:color w:val="auto"/>
        </w:rPr>
      </w:pPr>
    </w:p>
    <w:p>
      <w:pPr>
        <w:ind w:left="449" w:hanging="449"/>
        <w:spacing w:after="0"/>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(loss) per share</w:t>
      </w:r>
    </w:p>
    <w:p>
      <w:pPr>
        <w:spacing w:after="0" w:line="171" w:lineRule="exact"/>
        <w:rPr>
          <w:sz w:val="20"/>
          <w:szCs w:val="20"/>
          <w:color w:val="auto"/>
        </w:rPr>
      </w:pPr>
    </w:p>
    <w:p>
      <w:pPr>
        <w:ind w:left="9" w:right="3560" w:firstLine="444"/>
        <w:spacing w:after="0" w:line="257" w:lineRule="auto"/>
        <w:rPr>
          <w:sz w:val="20"/>
          <w:szCs w:val="20"/>
          <w:color w:val="auto"/>
        </w:rPr>
      </w:pPr>
      <w:r>
        <w:rPr>
          <w:rFonts w:ascii="Courier New" w:cs="Courier New" w:eastAsia="Courier New" w:hAnsi="Courier New"/>
          <w:sz w:val="15"/>
          <w:szCs w:val="15"/>
          <w:color w:val="auto"/>
        </w:rPr>
        <w:t>Basic earnings per share is calculated using the average number of common shares outstanding. Diluted earnings per share is computed on the basis of the weighted average number of common shares outstanding plus the effect of outstanding stock options using the "treasury stock method" and convertible debentures using the "if-converted" method. Diluted earnings per share further assumes the conversion of MTI's convertible subordinated notes for the periods in which they were outstanding, unless such assumed conversion would not be dilutive.</w:t>
      </w:r>
    </w:p>
    <w:p>
      <w:pPr>
        <w:spacing w:after="0" w:line="200" w:lineRule="exact"/>
        <w:rPr>
          <w:sz w:val="20"/>
          <w:szCs w:val="20"/>
          <w:color w:val="auto"/>
        </w:rPr>
      </w:pPr>
    </w:p>
    <w:p>
      <w:pPr>
        <w:spacing w:after="0" w:line="222" w:lineRule="exact"/>
        <w:rPr>
          <w:sz w:val="20"/>
          <w:szCs w:val="20"/>
          <w:color w:val="auto"/>
        </w:rPr>
      </w:pPr>
    </w:p>
    <w:tbl>
      <w:tblPr>
        <w:tblLayout w:type="fixed"/>
        <w:tblInd w:w="5409" w:type="dxa"/>
        <w:tblCellMar>
          <w:top w:w="0" w:type="dxa"/>
          <w:left w:w="0" w:type="dxa"/>
          <w:bottom w:w="0" w:type="dxa"/>
          <w:right w:w="0" w:type="dxa"/>
        </w:tblCellMar>
      </w:tblPr>
      <w:tr>
        <w:trPr>
          <w:trHeight w:val="171"/>
        </w:trPr>
        <w:tc>
          <w:tcPr>
            <w:tcW w:w="248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Quarter ended</w:t>
            </w:r>
          </w:p>
        </w:tc>
        <w:tc>
          <w:tcPr>
            <w:tcW w:w="25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1"/>
        </w:trPr>
        <w:tc>
          <w:tcPr>
            <w:tcW w:w="142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4"/>
              </w:rPr>
              <w:t>------------------------</w:t>
            </w:r>
            <w:r>
              <w:rPr>
                <w:rFonts w:ascii="Courier New" w:cs="Courier New" w:eastAsia="Courier New" w:hAnsi="Courier New"/>
                <w:sz w:val="16"/>
                <w:szCs w:val="16"/>
                <w:color w:val="auto"/>
                <w:w w:val="74"/>
                <w:vertAlign w:val="subscript"/>
              </w:rPr>
              <w:t>March2,</w:t>
            </w:r>
          </w:p>
        </w:tc>
        <w:tc>
          <w:tcPr>
            <w:tcW w:w="106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w w:val="97"/>
              </w:rPr>
              <w:t>March 4,</w:t>
            </w: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14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4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March 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March 4,</w:t>
            </w:r>
          </w:p>
        </w:tc>
        <w:tc>
          <w:tcPr>
            <w:tcW w:w="0" w:type="dxa"/>
            <w:vAlign w:val="bottom"/>
          </w:tcPr>
          <w:p>
            <w:pPr>
              <w:spacing w:after="0"/>
              <w:rPr>
                <w:sz w:val="1"/>
                <w:szCs w:val="1"/>
                <w:color w:val="auto"/>
              </w:rPr>
            </w:pPr>
          </w:p>
        </w:tc>
      </w:tr>
      <w:tr>
        <w:trPr>
          <w:trHeight w:val="197"/>
        </w:trPr>
        <w:tc>
          <w:tcPr>
            <w:tcW w:w="1420" w:type="dxa"/>
            <w:vAlign w:val="bottom"/>
          </w:tcPr>
          <w:p>
            <w:pPr>
              <w:jc w:val="right"/>
              <w:ind w:right="734"/>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1999</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bl>
    <w:p>
      <w:pPr>
        <w:ind w:left="9"/>
        <w:spacing w:after="0"/>
        <w:rPr>
          <w:sz w:val="20"/>
          <w:szCs w:val="20"/>
          <w:color w:val="auto"/>
        </w:rPr>
      </w:pPr>
      <w:r>
        <w:rPr>
          <w:rFonts w:ascii="Courier New" w:cs="Courier New" w:eastAsia="Courier New" w:hAnsi="Courier New"/>
          <w:sz w:val="14"/>
          <w:szCs w:val="14"/>
          <w:color w:val="auto"/>
        </w:rPr>
        <w:t>- ---------------------------------------------------------------------------------------------------------------------</w:t>
      </w:r>
    </w:p>
    <w:p>
      <w:pPr>
        <w:spacing w:after="0" w:line="157"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income (loss) available for common shareholders -</w:t>
            </w:r>
          </w:p>
        </w:tc>
        <w:tc>
          <w:tcPr>
            <w:tcW w:w="138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$161.3</w:t>
            </w:r>
          </w:p>
        </w:tc>
        <w:tc>
          <w:tcPr>
            <w:tcW w:w="1420" w:type="dxa"/>
            <w:vAlign w:val="bottom"/>
            <w:vMerge w:val="restart"/>
          </w:tcPr>
          <w:p>
            <w:pPr>
              <w:jc w:val="right"/>
              <w:ind w:right="426"/>
              <w:spacing w:after="0"/>
              <w:rPr>
                <w:sz w:val="20"/>
                <w:szCs w:val="20"/>
                <w:color w:val="auto"/>
              </w:rPr>
            </w:pPr>
            <w:r>
              <w:rPr>
                <w:rFonts w:ascii="Courier New" w:cs="Courier New" w:eastAsia="Courier New" w:hAnsi="Courier New"/>
                <w:sz w:val="15"/>
                <w:szCs w:val="15"/>
                <w:color w:val="auto"/>
              </w:rPr>
              <w:t>$ 22.4</w:t>
            </w:r>
          </w:p>
        </w:tc>
        <w:tc>
          <w:tcPr>
            <w:tcW w:w="136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$502.6</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(23.7)</w:t>
            </w:r>
          </w:p>
        </w:tc>
        <w:tc>
          <w:tcPr>
            <w:tcW w:w="0" w:type="dxa"/>
            <w:vAlign w:val="bottom"/>
          </w:tcPr>
          <w:p>
            <w:pPr>
              <w:spacing w:after="0"/>
              <w:rPr>
                <w:sz w:val="1"/>
                <w:szCs w:val="1"/>
                <w:color w:val="auto"/>
              </w:rPr>
            </w:pPr>
          </w:p>
        </w:tc>
      </w:tr>
      <w:tr>
        <w:trPr>
          <w:trHeight w:val="171"/>
        </w:trPr>
        <w:tc>
          <w:tcPr>
            <w:tcW w:w="514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138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available for common shareholders -</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140" w:type="dxa"/>
            <w:vAlign w:val="bottom"/>
            <w:vMerge w:val="continue"/>
          </w:tcPr>
          <w:p>
            <w:pPr>
              <w:spacing w:after="0"/>
              <w:rPr>
                <w:sz w:val="8"/>
                <w:szCs w:val="8"/>
                <w:color w:val="auto"/>
              </w:rPr>
            </w:pPr>
          </w:p>
        </w:tc>
        <w:tc>
          <w:tcPr>
            <w:tcW w:w="138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$161.3</w:t>
            </w:r>
          </w:p>
        </w:tc>
        <w:tc>
          <w:tcPr>
            <w:tcW w:w="1420" w:type="dxa"/>
            <w:vAlign w:val="bottom"/>
            <w:vMerge w:val="restart"/>
          </w:tcPr>
          <w:p>
            <w:pPr>
              <w:jc w:val="right"/>
              <w:ind w:right="426"/>
              <w:spacing w:after="0"/>
              <w:rPr>
                <w:sz w:val="20"/>
                <w:szCs w:val="20"/>
                <w:color w:val="auto"/>
              </w:rPr>
            </w:pPr>
            <w:r>
              <w:rPr>
                <w:rFonts w:ascii="Courier New" w:cs="Courier New" w:eastAsia="Courier New" w:hAnsi="Courier New"/>
                <w:sz w:val="15"/>
                <w:szCs w:val="15"/>
                <w:color w:val="auto"/>
              </w:rPr>
              <w:t>$ 22.4</w:t>
            </w:r>
          </w:p>
        </w:tc>
        <w:tc>
          <w:tcPr>
            <w:tcW w:w="136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$528.1</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(23.7)</w:t>
            </w:r>
          </w:p>
        </w:tc>
        <w:tc>
          <w:tcPr>
            <w:tcW w:w="0" w:type="dxa"/>
            <w:vAlign w:val="bottom"/>
          </w:tcPr>
          <w:p>
            <w:pPr>
              <w:spacing w:after="0"/>
              <w:rPr>
                <w:sz w:val="1"/>
                <w:szCs w:val="1"/>
                <w:color w:val="auto"/>
              </w:rPr>
            </w:pPr>
          </w:p>
        </w:tc>
      </w:tr>
      <w:tr>
        <w:trPr>
          <w:trHeight w:val="171"/>
        </w:trPr>
        <w:tc>
          <w:tcPr>
            <w:tcW w:w="514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138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140" w:type="dxa"/>
            <w:vAlign w:val="bottom"/>
          </w:tcPr>
          <w:p>
            <w:pPr>
              <w:spacing w:after="0"/>
              <w:rPr>
                <w:sz w:val="21"/>
                <w:szCs w:val="21"/>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140" w:type="dxa"/>
            <w:vAlign w:val="bottom"/>
          </w:tcPr>
          <w:p>
            <w:pPr>
              <w:spacing w:after="0"/>
              <w:rPr>
                <w:sz w:val="20"/>
                <w:szCs w:val="20"/>
                <w:color w:val="auto"/>
              </w:rPr>
            </w:pPr>
            <w:r>
              <w:rPr>
                <w:rFonts w:ascii="Courier New" w:cs="Courier New" w:eastAsia="Courier New" w:hAnsi="Courier New"/>
                <w:sz w:val="15"/>
                <w:szCs w:val="15"/>
                <w:color w:val="auto"/>
              </w:rPr>
              <w:t>Weighted average common stock outstanding - Basic</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270.4</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264.3</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269.8</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255.0</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effect of dilutive stock options</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8.2</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8.6</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8.5</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effect of dilutive convertible subordinated notes</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19.7</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rPr>
              <w:t>Adjusted weighted average common stock - Diluted</w:t>
            </w:r>
          </w:p>
        </w:tc>
        <w:tc>
          <w:tcPr>
            <w:tcW w:w="138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w w:val="85"/>
              </w:rPr>
              <w:t>------</w:t>
            </w:r>
            <w:r>
              <w:rPr>
                <w:rFonts w:ascii="Courier New" w:cs="Courier New" w:eastAsia="Courier New" w:hAnsi="Courier New"/>
                <w:sz w:val="29"/>
                <w:szCs w:val="29"/>
                <w:color w:val="auto"/>
                <w:w w:val="85"/>
                <w:vertAlign w:val="subscript"/>
              </w:rPr>
              <w:t>278.6</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1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272.9</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298.0</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255.0</w:t>
            </w:r>
          </w:p>
        </w:tc>
        <w:tc>
          <w:tcPr>
            <w:tcW w:w="0" w:type="dxa"/>
            <w:vAlign w:val="bottom"/>
          </w:tcPr>
          <w:p>
            <w:pPr>
              <w:spacing w:after="0"/>
              <w:rPr>
                <w:sz w:val="1"/>
                <w:szCs w:val="1"/>
                <w:color w:val="auto"/>
              </w:rPr>
            </w:pPr>
          </w:p>
        </w:tc>
      </w:tr>
      <w:tr>
        <w:trPr>
          <w:trHeight w:val="249"/>
        </w:trPr>
        <w:tc>
          <w:tcPr>
            <w:tcW w:w="5140" w:type="dxa"/>
            <w:vAlign w:val="bottom"/>
          </w:tcPr>
          <w:p>
            <w:pPr>
              <w:spacing w:after="0"/>
              <w:rPr>
                <w:sz w:val="21"/>
                <w:szCs w:val="21"/>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140" w:type="dxa"/>
            <w:vAlign w:val="bottom"/>
          </w:tcPr>
          <w:p>
            <w:pPr>
              <w:spacing w:after="0"/>
              <w:rPr>
                <w:sz w:val="20"/>
                <w:szCs w:val="20"/>
                <w:color w:val="auto"/>
              </w:rPr>
            </w:pPr>
            <w:r>
              <w:rPr>
                <w:rFonts w:ascii="Courier New" w:cs="Courier New" w:eastAsia="Courier New" w:hAnsi="Courier New"/>
                <w:sz w:val="15"/>
                <w:szCs w:val="15"/>
                <w:color w:val="auto"/>
              </w:rPr>
              <w:t>Basic income (loss) per share</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$ 0.60</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$ 0.08</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$ 1.86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(0.09)</w:t>
            </w:r>
          </w:p>
        </w:tc>
        <w:tc>
          <w:tcPr>
            <w:tcW w:w="0" w:type="dxa"/>
            <w:vAlign w:val="bottom"/>
          </w:tcPr>
          <w:p>
            <w:pPr>
              <w:spacing w:after="0"/>
              <w:rPr>
                <w:sz w:val="1"/>
                <w:szCs w:val="1"/>
                <w:color w:val="auto"/>
              </w:rPr>
            </w:pPr>
          </w:p>
        </w:tc>
      </w:tr>
      <w:tr>
        <w:trPr>
          <w:trHeight w:val="249"/>
        </w:trPr>
        <w:tc>
          <w:tcPr>
            <w:tcW w:w="5140" w:type="dxa"/>
            <w:vAlign w:val="bottom"/>
          </w:tcPr>
          <w:p>
            <w:pPr>
              <w:spacing w:after="0"/>
              <w:rPr>
                <w:sz w:val="21"/>
                <w:szCs w:val="21"/>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140" w:type="dxa"/>
            <w:vAlign w:val="bottom"/>
          </w:tcPr>
          <w:p>
            <w:pPr>
              <w:spacing w:after="0"/>
              <w:rPr>
                <w:sz w:val="20"/>
                <w:szCs w:val="20"/>
                <w:color w:val="auto"/>
              </w:rPr>
            </w:pPr>
            <w:r>
              <w:rPr>
                <w:rFonts w:ascii="Courier New" w:cs="Courier New" w:eastAsia="Courier New" w:hAnsi="Courier New"/>
                <w:sz w:val="15"/>
                <w:szCs w:val="15"/>
                <w:color w:val="auto"/>
              </w:rPr>
              <w:t>Diluted income (loss) per share</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$ 0.58</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$ 0.08</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$ 1.77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(0.09)</w:t>
            </w:r>
          </w:p>
        </w:tc>
        <w:tc>
          <w:tcPr>
            <w:tcW w:w="0" w:type="dxa"/>
            <w:vAlign w:val="bottom"/>
          </w:tcPr>
          <w:p>
            <w:pPr>
              <w:spacing w:after="0"/>
              <w:rPr>
                <w:sz w:val="1"/>
                <w:szCs w:val="1"/>
                <w:color w:val="auto"/>
              </w:rPr>
            </w:pPr>
          </w:p>
        </w:tc>
      </w:tr>
      <w:tr>
        <w:trPr>
          <w:trHeight w:val="249"/>
        </w:trPr>
        <w:tc>
          <w:tcPr>
            <w:tcW w:w="5140" w:type="dxa"/>
            <w:vAlign w:val="bottom"/>
          </w:tcPr>
          <w:p>
            <w:pPr>
              <w:spacing w:after="0"/>
              <w:rPr>
                <w:sz w:val="21"/>
                <w:szCs w:val="21"/>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2"/>
        </w:trPr>
        <w:tc>
          <w:tcPr>
            <w:tcW w:w="5140" w:type="dxa"/>
            <w:vAlign w:val="bottom"/>
          </w:tcPr>
          <w:p>
            <w:pPr>
              <w:ind w:left="3460"/>
              <w:spacing w:after="0"/>
              <w:rPr>
                <w:sz w:val="20"/>
                <w:szCs w:val="20"/>
                <w:color w:val="auto"/>
              </w:rPr>
            </w:pPr>
            <w:r>
              <w:rPr>
                <w:rFonts w:ascii="Courier New" w:cs="Courier New" w:eastAsia="Courier New" w:hAnsi="Courier New"/>
                <w:sz w:val="15"/>
                <w:szCs w:val="15"/>
                <w:color w:val="auto"/>
              </w:rPr>
              <w:t>9</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9"/>
          </w:cols>
          <w:pgMar w:left="231" w:top="605" w:right="1099" w:bottom="1440" w:gutter="0" w:footer="0" w:header="0"/>
        </w:sectPr>
      </w:pPr>
    </w:p>
    <w:bookmarkStart w:id="10" w:name="page11"/>
    <w:bookmarkEnd w:id="10"/>
    <w:p>
      <w:pPr>
        <w:ind w:left="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42" w:lineRule="exact"/>
        <w:rPr>
          <w:sz w:val="20"/>
          <w:szCs w:val="20"/>
          <w:color w:val="auto"/>
        </w:rPr>
      </w:pPr>
    </w:p>
    <w:p>
      <w:pPr>
        <w:ind w:left="9" w:right="3800" w:firstLine="444"/>
        <w:spacing w:after="0" w:line="297" w:lineRule="auto"/>
        <w:rPr>
          <w:sz w:val="20"/>
          <w:szCs w:val="20"/>
          <w:color w:val="auto"/>
        </w:rPr>
      </w:pPr>
      <w:r>
        <w:rPr>
          <w:rFonts w:ascii="Courier New" w:cs="Courier New" w:eastAsia="Courier New" w:hAnsi="Courier New"/>
          <w:sz w:val="15"/>
          <w:szCs w:val="15"/>
          <w:color w:val="auto"/>
        </w:rPr>
        <w:t>The average shares listed below were not included in the computation of diluted earnings per share because to do so would have been antidilutive for the periods presented:</w:t>
      </w:r>
    </w:p>
    <w:p>
      <w:pPr>
        <w:spacing w:after="0" w:line="393" w:lineRule="exact"/>
        <w:rPr>
          <w:sz w:val="20"/>
          <w:szCs w:val="20"/>
          <w:color w:val="auto"/>
        </w:rPr>
      </w:pPr>
    </w:p>
    <w:tbl>
      <w:tblPr>
        <w:tblLayout w:type="fixed"/>
        <w:tblInd w:w="5589" w:type="dxa"/>
        <w:tblCellMar>
          <w:top w:w="0" w:type="dxa"/>
          <w:left w:w="0" w:type="dxa"/>
          <w:bottom w:w="0" w:type="dxa"/>
          <w:right w:w="0" w:type="dxa"/>
        </w:tblCellMar>
      </w:tblPr>
      <w:tr>
        <w:trPr>
          <w:trHeight w:val="171"/>
        </w:trPr>
        <w:tc>
          <w:tcPr>
            <w:tcW w:w="2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Quarter ended</w:t>
            </w:r>
          </w:p>
        </w:tc>
        <w:tc>
          <w:tcPr>
            <w:tcW w:w="1760" w:type="dxa"/>
            <w:vAlign w:val="bottom"/>
          </w:tcPr>
          <w:p>
            <w:pPr>
              <w:ind w:left="840"/>
              <w:spacing w:after="0"/>
              <w:rPr>
                <w:sz w:val="20"/>
                <w:szCs w:val="20"/>
                <w:color w:val="auto"/>
              </w:rPr>
            </w:pPr>
            <w:r>
              <w:rPr>
                <w:rFonts w:ascii="Courier New" w:cs="Courier New" w:eastAsia="Courier New" w:hAnsi="Courier New"/>
                <w:sz w:val="15"/>
                <w:szCs w:val="15"/>
                <w:color w:val="auto"/>
                <w:w w:val="99"/>
              </w:rPr>
              <w:t>Six months</w:t>
            </w: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rPr>
              <w:t>ended</w:t>
            </w:r>
          </w:p>
        </w:tc>
        <w:tc>
          <w:tcPr>
            <w:tcW w:w="0" w:type="dxa"/>
            <w:vAlign w:val="bottom"/>
          </w:tcPr>
          <w:p>
            <w:pPr>
              <w:spacing w:after="0"/>
              <w:rPr>
                <w:sz w:val="1"/>
                <w:szCs w:val="1"/>
                <w:color w:val="auto"/>
              </w:rPr>
            </w:pPr>
          </w:p>
        </w:tc>
      </w:tr>
      <w:tr>
        <w:trPr>
          <w:trHeight w:val="171"/>
        </w:trPr>
        <w:tc>
          <w:tcPr>
            <w:tcW w:w="1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74"/>
                <w:vertAlign w:val="subscript"/>
              </w:rPr>
              <w:t>March</w:t>
            </w:r>
            <w:r>
              <w:rPr>
                <w:rFonts w:ascii="Courier New" w:cs="Courier New" w:eastAsia="Courier New" w:hAnsi="Courier New"/>
                <w:sz w:val="10"/>
                <w:szCs w:val="10"/>
                <w:color w:val="auto"/>
                <w:w w:val="74"/>
              </w:rPr>
              <w:t>----------------------</w:t>
            </w:r>
            <w:r>
              <w:rPr>
                <w:rFonts w:ascii="Courier New" w:cs="Courier New" w:eastAsia="Courier New" w:hAnsi="Courier New"/>
                <w:sz w:val="16"/>
                <w:szCs w:val="16"/>
                <w:color w:val="auto"/>
                <w:w w:val="74"/>
                <w:vertAlign w:val="subscript"/>
              </w:rPr>
              <w:t>2,</w:t>
            </w:r>
          </w:p>
        </w:tc>
        <w:tc>
          <w:tcPr>
            <w:tcW w:w="1200" w:type="dxa"/>
            <w:vAlign w:val="bottom"/>
            <w:vMerge w:val="restart"/>
          </w:tcPr>
          <w:p>
            <w:pPr>
              <w:jc w:val="center"/>
              <w:ind w:right="426"/>
              <w:spacing w:after="0"/>
              <w:rPr>
                <w:sz w:val="20"/>
                <w:szCs w:val="20"/>
                <w:color w:val="auto"/>
              </w:rPr>
            </w:pPr>
            <w:r>
              <w:rPr>
                <w:rFonts w:ascii="Courier New" w:cs="Courier New" w:eastAsia="Courier New" w:hAnsi="Courier New"/>
                <w:sz w:val="15"/>
                <w:szCs w:val="15"/>
                <w:color w:val="auto"/>
                <w:w w:val="97"/>
              </w:rPr>
              <w:t>March 4,</w:t>
            </w:r>
          </w:p>
        </w:tc>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13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76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March 2,</w:t>
            </w: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rPr>
              <w:t>March 4,</w:t>
            </w:r>
          </w:p>
        </w:tc>
        <w:tc>
          <w:tcPr>
            <w:tcW w:w="0" w:type="dxa"/>
            <w:vAlign w:val="bottom"/>
          </w:tcPr>
          <w:p>
            <w:pPr>
              <w:spacing w:after="0"/>
              <w:rPr>
                <w:sz w:val="1"/>
                <w:szCs w:val="1"/>
                <w:color w:val="auto"/>
              </w:rPr>
            </w:pPr>
          </w:p>
        </w:tc>
      </w:tr>
      <w:tr>
        <w:trPr>
          <w:trHeight w:val="197"/>
        </w:trPr>
        <w:tc>
          <w:tcPr>
            <w:tcW w:w="1340" w:type="dxa"/>
            <w:vAlign w:val="bottom"/>
          </w:tcPr>
          <w:p>
            <w:pPr>
              <w:jc w:val="right"/>
              <w:ind w:right="734"/>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1999</w:t>
            </w:r>
          </w:p>
        </w:tc>
        <w:tc>
          <w:tcPr>
            <w:tcW w:w="17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bl>
    <w:p>
      <w:pPr>
        <w:ind w:left="9"/>
        <w:spacing w:after="0"/>
        <w:rPr>
          <w:sz w:val="20"/>
          <w:szCs w:val="20"/>
          <w:color w:val="auto"/>
        </w:rPr>
      </w:pPr>
      <w:r>
        <w:rPr>
          <w:rFonts w:ascii="Courier New" w:cs="Courier New" w:eastAsia="Courier New" w:hAnsi="Courier New"/>
          <w:sz w:val="14"/>
          <w:szCs w:val="14"/>
          <w:color w:val="auto"/>
        </w:rPr>
        <w:t>- -------------------------------------------------------------------------------------------------------------------------</w:t>
      </w:r>
    </w:p>
    <w:p>
      <w:pPr>
        <w:spacing w:after="0" w:line="157"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5180" w:type="dxa"/>
            <w:vAlign w:val="bottom"/>
            <w:gridSpan w:val="3"/>
          </w:tcPr>
          <w:p>
            <w:pPr>
              <w:spacing w:after="0"/>
              <w:rPr>
                <w:sz w:val="20"/>
                <w:szCs w:val="20"/>
                <w:color w:val="auto"/>
              </w:rPr>
            </w:pPr>
            <w:r>
              <w:rPr>
                <w:rFonts w:ascii="Courier New" w:cs="Courier New" w:eastAsia="Courier New" w:hAnsi="Courier New"/>
                <w:sz w:val="15"/>
                <w:szCs w:val="15"/>
                <w:color w:val="auto"/>
              </w:rPr>
              <w:t>Employee stock plans</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w:t>
            </w:r>
          </w:p>
        </w:tc>
        <w:tc>
          <w:tcPr>
            <w:tcW w:w="16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0.2</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26.3</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8.4%</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convertible</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subordinated notes payable due 2005</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12.3</w:t>
            </w:r>
          </w:p>
        </w:tc>
        <w:tc>
          <w:tcPr>
            <w:tcW w:w="16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12.3</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r>
      <w:tr>
        <w:trPr>
          <w:trHeight w:val="249"/>
        </w:trPr>
        <w:tc>
          <w:tcPr>
            <w:tcW w:w="400" w:type="dxa"/>
            <w:vAlign w:val="bottom"/>
          </w:tcPr>
          <w:p>
            <w:pPr>
              <w:spacing w:after="0"/>
              <w:rPr>
                <w:sz w:val="20"/>
                <w:szCs w:val="20"/>
                <w:color w:val="auto"/>
              </w:rPr>
            </w:pPr>
            <w:r>
              <w:rPr>
                <w:rFonts w:ascii="Courier New" w:cs="Courier New" w:eastAsia="Courier New" w:hAnsi="Courier New"/>
                <w:sz w:val="15"/>
                <w:szCs w:val="15"/>
                <w:color w:val="auto"/>
              </w:rPr>
              <w:t>7.0%</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convertible</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subordinated notes payable due 2004</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7.4</w:t>
            </w:r>
          </w:p>
        </w:tc>
        <w:tc>
          <w:tcPr>
            <w:tcW w:w="16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7.4</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bl>
    <w:p>
      <w:pPr>
        <w:spacing w:after="0" w:line="263" w:lineRule="exact"/>
        <w:rPr>
          <w:sz w:val="20"/>
          <w:szCs w:val="20"/>
          <w:color w:val="auto"/>
        </w:rPr>
      </w:pPr>
    </w:p>
    <w:p>
      <w:pPr>
        <w:ind w:left="449" w:hanging="449"/>
        <w:spacing w:after="0"/>
        <w:tabs>
          <w:tab w:leader="none" w:pos="4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split</w:t>
      </w:r>
    </w:p>
    <w:p>
      <w:pPr>
        <w:spacing w:after="0" w:line="171" w:lineRule="exact"/>
        <w:rPr>
          <w:sz w:val="20"/>
          <w:szCs w:val="20"/>
          <w:color w:val="auto"/>
        </w:rPr>
      </w:pPr>
    </w:p>
    <w:p>
      <w:pPr>
        <w:ind w:left="9" w:right="3800" w:firstLine="444"/>
        <w:spacing w:after="0" w:line="269" w:lineRule="auto"/>
        <w:rPr>
          <w:sz w:val="20"/>
          <w:szCs w:val="20"/>
          <w:color w:val="auto"/>
        </w:rPr>
      </w:pPr>
      <w:r>
        <w:rPr>
          <w:rFonts w:ascii="Courier New" w:cs="Courier New" w:eastAsia="Courier New" w:hAnsi="Courier New"/>
          <w:sz w:val="15"/>
          <w:szCs w:val="15"/>
          <w:color w:val="auto"/>
        </w:rPr>
        <w:t>On March 29, 2000, the Company's Board of Directors approved a 2-for-1 stock split to be effected in the form of a stock dividend for shareholders of record on April 18, 2000. The additional shares resulting from the split will be distributed on May 1, 2000. Share and per share data presented in this Form 10-Q have not been retroactively adjusted to reflect this stock split.</w:t>
      </w:r>
    </w:p>
    <w:p>
      <w:pPr>
        <w:spacing w:after="0" w:line="72" w:lineRule="exact"/>
        <w:rPr>
          <w:sz w:val="20"/>
          <w:szCs w:val="20"/>
          <w:color w:val="auto"/>
        </w:rPr>
      </w:pPr>
    </w:p>
    <w:p>
      <w:pPr>
        <w:jc w:val="both"/>
        <w:ind w:left="9" w:right="4080" w:firstLine="444"/>
        <w:spacing w:after="0" w:line="297" w:lineRule="auto"/>
        <w:rPr>
          <w:sz w:val="20"/>
          <w:szCs w:val="20"/>
          <w:color w:val="auto"/>
        </w:rPr>
      </w:pPr>
      <w:r>
        <w:rPr>
          <w:rFonts w:ascii="Courier New" w:cs="Courier New" w:eastAsia="Courier New" w:hAnsi="Courier New"/>
          <w:sz w:val="15"/>
          <w:szCs w:val="15"/>
          <w:color w:val="auto"/>
        </w:rPr>
        <w:t>The following unaudited pro forma information presents the consolidated earnings per share information for the Company, adjusted to reflect the stock split:</w:t>
      </w:r>
    </w:p>
    <w:p>
      <w:pPr>
        <w:spacing w:after="0" w:line="393" w:lineRule="exact"/>
        <w:rPr>
          <w:sz w:val="20"/>
          <w:szCs w:val="20"/>
          <w:color w:val="auto"/>
        </w:rPr>
      </w:pPr>
    </w:p>
    <w:tbl>
      <w:tblPr>
        <w:tblLayout w:type="fixed"/>
        <w:tblInd w:w="5769" w:type="dxa"/>
        <w:tblCellMar>
          <w:top w:w="0" w:type="dxa"/>
          <w:left w:w="0" w:type="dxa"/>
          <w:bottom w:w="0" w:type="dxa"/>
          <w:right w:w="0" w:type="dxa"/>
        </w:tblCellMar>
      </w:tblPr>
      <w:tr>
        <w:trPr>
          <w:trHeight w:val="171"/>
        </w:trPr>
        <w:tc>
          <w:tcPr>
            <w:tcW w:w="24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Quarter ended</w:t>
            </w:r>
          </w:p>
        </w:tc>
        <w:tc>
          <w:tcPr>
            <w:tcW w:w="2480" w:type="dxa"/>
            <w:vAlign w:val="bottom"/>
            <w:gridSpan w:val="2"/>
          </w:tcPr>
          <w:p>
            <w:pPr>
              <w:jc w:val="center"/>
              <w:ind w:left="266"/>
              <w:spacing w:after="0"/>
              <w:rPr>
                <w:sz w:val="20"/>
                <w:szCs w:val="20"/>
                <w:color w:val="auto"/>
              </w:rPr>
            </w:pPr>
            <w:r>
              <w:rPr>
                <w:rFonts w:ascii="Courier New" w:cs="Courier New" w:eastAsia="Courier New" w:hAnsi="Courier New"/>
                <w:sz w:val="15"/>
                <w:szCs w:val="15"/>
                <w:color w:val="auto"/>
                <w:w w:val="98"/>
              </w:rPr>
              <w:t>Six months ended</w:t>
            </w:r>
          </w:p>
        </w:tc>
        <w:tc>
          <w:tcPr>
            <w:tcW w:w="0" w:type="dxa"/>
            <w:vAlign w:val="bottom"/>
          </w:tcPr>
          <w:p>
            <w:pPr>
              <w:spacing w:after="0"/>
              <w:rPr>
                <w:sz w:val="1"/>
                <w:szCs w:val="1"/>
                <w:color w:val="auto"/>
              </w:rPr>
            </w:pPr>
          </w:p>
        </w:tc>
      </w:tr>
      <w:tr>
        <w:trPr>
          <w:trHeight w:val="171"/>
        </w:trPr>
        <w:tc>
          <w:tcPr>
            <w:tcW w:w="1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74"/>
                <w:vertAlign w:val="subscript"/>
              </w:rPr>
              <w:t>March</w:t>
            </w:r>
            <w:r>
              <w:rPr>
                <w:rFonts w:ascii="Courier New" w:cs="Courier New" w:eastAsia="Courier New" w:hAnsi="Courier New"/>
                <w:sz w:val="10"/>
                <w:szCs w:val="10"/>
                <w:color w:val="auto"/>
                <w:w w:val="74"/>
              </w:rPr>
              <w:t>----------------------</w:t>
            </w:r>
            <w:r>
              <w:rPr>
                <w:rFonts w:ascii="Courier New" w:cs="Courier New" w:eastAsia="Courier New" w:hAnsi="Courier New"/>
                <w:sz w:val="16"/>
                <w:szCs w:val="16"/>
                <w:color w:val="auto"/>
                <w:w w:val="74"/>
                <w:vertAlign w:val="subscript"/>
              </w:rPr>
              <w:t>2,</w:t>
            </w:r>
          </w:p>
        </w:tc>
        <w:tc>
          <w:tcPr>
            <w:tcW w:w="1060" w:type="dxa"/>
            <w:vAlign w:val="bottom"/>
            <w:vMerge w:val="restart"/>
          </w:tcPr>
          <w:p>
            <w:pPr>
              <w:jc w:val="center"/>
              <w:ind w:right="286"/>
              <w:spacing w:after="0"/>
              <w:rPr>
                <w:sz w:val="20"/>
                <w:szCs w:val="20"/>
                <w:color w:val="auto"/>
              </w:rPr>
            </w:pPr>
            <w:r>
              <w:rPr>
                <w:rFonts w:ascii="Courier New" w:cs="Courier New" w:eastAsia="Courier New" w:hAnsi="Courier New"/>
                <w:sz w:val="15"/>
                <w:szCs w:val="15"/>
                <w:color w:val="auto"/>
                <w:w w:val="97"/>
              </w:rPr>
              <w:t>March 4,</w:t>
            </w: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13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42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7"/>
              </w:rPr>
              <w:t>March 2,</w:t>
            </w:r>
          </w:p>
        </w:tc>
        <w:tc>
          <w:tcPr>
            <w:tcW w:w="10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9"/>
              </w:rPr>
              <w:t>March 4,</w:t>
            </w:r>
          </w:p>
        </w:tc>
        <w:tc>
          <w:tcPr>
            <w:tcW w:w="0" w:type="dxa"/>
            <w:vAlign w:val="bottom"/>
          </w:tcPr>
          <w:p>
            <w:pPr>
              <w:spacing w:after="0"/>
              <w:rPr>
                <w:sz w:val="1"/>
                <w:szCs w:val="1"/>
                <w:color w:val="auto"/>
              </w:rPr>
            </w:pPr>
          </w:p>
        </w:tc>
      </w:tr>
      <w:tr>
        <w:trPr>
          <w:trHeight w:val="197"/>
        </w:trPr>
        <w:tc>
          <w:tcPr>
            <w:tcW w:w="1340" w:type="dxa"/>
            <w:vAlign w:val="bottom"/>
          </w:tcPr>
          <w:p>
            <w:pPr>
              <w:jc w:val="right"/>
              <w:ind w:right="734"/>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bl>
    <w:p>
      <w:pPr>
        <w:ind w:left="9"/>
        <w:spacing w:after="0"/>
        <w:rPr>
          <w:sz w:val="20"/>
          <w:szCs w:val="20"/>
          <w:color w:val="auto"/>
        </w:rPr>
      </w:pPr>
      <w:r>
        <w:rPr>
          <w:rFonts w:ascii="Courier New" w:cs="Courier New" w:eastAsia="Courier New" w:hAnsi="Courier New"/>
          <w:sz w:val="14"/>
          <w:szCs w:val="14"/>
          <w:color w:val="auto"/>
        </w:rPr>
        <w:t>- ------------------------------------------------------------------------------------------------------------------------</w:t>
      </w:r>
    </w:p>
    <w:p>
      <w:pPr>
        <w:spacing w:after="0" w:line="157"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0.30</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406"/>
              <w:spacing w:after="0"/>
              <w:rPr>
                <w:sz w:val="20"/>
                <w:szCs w:val="20"/>
                <w:color w:val="auto"/>
              </w:rPr>
            </w:pPr>
            <w:r>
              <w:rPr>
                <w:rFonts w:ascii="Courier New" w:cs="Courier New" w:eastAsia="Courier New" w:hAnsi="Courier New"/>
                <w:sz w:val="15"/>
                <w:szCs w:val="15"/>
                <w:color w:val="auto"/>
              </w:rPr>
              <w:t>0.04</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0.93</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171"/>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0.29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0.04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0.89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Number of shares used in per share calculation:</w:t>
            </w:r>
          </w:p>
        </w:tc>
        <w:tc>
          <w:tcPr>
            <w:tcW w:w="940" w:type="dxa"/>
            <w:vAlign w:val="bottom"/>
          </w:tcPr>
          <w:p>
            <w:pPr>
              <w:spacing w:after="0"/>
              <w:rPr>
                <w:sz w:val="14"/>
                <w:szCs w:val="14"/>
                <w:color w:val="auto"/>
              </w:rPr>
            </w:pPr>
          </w:p>
        </w:tc>
        <w:tc>
          <w:tcPr>
            <w:tcW w:w="84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w w:val="93"/>
              </w:rPr>
              <w:t>540.8</w:t>
            </w:r>
          </w:p>
        </w:tc>
        <w:tc>
          <w:tcPr>
            <w:tcW w:w="480" w:type="dxa"/>
            <w:vAlign w:val="bottom"/>
          </w:tcPr>
          <w:p>
            <w:pPr>
              <w:spacing w:after="0"/>
              <w:rPr>
                <w:sz w:val="14"/>
                <w:szCs w:val="14"/>
                <w:color w:val="auto"/>
              </w:rPr>
            </w:pPr>
          </w:p>
        </w:tc>
        <w:tc>
          <w:tcPr>
            <w:tcW w:w="940" w:type="dxa"/>
            <w:vAlign w:val="bottom"/>
            <w:vMerge w:val="restart"/>
          </w:tcPr>
          <w:p>
            <w:pPr>
              <w:jc w:val="right"/>
              <w:ind w:right="406"/>
              <w:spacing w:after="0"/>
              <w:rPr>
                <w:sz w:val="20"/>
                <w:szCs w:val="20"/>
                <w:color w:val="auto"/>
              </w:rPr>
            </w:pPr>
            <w:r>
              <w:rPr>
                <w:rFonts w:ascii="Courier New" w:cs="Courier New" w:eastAsia="Courier New" w:hAnsi="Courier New"/>
                <w:sz w:val="15"/>
                <w:szCs w:val="15"/>
                <w:color w:val="auto"/>
                <w:w w:val="97"/>
              </w:rPr>
              <w:t>528.6</w:t>
            </w:r>
          </w:p>
        </w:tc>
        <w:tc>
          <w:tcPr>
            <w:tcW w:w="580" w:type="dxa"/>
            <w:vAlign w:val="bottom"/>
          </w:tcPr>
          <w:p>
            <w:pPr>
              <w:spacing w:after="0"/>
              <w:rPr>
                <w:sz w:val="14"/>
                <w:szCs w:val="14"/>
                <w:color w:val="auto"/>
              </w:rPr>
            </w:pPr>
          </w:p>
        </w:tc>
        <w:tc>
          <w:tcPr>
            <w:tcW w:w="84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w w:val="93"/>
              </w:rPr>
              <w:t>539.6</w:t>
            </w:r>
          </w:p>
        </w:tc>
        <w:tc>
          <w:tcPr>
            <w:tcW w:w="102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510.0</w:t>
            </w:r>
          </w:p>
        </w:tc>
        <w:tc>
          <w:tcPr>
            <w:tcW w:w="0" w:type="dxa"/>
            <w:vAlign w:val="bottom"/>
          </w:tcPr>
          <w:p>
            <w:pPr>
              <w:spacing w:after="0"/>
              <w:rPr>
                <w:sz w:val="1"/>
                <w:szCs w:val="1"/>
                <w:color w:val="auto"/>
              </w:rPr>
            </w:pPr>
          </w:p>
        </w:tc>
      </w:tr>
      <w:tr>
        <w:trPr>
          <w:trHeight w:val="171"/>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9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940" w:type="dxa"/>
            <w:vAlign w:val="bottom"/>
          </w:tcPr>
          <w:p>
            <w:pPr>
              <w:spacing w:after="0"/>
              <w:rPr>
                <w:sz w:val="21"/>
                <w:szCs w:val="21"/>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557.2</w:t>
            </w:r>
          </w:p>
        </w:tc>
        <w:tc>
          <w:tcPr>
            <w:tcW w:w="480" w:type="dxa"/>
            <w:vAlign w:val="bottom"/>
          </w:tcPr>
          <w:p>
            <w:pPr>
              <w:spacing w:after="0"/>
              <w:rPr>
                <w:sz w:val="21"/>
                <w:szCs w:val="21"/>
                <w:color w:val="auto"/>
              </w:rPr>
            </w:pPr>
          </w:p>
        </w:tc>
        <w:tc>
          <w:tcPr>
            <w:tcW w:w="9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7"/>
              </w:rPr>
              <w:t>545.7</w:t>
            </w:r>
          </w:p>
        </w:tc>
        <w:tc>
          <w:tcPr>
            <w:tcW w:w="580" w:type="dxa"/>
            <w:vAlign w:val="bottom"/>
          </w:tcPr>
          <w:p>
            <w:pPr>
              <w:spacing w:after="0"/>
              <w:rPr>
                <w:sz w:val="21"/>
                <w:szCs w:val="21"/>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596.0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510.0</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49" w:hanging="449"/>
        <w:spacing w:after="0"/>
        <w:tabs>
          <w:tab w:leader="none" w:pos="4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w:t>
      </w:r>
    </w:p>
    <w:p>
      <w:pPr>
        <w:spacing w:after="0" w:line="171" w:lineRule="exact"/>
        <w:rPr>
          <w:sz w:val="20"/>
          <w:szCs w:val="20"/>
          <w:color w:val="auto"/>
        </w:rPr>
      </w:pPr>
    </w:p>
    <w:p>
      <w:pPr>
        <w:ind w:left="9" w:right="3800" w:firstLine="444"/>
        <w:spacing w:after="0" w:line="269" w:lineRule="auto"/>
        <w:rPr>
          <w:sz w:val="20"/>
          <w:szCs w:val="20"/>
          <w:color w:val="auto"/>
        </w:rPr>
      </w:pPr>
      <w:r>
        <w:rPr>
          <w:rFonts w:ascii="Courier New" w:cs="Courier New" w:eastAsia="Courier New" w:hAnsi="Courier New"/>
          <w:sz w:val="15"/>
          <w:szCs w:val="15"/>
          <w:color w:val="auto"/>
        </w:rPr>
        <w:t>On September 30, 1998, MTI completed the acquisition (the "Acquisition") of substantially all of the memory operations of Texas Instruments Incorporated. The following unaudited pro forma information presents the consolidated results of operations of the Company for the first six months of 1999 as if the Acquisition had taken place at the beginning of fiscal 1999:</w:t>
      </w:r>
    </w:p>
    <w:p>
      <w:pPr>
        <w:spacing w:after="0" w:line="72"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3580" w:type="dxa"/>
            <w:vAlign w:val="bottom"/>
            <w:vMerge w:val="restart"/>
          </w:tcPr>
          <w:p>
            <w:pPr>
              <w:spacing w:after="0"/>
              <w:rPr>
                <w:sz w:val="20"/>
                <w:szCs w:val="20"/>
                <w:color w:val="auto"/>
              </w:rPr>
            </w:pPr>
            <w:r>
              <w:rPr>
                <w:rFonts w:ascii="Courier New" w:cs="Courier New" w:eastAsia="Courier New" w:hAnsi="Courier New"/>
                <w:sz w:val="15"/>
                <w:szCs w:val="15"/>
                <w:color w:val="auto"/>
              </w:rPr>
              <w:t>For the six months ended</w:t>
            </w:r>
          </w:p>
        </w:tc>
        <w:tc>
          <w:tcPr>
            <w:tcW w:w="2180" w:type="dxa"/>
            <w:vAlign w:val="bottom"/>
          </w:tcPr>
          <w:p>
            <w:pPr>
              <w:jc w:val="center"/>
              <w:ind w:left="1386"/>
              <w:spacing w:after="0"/>
              <w:rPr>
                <w:sz w:val="20"/>
                <w:szCs w:val="20"/>
                <w:color w:val="auto"/>
              </w:rPr>
            </w:pPr>
            <w:r>
              <w:rPr>
                <w:rFonts w:ascii="Courier New" w:cs="Courier New" w:eastAsia="Courier New" w:hAnsi="Courier New"/>
                <w:sz w:val="15"/>
                <w:szCs w:val="15"/>
                <w:color w:val="auto"/>
                <w:w w:val="99"/>
              </w:rPr>
              <w:t>March 4,</w:t>
            </w:r>
          </w:p>
        </w:tc>
        <w:tc>
          <w:tcPr>
            <w:tcW w:w="0" w:type="dxa"/>
            <w:vAlign w:val="bottom"/>
          </w:tcPr>
          <w:p>
            <w:pPr>
              <w:spacing w:after="0"/>
              <w:rPr>
                <w:sz w:val="1"/>
                <w:szCs w:val="1"/>
                <w:color w:val="auto"/>
              </w:rPr>
            </w:pPr>
          </w:p>
        </w:tc>
      </w:tr>
      <w:tr>
        <w:trPr>
          <w:trHeight w:val="197"/>
        </w:trPr>
        <w:tc>
          <w:tcPr>
            <w:tcW w:w="3580" w:type="dxa"/>
            <w:vAlign w:val="bottom"/>
            <w:vMerge w:val="continue"/>
          </w:tcPr>
          <w:p>
            <w:pPr>
              <w:spacing w:after="0"/>
              <w:rPr>
                <w:sz w:val="17"/>
                <w:szCs w:val="17"/>
                <w:color w:val="auto"/>
              </w:rPr>
            </w:pPr>
          </w:p>
        </w:tc>
        <w:tc>
          <w:tcPr>
            <w:tcW w:w="2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bl>
    <w:p>
      <w:pPr>
        <w:ind w:left="9"/>
        <w:spacing w:after="0"/>
        <w:rPr>
          <w:sz w:val="20"/>
          <w:szCs w:val="20"/>
          <w:color w:val="auto"/>
        </w:rPr>
      </w:pPr>
      <w:r>
        <w:rPr>
          <w:rFonts w:ascii="Courier New" w:cs="Courier New" w:eastAsia="Courier New" w:hAnsi="Courier New"/>
          <w:sz w:val="15"/>
          <w:szCs w:val="15"/>
          <w:color w:val="auto"/>
        </w:rPr>
        <w:t>- -----------------------------------------------------------------------------</w:t>
      </w:r>
    </w:p>
    <w:tbl>
      <w:tblPr>
        <w:tblLayout w:type="fixed"/>
        <w:tblInd w:w="449" w:type="dxa"/>
        <w:tblCellMar>
          <w:top w:w="0" w:type="dxa"/>
          <w:left w:w="0" w:type="dxa"/>
          <w:bottom w:w="0" w:type="dxa"/>
          <w:right w:w="0" w:type="dxa"/>
        </w:tblCellMar>
      </w:tblPr>
      <w:tr>
        <w:trPr>
          <w:trHeight w:val="145"/>
        </w:trPr>
        <w:tc>
          <w:tcPr>
            <w:tcW w:w="300" w:type="dxa"/>
            <w:vAlign w:val="bottom"/>
          </w:tcPr>
          <w:p>
            <w:pPr>
              <w:spacing w:after="0" w:line="146" w:lineRule="exact"/>
              <w:rPr>
                <w:sz w:val="20"/>
                <w:szCs w:val="20"/>
                <w:color w:val="auto"/>
              </w:rPr>
            </w:pPr>
            <w:r>
              <w:rPr>
                <w:rFonts w:ascii="Courier New" w:cs="Courier New" w:eastAsia="Courier New" w:hAnsi="Courier New"/>
                <w:sz w:val="15"/>
                <w:szCs w:val="15"/>
                <w:color w:val="auto"/>
              </w:rPr>
              <w:t>Net</w:t>
            </w:r>
          </w:p>
        </w:tc>
        <w:tc>
          <w:tcPr>
            <w:tcW w:w="2940" w:type="dxa"/>
            <w:vAlign w:val="bottom"/>
          </w:tcPr>
          <w:p>
            <w:pPr>
              <w:ind w:left="40"/>
              <w:spacing w:after="0" w:line="146" w:lineRule="exact"/>
              <w:rPr>
                <w:sz w:val="20"/>
                <w:szCs w:val="20"/>
                <w:color w:val="auto"/>
              </w:rPr>
            </w:pPr>
            <w:r>
              <w:rPr>
                <w:rFonts w:ascii="Courier New" w:cs="Courier New" w:eastAsia="Courier New" w:hAnsi="Courier New"/>
                <w:sz w:val="15"/>
                <w:szCs w:val="15"/>
                <w:color w:val="auto"/>
              </w:rPr>
              <w:t>sales</w:t>
            </w:r>
          </w:p>
        </w:tc>
        <w:tc>
          <w:tcPr>
            <w:tcW w:w="2080" w:type="dxa"/>
            <w:vAlign w:val="bottom"/>
          </w:tcPr>
          <w:p>
            <w:pPr>
              <w:jc w:val="right"/>
              <w:ind w:right="6"/>
              <w:spacing w:after="0" w:line="146" w:lineRule="exact"/>
              <w:rPr>
                <w:sz w:val="20"/>
                <w:szCs w:val="20"/>
                <w:color w:val="auto"/>
              </w:rPr>
            </w:pPr>
            <w:r>
              <w:rPr>
                <w:rFonts w:ascii="Courier New" w:cs="Courier New" w:eastAsia="Courier New" w:hAnsi="Courier New"/>
                <w:sz w:val="15"/>
                <w:szCs w:val="15"/>
                <w:color w:val="auto"/>
              </w:rPr>
              <w:t>$1,874.7</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94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r>
      <w:tr>
        <w:trPr>
          <w:trHeight w:val="171"/>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Basic loss per share</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249"/>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Diluted loss per share</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bl>
    <w:p>
      <w:pPr>
        <w:spacing w:after="0" w:line="92" w:lineRule="exact"/>
        <w:rPr>
          <w:sz w:val="20"/>
          <w:szCs w:val="20"/>
          <w:color w:val="auto"/>
        </w:rPr>
      </w:pPr>
    </w:p>
    <w:p>
      <w:pPr>
        <w:ind w:left="9" w:right="3980" w:firstLine="444"/>
        <w:spacing w:after="0" w:line="278" w:lineRule="auto"/>
        <w:rPr>
          <w:sz w:val="20"/>
          <w:szCs w:val="20"/>
          <w:color w:val="auto"/>
        </w:rPr>
      </w:pPr>
      <w:r>
        <w:rPr>
          <w:rFonts w:ascii="Courier New" w:cs="Courier New" w:eastAsia="Courier New" w:hAnsi="Courier New"/>
          <w:sz w:val="15"/>
          <w:szCs w:val="15"/>
          <w:color w:val="auto"/>
        </w:rPr>
        <w:t>These pro forma results of operations have been prepared for comparative purposes only and do not purport to be indicative of the results of operations which actually would have resulted had the Acquisition occurred on the dates indicated, or which may result in the future.</w:t>
      </w:r>
    </w:p>
    <w:p>
      <w:pPr>
        <w:spacing w:after="0" w:line="66"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909"/>
          </w:cols>
          <w:pgMar w:left="231" w:top="605" w:right="759" w:bottom="1440" w:gutter="0" w:footer="0" w:header="0"/>
        </w:sectPr>
      </w:pPr>
    </w:p>
    <w:bookmarkStart w:id="11" w:name="page12"/>
    <w:bookmarkEnd w:id="11"/>
    <w:p>
      <w:pPr>
        <w:ind w:left="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349" w:hanging="349"/>
        <w:spacing w:after="0"/>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ventures</w:t>
      </w:r>
    </w:p>
    <w:p>
      <w:pPr>
        <w:spacing w:after="0" w:line="171" w:lineRule="exact"/>
        <w:rPr>
          <w:sz w:val="20"/>
          <w:szCs w:val="20"/>
          <w:color w:val="auto"/>
        </w:rPr>
      </w:pPr>
    </w:p>
    <w:p>
      <w:pPr>
        <w:ind w:left="9" w:right="3219" w:firstLine="355"/>
        <w:spacing w:after="0" w:line="263" w:lineRule="auto"/>
        <w:rPr>
          <w:sz w:val="20"/>
          <w:szCs w:val="20"/>
          <w:color w:val="auto"/>
        </w:rPr>
      </w:pPr>
      <w:r>
        <w:rPr>
          <w:rFonts w:ascii="Courier New" w:cs="Courier New" w:eastAsia="Courier New" w:hAnsi="Courier New"/>
          <w:sz w:val="15"/>
          <w:szCs w:val="15"/>
          <w:color w:val="auto"/>
        </w:rPr>
        <w:t>MTI participates in two joint ventures: TECH Semiconductor Singapore Pte. Ltd. ("TECH") and KMT Semiconductor Limited ("KMT"). TECH, which operates in Singapore, is a joint venture among MTI, the Singapore Economic Development Board, Canon Inc. and Hewlett-Packard Company. KMT, which operates in Japan, is a joint venture between MTI and Kobe Steel, Ltd. TECH and KMT are collectively referred to herein as the "JVs".</w:t>
      </w:r>
    </w:p>
    <w:p>
      <w:pPr>
        <w:spacing w:after="0" w:line="77" w:lineRule="exact"/>
        <w:rPr>
          <w:sz w:val="20"/>
          <w:szCs w:val="20"/>
          <w:color w:val="auto"/>
        </w:rPr>
      </w:pPr>
    </w:p>
    <w:p>
      <w:pPr>
        <w:ind w:left="9" w:right="3119" w:firstLine="355"/>
        <w:spacing w:after="0" w:line="253" w:lineRule="auto"/>
        <w:rPr>
          <w:sz w:val="20"/>
          <w:szCs w:val="20"/>
          <w:color w:val="auto"/>
        </w:rPr>
      </w:pPr>
      <w:r>
        <w:rPr>
          <w:rFonts w:ascii="Courier New" w:cs="Courier New" w:eastAsia="Courier New" w:hAnsi="Courier New"/>
          <w:sz w:val="15"/>
          <w:szCs w:val="15"/>
          <w:color w:val="auto"/>
        </w:rPr>
        <w:t>Subject to certain terms and conditions, MTI has agreed to purchase the entire output of the JVs. MTI is a party to various agreements with the JVs whereby MTI provides technology, engineering support, training and information system support to the JVs. MTI also performs assembly and test services on product manufactured by the JVs. All transactions with the JVs are recognized as part of the net cost of products obtained from the JVs. The net cost of products purchased from the JVs, including the amortization on the value of the JV supply agreements, amounted to $147.1 million and $187.3 million for KMT and TECH, respectively, for the second quarter of 2000, and $260.7 million and $249.4 million for the first six months of 2000.</w:t>
      </w:r>
    </w:p>
    <w:p>
      <w:pPr>
        <w:spacing w:after="0" w:line="86" w:lineRule="exact"/>
        <w:rPr>
          <w:sz w:val="20"/>
          <w:szCs w:val="20"/>
          <w:color w:val="auto"/>
        </w:rPr>
      </w:pPr>
    </w:p>
    <w:p>
      <w:pPr>
        <w:ind w:left="9" w:right="3119" w:firstLine="355"/>
        <w:spacing w:after="0" w:line="269" w:lineRule="auto"/>
        <w:rPr>
          <w:sz w:val="20"/>
          <w:szCs w:val="20"/>
          <w:color w:val="auto"/>
        </w:rPr>
      </w:pPr>
      <w:r>
        <w:rPr>
          <w:rFonts w:ascii="Courier New" w:cs="Courier New" w:eastAsia="Courier New" w:hAnsi="Courier New"/>
          <w:sz w:val="15"/>
          <w:szCs w:val="15"/>
          <w:color w:val="auto"/>
        </w:rPr>
        <w:t>Receivables from KMT and TECH were $19.3 million and $64.6 million and payables were $61.7 million and $81.3 million, respectively, as of March 2, 2000. As of September 2, 1999, receivables from KMT and TECH were $19.1 million and $47.2 million and payables were $24.4 million and $32.0 million, respectively.</w:t>
      </w:r>
    </w:p>
    <w:p>
      <w:pPr>
        <w:spacing w:after="0" w:line="72" w:lineRule="exact"/>
        <w:rPr>
          <w:sz w:val="20"/>
          <w:szCs w:val="20"/>
          <w:color w:val="auto"/>
        </w:rPr>
      </w:pPr>
    </w:p>
    <w:p>
      <w:pPr>
        <w:ind w:left="349" w:hanging="349"/>
        <w:spacing w:after="0"/>
        <w:tabs>
          <w:tab w:leader="none" w:pos="3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segment information</w:t>
      </w:r>
    </w:p>
    <w:p>
      <w:pPr>
        <w:spacing w:after="0" w:line="171" w:lineRule="exact"/>
        <w:rPr>
          <w:sz w:val="20"/>
          <w:szCs w:val="20"/>
          <w:color w:val="auto"/>
        </w:rPr>
      </w:pPr>
    </w:p>
    <w:p>
      <w:pPr>
        <w:ind w:left="9" w:right="3219" w:firstLine="355"/>
        <w:spacing w:after="0" w:line="269" w:lineRule="auto"/>
        <w:rPr>
          <w:sz w:val="20"/>
          <w:szCs w:val="20"/>
          <w:color w:val="auto"/>
        </w:rPr>
      </w:pPr>
      <w:r>
        <w:rPr>
          <w:rFonts w:ascii="Courier New" w:cs="Courier New" w:eastAsia="Courier New" w:hAnsi="Courier New"/>
          <w:sz w:val="15"/>
          <w:szCs w:val="15"/>
          <w:color w:val="auto"/>
        </w:rPr>
        <w:t>The Company has two reportable segments based on the nature of its operations and products offered to customers: semiconductor operations and PC operations. The semiconductor operations segment's primary product is DRAM. The PC operations segment's primary products include desktop and notebook PC systems, multiprocessor network servers, hardware services and e-services.</w:t>
      </w:r>
    </w:p>
    <w:p>
      <w:pPr>
        <w:spacing w:after="0" w:line="72" w:lineRule="exact"/>
        <w:rPr>
          <w:sz w:val="20"/>
          <w:szCs w:val="20"/>
          <w:color w:val="auto"/>
        </w:rPr>
      </w:pPr>
    </w:p>
    <w:p>
      <w:pPr>
        <w:ind w:left="9" w:right="3299" w:firstLine="355"/>
        <w:spacing w:after="0" w:line="278" w:lineRule="auto"/>
        <w:rPr>
          <w:sz w:val="20"/>
          <w:szCs w:val="20"/>
          <w:color w:val="auto"/>
        </w:rPr>
      </w:pPr>
      <w:r>
        <w:rPr>
          <w:rFonts w:ascii="Courier New" w:cs="Courier New" w:eastAsia="Courier New" w:hAnsi="Courier New"/>
          <w:sz w:val="15"/>
          <w:szCs w:val="15"/>
          <w:color w:val="auto"/>
        </w:rPr>
        <w:t>Intersegment sales for the second quarter and first six months of 2000 and 1999 are primarily comprised of sales from the Company's semiconductor operations to the Company's PC operations segment. Intersegment sales are eliminated to arrive at consolidated net sales.</w:t>
      </w:r>
    </w:p>
    <w:p>
      <w:pPr>
        <w:spacing w:after="0" w:line="66"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605" w:right="1440" w:bottom="1440" w:gutter="0" w:footer="0" w:header="0"/>
        </w:sectPr>
      </w:pPr>
    </w:p>
    <w:bookmarkStart w:id="12" w:name="page13"/>
    <w:bookmarkEnd w:id="12"/>
    <w:p>
      <w:pPr>
        <w:ind w:left="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9" w:right="3900" w:firstLine="355"/>
        <w:spacing w:after="0" w:line="297" w:lineRule="auto"/>
        <w:rPr>
          <w:sz w:val="20"/>
          <w:szCs w:val="20"/>
          <w:color w:val="auto"/>
        </w:rPr>
      </w:pPr>
      <w:r>
        <w:rPr>
          <w:rFonts w:ascii="Courier New" w:cs="Courier New" w:eastAsia="Courier New" w:hAnsi="Courier New"/>
          <w:sz w:val="15"/>
          <w:szCs w:val="15"/>
          <w:color w:val="auto"/>
        </w:rPr>
        <w:t>Sales to two of the Company's major PC OEM customers each approximated 15% of the Company's semiconductor operations net sales for the first six months of 2000.</w:t>
      </w:r>
    </w:p>
    <w:p>
      <w:pPr>
        <w:spacing w:after="0" w:line="393" w:lineRule="exact"/>
        <w:rPr>
          <w:sz w:val="20"/>
          <w:szCs w:val="20"/>
          <w:color w:val="auto"/>
        </w:rPr>
      </w:pPr>
    </w:p>
    <w:tbl>
      <w:tblPr>
        <w:tblLayout w:type="fixed"/>
        <w:tblInd w:w="4789" w:type="dxa"/>
        <w:tblCellMar>
          <w:top w:w="0" w:type="dxa"/>
          <w:left w:w="0" w:type="dxa"/>
          <w:bottom w:w="0" w:type="dxa"/>
          <w:right w:w="0" w:type="dxa"/>
        </w:tblCellMar>
      </w:tblPr>
      <w:tr>
        <w:trPr>
          <w:trHeight w:val="171"/>
        </w:trPr>
        <w:tc>
          <w:tcPr>
            <w:tcW w:w="262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Quarter ended</w:t>
            </w:r>
          </w:p>
        </w:tc>
        <w:tc>
          <w:tcPr>
            <w:tcW w:w="2880" w:type="dxa"/>
            <w:vAlign w:val="bottom"/>
            <w:gridSpan w:val="2"/>
          </w:tcPr>
          <w:p>
            <w:pPr>
              <w:jc w:val="center"/>
              <w:ind w:left="146"/>
              <w:spacing w:after="0"/>
              <w:rPr>
                <w:sz w:val="20"/>
                <w:szCs w:val="20"/>
                <w:color w:val="auto"/>
              </w:rPr>
            </w:pPr>
            <w:r>
              <w:rPr>
                <w:rFonts w:ascii="Courier New" w:cs="Courier New" w:eastAsia="Courier New" w:hAnsi="Courier New"/>
                <w:sz w:val="15"/>
                <w:szCs w:val="15"/>
                <w:color w:val="auto"/>
                <w:w w:val="98"/>
              </w:rPr>
              <w:t>Six months ended</w:t>
            </w:r>
          </w:p>
        </w:tc>
        <w:tc>
          <w:tcPr>
            <w:tcW w:w="0" w:type="dxa"/>
            <w:vAlign w:val="bottom"/>
          </w:tcPr>
          <w:p>
            <w:pPr>
              <w:spacing w:after="0"/>
              <w:rPr>
                <w:sz w:val="1"/>
                <w:szCs w:val="1"/>
                <w:color w:val="auto"/>
              </w:rPr>
            </w:pPr>
          </w:p>
        </w:tc>
      </w:tr>
      <w:tr>
        <w:trPr>
          <w:trHeight w:val="171"/>
        </w:trPr>
        <w:tc>
          <w:tcPr>
            <w:tcW w:w="168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3"/>
              </w:rPr>
              <w:t>------------------------------</w:t>
            </w:r>
            <w:r>
              <w:rPr>
                <w:rFonts w:ascii="Courier New" w:cs="Courier New" w:eastAsia="Courier New" w:hAnsi="Courier New"/>
                <w:sz w:val="16"/>
                <w:szCs w:val="16"/>
                <w:color w:val="auto"/>
                <w:w w:val="73"/>
                <w:vertAlign w:val="subscript"/>
              </w:rPr>
              <w:t>March2,</w:t>
            </w:r>
          </w:p>
        </w:tc>
        <w:tc>
          <w:tcPr>
            <w:tcW w:w="940" w:type="dxa"/>
            <w:vAlign w:val="bottom"/>
            <w:vMerge w:val="restart"/>
          </w:tcPr>
          <w:p>
            <w:pPr>
              <w:jc w:val="center"/>
              <w:ind w:right="146"/>
              <w:spacing w:after="0"/>
              <w:rPr>
                <w:sz w:val="20"/>
                <w:szCs w:val="20"/>
                <w:color w:val="auto"/>
              </w:rPr>
            </w:pPr>
            <w:r>
              <w:rPr>
                <w:rFonts w:ascii="Courier New" w:cs="Courier New" w:eastAsia="Courier New" w:hAnsi="Courier New"/>
                <w:sz w:val="15"/>
                <w:szCs w:val="15"/>
                <w:color w:val="auto"/>
                <w:w w:val="99"/>
              </w:rPr>
              <w:t>March 4,</w:t>
            </w:r>
          </w:p>
        </w:tc>
        <w:tc>
          <w:tcPr>
            <w:tcW w:w="2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16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March 2,</w:t>
            </w:r>
          </w:p>
        </w:tc>
        <w:tc>
          <w:tcPr>
            <w:tcW w:w="132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March 4,</w:t>
            </w:r>
          </w:p>
        </w:tc>
        <w:tc>
          <w:tcPr>
            <w:tcW w:w="0" w:type="dxa"/>
            <w:vAlign w:val="bottom"/>
          </w:tcPr>
          <w:p>
            <w:pPr>
              <w:spacing w:after="0"/>
              <w:rPr>
                <w:sz w:val="1"/>
                <w:szCs w:val="1"/>
                <w:color w:val="auto"/>
              </w:rPr>
            </w:pPr>
          </w:p>
        </w:tc>
      </w:tr>
      <w:tr>
        <w:trPr>
          <w:trHeight w:val="249"/>
        </w:trPr>
        <w:tc>
          <w:tcPr>
            <w:tcW w:w="1680" w:type="dxa"/>
            <w:vAlign w:val="bottom"/>
          </w:tcPr>
          <w:p>
            <w:pPr>
              <w:jc w:val="right"/>
              <w:ind w:right="814"/>
              <w:spacing w:after="0"/>
              <w:rPr>
                <w:sz w:val="20"/>
                <w:szCs w:val="20"/>
                <w:color w:val="auto"/>
              </w:rPr>
            </w:pPr>
            <w:r>
              <w:rPr>
                <w:rFonts w:ascii="Courier New" w:cs="Courier New" w:eastAsia="Courier New" w:hAnsi="Courier New"/>
                <w:sz w:val="15"/>
                <w:szCs w:val="15"/>
                <w:color w:val="auto"/>
              </w:rPr>
              <w:t>2000</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Net sales</w:t>
      </w:r>
    </w:p>
    <w:p>
      <w:pPr>
        <w:spacing w:after="0" w:line="27" w:lineRule="exact"/>
        <w:rPr>
          <w:sz w:val="20"/>
          <w:szCs w:val="20"/>
          <w:color w:val="auto"/>
        </w:rPr>
      </w:pPr>
    </w:p>
    <w:p>
      <w:pPr>
        <w:ind w:left="169" w:hanging="169"/>
        <w:spacing w:after="0"/>
        <w:tabs>
          <w:tab w:leader="none" w:pos="16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Semiconductor operations</w:t>
      </w:r>
    </w:p>
    <w:tbl>
      <w:tblPr>
        <w:tblLayout w:type="fixed"/>
        <w:tblInd w:w="9" w:type="dxa"/>
        <w:tblCellMar>
          <w:top w:w="0" w:type="dxa"/>
          <w:left w:w="0" w:type="dxa"/>
          <w:bottom w:w="0" w:type="dxa"/>
          <w:right w:w="0" w:type="dxa"/>
        </w:tblCellMar>
      </w:tblPr>
      <w:tr>
        <w:trPr>
          <w:trHeight w:val="145"/>
        </w:trPr>
        <w:tc>
          <w:tcPr>
            <w:tcW w:w="3760" w:type="dxa"/>
            <w:vAlign w:val="bottom"/>
          </w:tcPr>
          <w:p>
            <w:pPr>
              <w:ind w:left="160"/>
              <w:spacing w:after="0" w:line="146" w:lineRule="exact"/>
              <w:rPr>
                <w:sz w:val="20"/>
                <w:szCs w:val="20"/>
                <w:color w:val="auto"/>
              </w:rPr>
            </w:pPr>
            <w:r>
              <w:rPr>
                <w:rFonts w:ascii="Courier New" w:cs="Courier New" w:eastAsia="Courier New" w:hAnsi="Courier New"/>
                <w:sz w:val="15"/>
                <w:szCs w:val="15"/>
                <w:color w:val="auto"/>
              </w:rPr>
              <w:t>External</w:t>
            </w:r>
          </w:p>
        </w:tc>
        <w:tc>
          <w:tcPr>
            <w:tcW w:w="1380" w:type="dxa"/>
            <w:vAlign w:val="bottom"/>
          </w:tcPr>
          <w:p>
            <w:pPr>
              <w:jc w:val="right"/>
              <w:spacing w:after="0" w:line="146"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line="146" w:lineRule="exact"/>
              <w:rPr>
                <w:sz w:val="20"/>
                <w:szCs w:val="20"/>
                <w:color w:val="auto"/>
              </w:rPr>
            </w:pPr>
            <w:r>
              <w:rPr>
                <w:rFonts w:ascii="Courier New" w:cs="Courier New" w:eastAsia="Courier New" w:hAnsi="Courier New"/>
                <w:sz w:val="15"/>
                <w:szCs w:val="15"/>
                <w:color w:val="auto"/>
                <w:w w:val="95"/>
              </w:rPr>
              <w:t>1,144.1</w:t>
            </w:r>
          </w:p>
        </w:tc>
        <w:tc>
          <w:tcPr>
            <w:tcW w:w="480" w:type="dxa"/>
            <w:vAlign w:val="bottom"/>
          </w:tcPr>
          <w:p>
            <w:pPr>
              <w:jc w:val="right"/>
              <w:ind w:right="6"/>
              <w:spacing w:after="0" w:line="146"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line="146" w:lineRule="exact"/>
              <w:rPr>
                <w:sz w:val="20"/>
                <w:szCs w:val="20"/>
                <w:color w:val="auto"/>
              </w:rPr>
            </w:pPr>
            <w:r>
              <w:rPr>
                <w:rFonts w:ascii="Courier New" w:cs="Courier New" w:eastAsia="Courier New" w:hAnsi="Courier New"/>
                <w:sz w:val="15"/>
                <w:szCs w:val="15"/>
                <w:color w:val="auto"/>
              </w:rPr>
              <w:t>703.2</w:t>
            </w:r>
          </w:p>
        </w:tc>
        <w:tc>
          <w:tcPr>
            <w:tcW w:w="1420" w:type="dxa"/>
            <w:vAlign w:val="bottom"/>
            <w:gridSpan w:val="2"/>
          </w:tcPr>
          <w:p>
            <w:pPr>
              <w:jc w:val="right"/>
              <w:ind w:right="326"/>
              <w:spacing w:after="0" w:line="146" w:lineRule="exact"/>
              <w:rPr>
                <w:sz w:val="20"/>
                <w:szCs w:val="20"/>
                <w:color w:val="auto"/>
              </w:rPr>
            </w:pPr>
            <w:r>
              <w:rPr>
                <w:rFonts w:ascii="Courier New" w:cs="Courier New" w:eastAsia="Courier New" w:hAnsi="Courier New"/>
                <w:sz w:val="15"/>
                <w:szCs w:val="15"/>
                <w:color w:val="auto"/>
              </w:rPr>
              <w:t>$2,466.0</w:t>
            </w:r>
          </w:p>
        </w:tc>
        <w:tc>
          <w:tcPr>
            <w:tcW w:w="1100" w:type="dxa"/>
            <w:vAlign w:val="bottom"/>
            <w:gridSpan w:val="2"/>
          </w:tcPr>
          <w:p>
            <w:pPr>
              <w:jc w:val="right"/>
              <w:ind w:right="6"/>
              <w:spacing w:after="0" w:line="146" w:lineRule="exact"/>
              <w:rPr>
                <w:sz w:val="20"/>
                <w:szCs w:val="20"/>
                <w:color w:val="auto"/>
              </w:rPr>
            </w:pPr>
            <w:r>
              <w:rPr>
                <w:rFonts w:ascii="Courier New" w:cs="Courier New" w:eastAsia="Courier New" w:hAnsi="Courier New"/>
                <w:sz w:val="15"/>
                <w:szCs w:val="15"/>
                <w:color w:val="auto"/>
              </w:rPr>
              <w:t>$1,130.0</w:t>
            </w:r>
          </w:p>
        </w:tc>
        <w:tc>
          <w:tcPr>
            <w:tcW w:w="0" w:type="dxa"/>
            <w:vAlign w:val="bottom"/>
          </w:tcPr>
          <w:p>
            <w:pPr>
              <w:spacing w:after="0"/>
              <w:rPr>
                <w:sz w:val="1"/>
                <w:szCs w:val="1"/>
                <w:color w:val="auto"/>
              </w:rPr>
            </w:pP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Intersegment</w:t>
            </w:r>
          </w:p>
        </w:tc>
        <w:tc>
          <w:tcPr>
            <w:tcW w:w="13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7.9</w:t>
            </w:r>
          </w:p>
        </w:tc>
        <w:tc>
          <w:tcPr>
            <w:tcW w:w="4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15.0</w:t>
            </w:r>
          </w:p>
        </w:tc>
        <w:tc>
          <w:tcPr>
            <w:tcW w:w="4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25.5</w:t>
            </w:r>
          </w:p>
        </w:tc>
        <w:tc>
          <w:tcPr>
            <w:tcW w:w="4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25.7</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Courier New" w:cs="Courier New" w:eastAsia="Courier New" w:hAnsi="Courier New"/>
                <w:sz w:val="29"/>
                <w:szCs w:val="29"/>
                <w:color w:val="auto"/>
                <w:vertAlign w:val="subscript"/>
              </w:rPr>
              <w:t>$</w:t>
            </w:r>
            <w:r>
              <w:rPr>
                <w:rFonts w:ascii="Courier New" w:cs="Courier New" w:eastAsia="Courier New" w:hAnsi="Courier New"/>
                <w:sz w:val="15"/>
                <w:szCs w:val="15"/>
                <w:color w:val="auto"/>
              </w:rPr>
              <w:t>--------</w:t>
            </w:r>
          </w:p>
        </w:tc>
        <w:tc>
          <w:tcPr>
            <w:tcW w:w="102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w w:val="95"/>
              </w:rPr>
              <w:t>1,152.0</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760" w:type="dxa"/>
            <w:vAlign w:val="bottom"/>
            <w:vMerge w:val="restart"/>
          </w:tcPr>
          <w:p>
            <w:pPr>
              <w:spacing w:after="0"/>
              <w:rPr>
                <w:sz w:val="20"/>
                <w:szCs w:val="20"/>
                <w:color w:val="auto"/>
              </w:rPr>
            </w:pPr>
            <w:r>
              <w:rPr>
                <w:rFonts w:ascii="Courier New" w:cs="Courier New" w:eastAsia="Courier New" w:hAnsi="Courier New"/>
                <w:sz w:val="15"/>
                <w:szCs w:val="15"/>
                <w:color w:val="auto"/>
              </w:rPr>
              <w:t>PC operations</w:t>
            </w:r>
          </w:p>
        </w:tc>
        <w:tc>
          <w:tcPr>
            <w:tcW w:w="138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718.2</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$2,491.5</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$1,155.7</w:t>
            </w:r>
          </w:p>
        </w:tc>
        <w:tc>
          <w:tcPr>
            <w:tcW w:w="0" w:type="dxa"/>
            <w:vAlign w:val="bottom"/>
          </w:tcPr>
          <w:p>
            <w:pPr>
              <w:spacing w:after="0"/>
              <w:rPr>
                <w:sz w:val="1"/>
                <w:szCs w:val="1"/>
                <w:color w:val="auto"/>
              </w:rPr>
            </w:pPr>
          </w:p>
        </w:tc>
      </w:tr>
      <w:tr>
        <w:trPr>
          <w:trHeight w:val="78"/>
        </w:trPr>
        <w:tc>
          <w:tcPr>
            <w:tcW w:w="3760" w:type="dxa"/>
            <w:vAlign w:val="bottom"/>
            <w:vMerge w:val="continue"/>
          </w:tcPr>
          <w:p>
            <w:pPr>
              <w:spacing w:after="0"/>
              <w:rPr>
                <w:sz w:val="6"/>
                <w:szCs w:val="6"/>
                <w:color w:val="auto"/>
              </w:rPr>
            </w:pPr>
          </w:p>
        </w:tc>
        <w:tc>
          <w:tcPr>
            <w:tcW w:w="1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248.3</w:t>
            </w:r>
          </w:p>
        </w:tc>
        <w:tc>
          <w:tcPr>
            <w:tcW w:w="4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321.7</w:t>
            </w:r>
          </w:p>
        </w:tc>
        <w:tc>
          <w:tcPr>
            <w:tcW w:w="4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510.7</w:t>
            </w:r>
          </w:p>
        </w:tc>
        <w:tc>
          <w:tcPr>
            <w:tcW w:w="4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685.3</w:t>
            </w:r>
          </w:p>
        </w:tc>
        <w:tc>
          <w:tcPr>
            <w:tcW w:w="0" w:type="dxa"/>
            <w:vAlign w:val="bottom"/>
          </w:tcPr>
          <w:p>
            <w:pPr>
              <w:spacing w:after="0"/>
              <w:rPr>
                <w:sz w:val="1"/>
                <w:szCs w:val="1"/>
                <w:color w:val="auto"/>
              </w:rPr>
            </w:pP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External</w:t>
            </w:r>
          </w:p>
        </w:tc>
        <w:tc>
          <w:tcPr>
            <w:tcW w:w="13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Intersegment</w:t>
            </w:r>
          </w:p>
        </w:tc>
        <w:tc>
          <w:tcPr>
            <w:tcW w:w="13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w:t>
            </w:r>
          </w:p>
        </w:tc>
        <w:tc>
          <w:tcPr>
            <w:tcW w:w="4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w:t>
            </w:r>
          </w:p>
        </w:tc>
        <w:tc>
          <w:tcPr>
            <w:tcW w:w="4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w:t>
            </w:r>
          </w:p>
        </w:tc>
        <w:tc>
          <w:tcPr>
            <w:tcW w:w="4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Courier New" w:cs="Courier New" w:eastAsia="Courier New" w:hAnsi="Courier New"/>
                <w:sz w:val="29"/>
                <w:szCs w:val="29"/>
                <w:color w:val="auto"/>
                <w:vertAlign w:val="subscript"/>
              </w:rPr>
              <w:t>$</w:t>
            </w:r>
            <w:r>
              <w:rPr>
                <w:rFonts w:ascii="Courier New" w:cs="Courier New" w:eastAsia="Courier New" w:hAnsi="Courier New"/>
                <w:sz w:val="15"/>
                <w:szCs w:val="15"/>
                <w:color w:val="auto"/>
              </w:rPr>
              <w:t>--------</w:t>
            </w:r>
          </w:p>
        </w:tc>
        <w:tc>
          <w:tcPr>
            <w:tcW w:w="102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250.3</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76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323.5</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513.9</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687.7</w:t>
            </w:r>
          </w:p>
        </w:tc>
        <w:tc>
          <w:tcPr>
            <w:tcW w:w="0" w:type="dxa"/>
            <w:vAlign w:val="bottom"/>
          </w:tcPr>
          <w:p>
            <w:pPr>
              <w:spacing w:after="0"/>
              <w:rPr>
                <w:sz w:val="1"/>
                <w:szCs w:val="1"/>
                <w:color w:val="auto"/>
              </w:rPr>
            </w:pPr>
          </w:p>
        </w:tc>
      </w:tr>
      <w:tr>
        <w:trPr>
          <w:trHeight w:val="327"/>
        </w:trPr>
        <w:tc>
          <w:tcPr>
            <w:tcW w:w="3760" w:type="dxa"/>
            <w:vAlign w:val="bottom"/>
          </w:tcPr>
          <w:p>
            <w:pPr>
              <w:spacing w:after="0"/>
              <w:rPr>
                <w:sz w:val="20"/>
                <w:szCs w:val="20"/>
                <w:color w:val="auto"/>
              </w:rPr>
            </w:pPr>
            <w:r>
              <w:rPr>
                <w:rFonts w:ascii="Courier New" w:cs="Courier New" w:eastAsia="Courier New" w:hAnsi="Courier New"/>
                <w:sz w:val="15"/>
                <w:szCs w:val="15"/>
                <w:color w:val="auto"/>
              </w:rPr>
              <w:t>All other - external</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0.1</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0.9</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0.2</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263"/>
        </w:trPr>
        <w:tc>
          <w:tcPr>
            <w:tcW w:w="3760" w:type="dxa"/>
            <w:vAlign w:val="bottom"/>
          </w:tcPr>
          <w:p>
            <w:pPr>
              <w:spacing w:after="0"/>
              <w:rPr>
                <w:sz w:val="20"/>
                <w:szCs w:val="20"/>
                <w:color w:val="auto"/>
              </w:rPr>
            </w:pPr>
            <w:r>
              <w:rPr>
                <w:rFonts w:ascii="Courier New" w:cs="Courier New" w:eastAsia="Courier New" w:hAnsi="Courier New"/>
                <w:sz w:val="15"/>
                <w:szCs w:val="15"/>
                <w:color w:val="auto"/>
              </w:rPr>
              <w:t>Total segments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1,402.4</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$1,042.6</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$3,005.6</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$1,847.5</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Elimination of intersegment</w:t>
            </w:r>
          </w:p>
        </w:tc>
        <w:tc>
          <w:tcPr>
            <w:tcW w:w="13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(9.9)</w:t>
            </w:r>
          </w:p>
        </w:tc>
        <w:tc>
          <w:tcPr>
            <w:tcW w:w="48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(16.8)</w:t>
            </w:r>
          </w:p>
        </w:tc>
        <w:tc>
          <w:tcPr>
            <w:tcW w:w="48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(28.7)</w:t>
            </w:r>
          </w:p>
        </w:tc>
        <w:tc>
          <w:tcPr>
            <w:tcW w:w="4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(28.1)</w:t>
            </w:r>
          </w:p>
        </w:tc>
        <w:tc>
          <w:tcPr>
            <w:tcW w:w="0" w:type="dxa"/>
            <w:vAlign w:val="bottom"/>
          </w:tcPr>
          <w:p>
            <w:pPr>
              <w:spacing w:after="0"/>
              <w:rPr>
                <w:sz w:val="1"/>
                <w:szCs w:val="1"/>
                <w:color w:val="auto"/>
              </w:rPr>
            </w:pPr>
          </w:p>
        </w:tc>
      </w:tr>
      <w:tr>
        <w:trPr>
          <w:trHeight w:val="171"/>
        </w:trPr>
        <w:tc>
          <w:tcPr>
            <w:tcW w:w="3760" w:type="dxa"/>
            <w:vAlign w:val="bottom"/>
            <w:vMerge w:val="restart"/>
          </w:tcPr>
          <w:p>
            <w:pPr>
              <w:spacing w:after="0"/>
              <w:rPr>
                <w:sz w:val="20"/>
                <w:szCs w:val="20"/>
                <w:color w:val="auto"/>
              </w:rPr>
            </w:pPr>
            <w:r>
              <w:rPr>
                <w:rFonts w:ascii="Courier New" w:cs="Courier New" w:eastAsia="Courier New" w:hAnsi="Courier New"/>
                <w:sz w:val="15"/>
                <w:szCs w:val="15"/>
                <w:color w:val="auto"/>
              </w:rPr>
              <w:t>Total consolidated net sales</w:t>
            </w:r>
          </w:p>
        </w:tc>
        <w:tc>
          <w:tcPr>
            <w:tcW w:w="1380" w:type="dxa"/>
            <w:vAlign w:val="bottom"/>
            <w:vMerge w:val="restart"/>
          </w:tcPr>
          <w:p>
            <w:pPr>
              <w:jc w:val="right"/>
              <w:spacing w:after="0"/>
              <w:rPr>
                <w:sz w:val="20"/>
                <w:szCs w:val="20"/>
                <w:color w:val="auto"/>
              </w:rPr>
            </w:pPr>
            <w:r>
              <w:rPr>
                <w:rFonts w:ascii="Courier New" w:cs="Courier New" w:eastAsia="Courier New" w:hAnsi="Courier New"/>
                <w:sz w:val="29"/>
                <w:szCs w:val="29"/>
                <w:color w:val="auto"/>
                <w:vertAlign w:val="subscript"/>
              </w:rPr>
              <w:t>$</w:t>
            </w:r>
            <w:r>
              <w:rPr>
                <w:rFonts w:ascii="Courier New" w:cs="Courier New" w:eastAsia="Courier New" w:hAnsi="Courier New"/>
                <w:sz w:val="15"/>
                <w:szCs w:val="15"/>
                <w:color w:val="auto"/>
              </w:rPr>
              <w:t>--------</w:t>
            </w:r>
          </w:p>
        </w:tc>
        <w:tc>
          <w:tcPr>
            <w:tcW w:w="102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w w:val="95"/>
              </w:rPr>
              <w:t>1,392.5</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7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$1,025.8</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$2,976.9</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$1,819.4</w:t>
            </w:r>
          </w:p>
        </w:tc>
        <w:tc>
          <w:tcPr>
            <w:tcW w:w="0" w:type="dxa"/>
            <w:vAlign w:val="bottom"/>
          </w:tcPr>
          <w:p>
            <w:pPr>
              <w:spacing w:after="0"/>
              <w:rPr>
                <w:sz w:val="1"/>
                <w:szCs w:val="1"/>
                <w:color w:val="auto"/>
              </w:rPr>
            </w:pPr>
          </w:p>
        </w:tc>
      </w:tr>
      <w:tr>
        <w:trPr>
          <w:trHeight w:val="249"/>
        </w:trPr>
        <w:tc>
          <w:tcPr>
            <w:tcW w:w="376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 (loss)</w:t>
            </w:r>
          </w:p>
        </w:tc>
        <w:tc>
          <w:tcPr>
            <w:tcW w:w="24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18"/>
        </w:trPr>
        <w:tc>
          <w:tcPr>
            <w:tcW w:w="376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9"/>
        <w:spacing w:after="0"/>
        <w:rPr>
          <w:sz w:val="20"/>
          <w:szCs w:val="20"/>
          <w:color w:val="auto"/>
        </w:rPr>
      </w:pPr>
      <w:r>
        <w:rPr>
          <w:rFonts w:ascii="Courier New" w:cs="Courier New" w:eastAsia="Courier New" w:hAnsi="Courier New"/>
          <w:sz w:val="14"/>
          <w:szCs w:val="14"/>
          <w:color w:val="auto"/>
        </w:rPr>
        <w:t>- -------------------------------------------------------------------------------------------------------------------------</w:t>
      </w:r>
    </w:p>
    <w:tbl>
      <w:tblPr>
        <w:tblLayout w:type="fixed"/>
        <w:tblInd w:w="9" w:type="dxa"/>
        <w:tblCellMar>
          <w:top w:w="0" w:type="dxa"/>
          <w:left w:w="0" w:type="dxa"/>
          <w:bottom w:w="0" w:type="dxa"/>
          <w:right w:w="0" w:type="dxa"/>
        </w:tblCellMar>
      </w:tblPr>
      <w:tr>
        <w:trPr>
          <w:trHeight w:val="157"/>
        </w:trPr>
        <w:tc>
          <w:tcPr>
            <w:tcW w:w="4700" w:type="dxa"/>
            <w:vAlign w:val="bottom"/>
          </w:tcPr>
          <w:p>
            <w:pPr>
              <w:spacing w:after="0" w:line="157" w:lineRule="exact"/>
              <w:rPr>
                <w:sz w:val="20"/>
                <w:szCs w:val="20"/>
                <w:color w:val="auto"/>
              </w:rPr>
            </w:pPr>
            <w:r>
              <w:rPr>
                <w:rFonts w:ascii="Courier New" w:cs="Courier New" w:eastAsia="Courier New" w:hAnsi="Courier New"/>
                <w:sz w:val="15"/>
                <w:szCs w:val="15"/>
                <w:color w:val="auto"/>
              </w:rPr>
              <w:t>Semiconductor operations</w:t>
            </w:r>
          </w:p>
        </w:tc>
        <w:tc>
          <w:tcPr>
            <w:tcW w:w="620" w:type="dxa"/>
            <w:vAlign w:val="bottom"/>
          </w:tcPr>
          <w:p>
            <w:pPr>
              <w:ind w:left="440"/>
              <w:spacing w:after="0" w:line="157"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86"/>
              <w:spacing w:after="0" w:line="157" w:lineRule="exact"/>
              <w:rPr>
                <w:sz w:val="20"/>
                <w:szCs w:val="20"/>
                <w:color w:val="auto"/>
              </w:rPr>
            </w:pPr>
            <w:r>
              <w:rPr>
                <w:rFonts w:ascii="Courier New" w:cs="Courier New" w:eastAsia="Courier New" w:hAnsi="Courier New"/>
                <w:sz w:val="15"/>
                <w:szCs w:val="15"/>
                <w:color w:val="auto"/>
                <w:w w:val="93"/>
              </w:rPr>
              <w:t>282.1</w:t>
            </w:r>
          </w:p>
        </w:tc>
        <w:tc>
          <w:tcPr>
            <w:tcW w:w="180" w:type="dxa"/>
            <w:vAlign w:val="bottom"/>
          </w:tcPr>
          <w:p>
            <w:pPr>
              <w:ind w:left="40"/>
              <w:spacing w:after="0" w:line="157"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86"/>
              <w:spacing w:after="0" w:line="157" w:lineRule="exact"/>
              <w:rPr>
                <w:sz w:val="20"/>
                <w:szCs w:val="20"/>
                <w:color w:val="auto"/>
              </w:rPr>
            </w:pPr>
            <w:r>
              <w:rPr>
                <w:rFonts w:ascii="Courier New" w:cs="Courier New" w:eastAsia="Courier New" w:hAnsi="Courier New"/>
                <w:sz w:val="15"/>
                <w:szCs w:val="15"/>
                <w:color w:val="auto"/>
              </w:rPr>
              <w:t>91.3</w:t>
            </w:r>
          </w:p>
        </w:tc>
        <w:tc>
          <w:tcPr>
            <w:tcW w:w="900" w:type="dxa"/>
            <w:vAlign w:val="bottom"/>
          </w:tcPr>
          <w:p>
            <w:pPr>
              <w:jc w:val="right"/>
              <w:ind w:right="66"/>
              <w:spacing w:after="0" w:line="157" w:lineRule="exact"/>
              <w:rPr>
                <w:sz w:val="20"/>
                <w:szCs w:val="20"/>
                <w:color w:val="auto"/>
              </w:rPr>
            </w:pPr>
            <w:r>
              <w:rPr>
                <w:rFonts w:ascii="Courier New" w:cs="Courier New" w:eastAsia="Courier New" w:hAnsi="Courier New"/>
                <w:sz w:val="15"/>
                <w:szCs w:val="15"/>
                <w:color w:val="auto"/>
              </w:rPr>
              <w:t>$ 847.0</w:t>
            </w:r>
          </w:p>
        </w:tc>
        <w:tc>
          <w:tcPr>
            <w:tcW w:w="1360" w:type="dxa"/>
            <w:vAlign w:val="bottom"/>
          </w:tcPr>
          <w:p>
            <w:pPr>
              <w:jc w:val="right"/>
              <w:ind w:right="6"/>
              <w:spacing w:after="0" w:line="157" w:lineRule="exact"/>
              <w:rPr>
                <w:sz w:val="20"/>
                <w:szCs w:val="20"/>
                <w:color w:val="auto"/>
              </w:rPr>
            </w:pPr>
            <w:r>
              <w:rPr>
                <w:rFonts w:ascii="Courier New" w:cs="Courier New" w:eastAsia="Courier New" w:hAnsi="Courier New"/>
                <w:sz w:val="15"/>
                <w:szCs w:val="15"/>
                <w:color w:val="auto"/>
              </w:rPr>
              <w:t>$  34.3</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PC operations</w:t>
            </w:r>
          </w:p>
        </w:tc>
        <w:tc>
          <w:tcPr>
            <w:tcW w:w="620" w:type="dxa"/>
            <w:vAlign w:val="bottom"/>
          </w:tcPr>
          <w:p>
            <w:pPr>
              <w:spacing w:after="0"/>
              <w:rPr>
                <w:sz w:val="14"/>
                <w:szCs w:val="14"/>
                <w:color w:val="auto"/>
              </w:rPr>
            </w:pPr>
          </w:p>
        </w:tc>
        <w:tc>
          <w:tcPr>
            <w:tcW w:w="1200" w:type="dxa"/>
            <w:vAlign w:val="bottom"/>
          </w:tcPr>
          <w:p>
            <w:pPr>
              <w:jc w:val="right"/>
              <w:ind w:right="606"/>
              <w:spacing w:after="0"/>
              <w:rPr>
                <w:sz w:val="20"/>
                <w:szCs w:val="20"/>
                <w:color w:val="auto"/>
              </w:rPr>
            </w:pPr>
            <w:r>
              <w:rPr>
                <w:rFonts w:ascii="Courier New" w:cs="Courier New" w:eastAsia="Courier New" w:hAnsi="Courier New"/>
                <w:sz w:val="15"/>
                <w:szCs w:val="15"/>
                <w:color w:val="auto"/>
                <w:w w:val="92"/>
              </w:rPr>
              <w:t>(26.0)</w:t>
            </w:r>
          </w:p>
        </w:tc>
        <w:tc>
          <w:tcPr>
            <w:tcW w:w="180" w:type="dxa"/>
            <w:vAlign w:val="bottom"/>
          </w:tcPr>
          <w:p>
            <w:pPr>
              <w:spacing w:after="0"/>
              <w:rPr>
                <w:sz w:val="14"/>
                <w:szCs w:val="14"/>
                <w:color w:val="auto"/>
              </w:rPr>
            </w:pPr>
          </w:p>
        </w:tc>
        <w:tc>
          <w:tcPr>
            <w:tcW w:w="11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9"/>
              </w:rPr>
              <w:t>(15.6)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(57.1)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All other</w:t>
            </w:r>
          </w:p>
        </w:tc>
        <w:tc>
          <w:tcPr>
            <w:tcW w:w="620" w:type="dxa"/>
            <w:vAlign w:val="bottom"/>
          </w:tcPr>
          <w:p>
            <w:pPr>
              <w:spacing w:after="0"/>
              <w:rPr>
                <w:sz w:val="14"/>
                <w:szCs w:val="14"/>
                <w:color w:val="auto"/>
              </w:rPr>
            </w:pPr>
          </w:p>
        </w:tc>
        <w:tc>
          <w:tcPr>
            <w:tcW w:w="12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4"/>
                <w:szCs w:val="14"/>
                <w:color w:val="auto"/>
              </w:rPr>
            </w:pPr>
          </w:p>
        </w:tc>
        <w:tc>
          <w:tcPr>
            <w:tcW w:w="11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9"/>
              </w:rPr>
              <w:t>(24.6)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(32.0)</w:t>
            </w:r>
          </w:p>
        </w:tc>
        <w:tc>
          <w:tcPr>
            <w:tcW w:w="0" w:type="dxa"/>
            <w:vAlign w:val="bottom"/>
          </w:tcPr>
          <w:p>
            <w:pPr>
              <w:spacing w:after="0"/>
              <w:rPr>
                <w:sz w:val="1"/>
                <w:szCs w:val="1"/>
                <w:color w:val="auto"/>
              </w:rPr>
            </w:pPr>
          </w:p>
        </w:tc>
      </w:tr>
      <w:tr>
        <w:trPr>
          <w:trHeight w:val="171"/>
        </w:trPr>
        <w:tc>
          <w:tcPr>
            <w:tcW w:w="4700" w:type="dxa"/>
            <w:vAlign w:val="bottom"/>
            <w:vMerge w:val="restart"/>
          </w:tcPr>
          <w:p>
            <w:pPr>
              <w:spacing w:after="0"/>
              <w:rPr>
                <w:sz w:val="20"/>
                <w:szCs w:val="20"/>
                <w:color w:val="auto"/>
              </w:rPr>
            </w:pPr>
            <w:r>
              <w:rPr>
                <w:rFonts w:ascii="Courier New" w:cs="Courier New" w:eastAsia="Courier New" w:hAnsi="Courier New"/>
                <w:sz w:val="15"/>
                <w:szCs w:val="15"/>
                <w:color w:val="auto"/>
              </w:rPr>
              <w:t>Total segments</w:t>
            </w:r>
          </w:p>
        </w:tc>
        <w:tc>
          <w:tcPr>
            <w:tcW w:w="620" w:type="dxa"/>
            <w:vAlign w:val="bottom"/>
            <w:vMerge w:val="restart"/>
          </w:tcPr>
          <w:p>
            <w:pPr>
              <w:ind w:left="440"/>
              <w:spacing w:after="0"/>
              <w:rPr>
                <w:sz w:val="20"/>
                <w:szCs w:val="20"/>
                <w:color w:val="auto"/>
              </w:rPr>
            </w:pPr>
            <w:r>
              <w:rPr>
                <w:rFonts w:ascii="Courier New" w:cs="Courier New" w:eastAsia="Courier New" w:hAnsi="Courier New"/>
                <w:sz w:val="7"/>
                <w:szCs w:val="7"/>
                <w:color w:val="auto"/>
                <w:w w:val="81"/>
                <w:vertAlign w:val="subscript"/>
              </w:rPr>
              <w:t>$</w:t>
            </w:r>
            <w:r>
              <w:rPr>
                <w:rFonts w:ascii="Courier New" w:cs="Courier New" w:eastAsia="Courier New" w:hAnsi="Courier New"/>
                <w:sz w:val="4"/>
                <w:szCs w:val="4"/>
                <w:color w:val="auto"/>
                <w:w w:val="81"/>
              </w:rPr>
              <w:t>-------</w:t>
            </w:r>
          </w:p>
        </w:tc>
        <w:tc>
          <w:tcPr>
            <w:tcW w:w="1200" w:type="dxa"/>
            <w:vAlign w:val="bottom"/>
            <w:vMerge w:val="restart"/>
          </w:tcPr>
          <w:p>
            <w:pPr>
              <w:jc w:val="right"/>
              <w:ind w:right="686"/>
              <w:spacing w:after="0"/>
              <w:rPr>
                <w:sz w:val="20"/>
                <w:szCs w:val="20"/>
                <w:color w:val="auto"/>
              </w:rPr>
            </w:pPr>
            <w:r>
              <w:rPr>
                <w:rFonts w:ascii="Courier New" w:cs="Courier New" w:eastAsia="Courier New" w:hAnsi="Courier New"/>
                <w:sz w:val="15"/>
                <w:szCs w:val="15"/>
                <w:color w:val="auto"/>
                <w:w w:val="93"/>
              </w:rPr>
              <w:t>254.1</w:t>
            </w:r>
          </w:p>
        </w:tc>
        <w:tc>
          <w:tcPr>
            <w:tcW w:w="13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51.1</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$ 786.0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(11.2)</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Elimination of intersegment</w:t>
            </w:r>
          </w:p>
        </w:tc>
        <w:tc>
          <w:tcPr>
            <w:tcW w:w="620" w:type="dxa"/>
            <w:vAlign w:val="bottom"/>
          </w:tcPr>
          <w:p>
            <w:pPr>
              <w:spacing w:after="0"/>
              <w:rPr>
                <w:sz w:val="14"/>
                <w:szCs w:val="14"/>
                <w:color w:val="auto"/>
              </w:rPr>
            </w:pPr>
          </w:p>
        </w:tc>
        <w:tc>
          <w:tcPr>
            <w:tcW w:w="12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0.3</w:t>
            </w:r>
          </w:p>
        </w:tc>
        <w:tc>
          <w:tcPr>
            <w:tcW w:w="180" w:type="dxa"/>
            <w:vAlign w:val="bottom"/>
          </w:tcPr>
          <w:p>
            <w:pPr>
              <w:spacing w:after="0"/>
              <w:rPr>
                <w:sz w:val="14"/>
                <w:szCs w:val="14"/>
                <w:color w:val="auto"/>
              </w:rPr>
            </w:pPr>
          </w:p>
        </w:tc>
        <w:tc>
          <w:tcPr>
            <w:tcW w:w="11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0.2</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0.4</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700" w:type="dxa"/>
            <w:vAlign w:val="bottom"/>
            <w:vMerge w:val="restart"/>
          </w:tcPr>
          <w:p>
            <w:pPr>
              <w:spacing w:after="0"/>
              <w:rPr>
                <w:sz w:val="20"/>
                <w:szCs w:val="20"/>
                <w:color w:val="auto"/>
              </w:rPr>
            </w:pPr>
            <w:r>
              <w:rPr>
                <w:rFonts w:ascii="Courier New" w:cs="Courier New" w:eastAsia="Courier New" w:hAnsi="Courier New"/>
                <w:sz w:val="15"/>
                <w:szCs w:val="15"/>
                <w:color w:val="auto"/>
              </w:rPr>
              <w:t>Total consolidated operating income (loss)</w:t>
            </w:r>
          </w:p>
        </w:tc>
        <w:tc>
          <w:tcPr>
            <w:tcW w:w="620" w:type="dxa"/>
            <w:vAlign w:val="bottom"/>
            <w:vMerge w:val="restart"/>
          </w:tcPr>
          <w:p>
            <w:pPr>
              <w:ind w:left="440"/>
              <w:spacing w:after="0"/>
              <w:rPr>
                <w:sz w:val="20"/>
                <w:szCs w:val="20"/>
                <w:color w:val="auto"/>
              </w:rPr>
            </w:pPr>
            <w:r>
              <w:rPr>
                <w:rFonts w:ascii="Courier New" w:cs="Courier New" w:eastAsia="Courier New" w:hAnsi="Courier New"/>
                <w:sz w:val="7"/>
                <w:szCs w:val="7"/>
                <w:color w:val="auto"/>
                <w:w w:val="81"/>
                <w:vertAlign w:val="subscript"/>
              </w:rPr>
              <w:t>$</w:t>
            </w:r>
            <w:r>
              <w:rPr>
                <w:rFonts w:ascii="Courier New" w:cs="Courier New" w:eastAsia="Courier New" w:hAnsi="Courier New"/>
                <w:sz w:val="4"/>
                <w:szCs w:val="4"/>
                <w:color w:val="auto"/>
                <w:w w:val="81"/>
              </w:rPr>
              <w:t>-------</w:t>
            </w:r>
          </w:p>
        </w:tc>
        <w:tc>
          <w:tcPr>
            <w:tcW w:w="1200" w:type="dxa"/>
            <w:vAlign w:val="bottom"/>
            <w:vMerge w:val="restart"/>
          </w:tcPr>
          <w:p>
            <w:pPr>
              <w:jc w:val="right"/>
              <w:ind w:right="686"/>
              <w:spacing w:after="0"/>
              <w:rPr>
                <w:sz w:val="20"/>
                <w:szCs w:val="20"/>
                <w:color w:val="auto"/>
              </w:rPr>
            </w:pPr>
            <w:r>
              <w:rPr>
                <w:rFonts w:ascii="Courier New" w:cs="Courier New" w:eastAsia="Courier New" w:hAnsi="Courier New"/>
                <w:sz w:val="15"/>
                <w:szCs w:val="15"/>
                <w:color w:val="auto"/>
                <w:w w:val="93"/>
              </w:rPr>
              <w:t>254.4</w:t>
            </w:r>
          </w:p>
        </w:tc>
        <w:tc>
          <w:tcPr>
            <w:tcW w:w="13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51.3</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$ 786.4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(11.2)</w:t>
            </w:r>
          </w:p>
        </w:tc>
        <w:tc>
          <w:tcPr>
            <w:tcW w:w="0" w:type="dxa"/>
            <w:vAlign w:val="bottom"/>
          </w:tcPr>
          <w:p>
            <w:pPr>
              <w:spacing w:after="0"/>
              <w:rPr>
                <w:sz w:val="1"/>
                <w:szCs w:val="1"/>
                <w:color w:val="auto"/>
              </w:rPr>
            </w:pPr>
          </w:p>
        </w:tc>
      </w:tr>
      <w:tr>
        <w:trPr>
          <w:trHeight w:val="249"/>
        </w:trPr>
        <w:tc>
          <w:tcPr>
            <w:tcW w:w="4700" w:type="dxa"/>
            <w:vAlign w:val="bottom"/>
          </w:tcPr>
          <w:p>
            <w:pPr>
              <w:spacing w:after="0"/>
              <w:rPr>
                <w:sz w:val="21"/>
                <w:szCs w:val="21"/>
                <w:color w:val="auto"/>
              </w:rPr>
            </w:pPr>
          </w:p>
        </w:tc>
        <w:tc>
          <w:tcPr>
            <w:tcW w:w="182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3"/>
        </w:trPr>
        <w:tc>
          <w:tcPr>
            <w:tcW w:w="7840" w:type="dxa"/>
            <w:vAlign w:val="bottom"/>
            <w:gridSpan w:val="5"/>
          </w:tcPr>
          <w:p>
            <w:pPr>
              <w:jc w:val="right"/>
              <w:ind w:right="946"/>
              <w:spacing w:after="0"/>
              <w:rPr>
                <w:sz w:val="20"/>
                <w:szCs w:val="20"/>
                <w:color w:val="auto"/>
              </w:rPr>
            </w:pPr>
            <w:r>
              <w:rPr>
                <w:rFonts w:ascii="Courier New" w:cs="Courier New" w:eastAsia="Courier New" w:hAnsi="Courier New"/>
                <w:sz w:val="15"/>
                <w:szCs w:val="15"/>
                <w:color w:val="auto"/>
              </w:rPr>
              <w:t>Segment assets consist of assets that are identified to reportable segments</w:t>
            </w: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and reviewed by the chief operating decision-makers.</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Included in segment</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assets</w:t>
            </w:r>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gridSpan w:val="3"/>
          </w:tcPr>
          <w:p>
            <w:pPr>
              <w:spacing w:after="0"/>
              <w:rPr>
                <w:sz w:val="20"/>
                <w:szCs w:val="20"/>
                <w:color w:val="auto"/>
              </w:rPr>
            </w:pPr>
            <w:r>
              <w:rPr>
                <w:rFonts w:ascii="Courier New" w:cs="Courier New" w:eastAsia="Courier New" w:hAnsi="Courier New"/>
                <w:sz w:val="15"/>
                <w:szCs w:val="15"/>
                <w:color w:val="auto"/>
                <w:w w:val="98"/>
              </w:rPr>
              <w:t>are cash, investments, accounts receivable, inventory and property, plant</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w:t>
            </w:r>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70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4700" w:type="dxa"/>
            <w:vAlign w:val="bottom"/>
            <w:vMerge w:val="restart"/>
          </w:tcPr>
          <w:p>
            <w:pPr>
              <w:spacing w:after="0"/>
              <w:rPr>
                <w:sz w:val="20"/>
                <w:szCs w:val="20"/>
                <w:color w:val="auto"/>
              </w:rPr>
            </w:pPr>
            <w:r>
              <w:rPr>
                <w:rFonts w:ascii="Courier New" w:cs="Courier New" w:eastAsia="Courier New" w:hAnsi="Courier New"/>
                <w:sz w:val="15"/>
                <w:szCs w:val="15"/>
                <w:color w:val="auto"/>
              </w:rPr>
              <w:t>Segment assets as of</w:t>
            </w: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March 2,</w:t>
            </w:r>
          </w:p>
        </w:tc>
        <w:tc>
          <w:tcPr>
            <w:tcW w:w="22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September 2,</w:t>
            </w:r>
          </w:p>
        </w:tc>
        <w:tc>
          <w:tcPr>
            <w:tcW w:w="0" w:type="dxa"/>
            <w:vAlign w:val="bottom"/>
          </w:tcPr>
          <w:p>
            <w:pPr>
              <w:spacing w:after="0"/>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spacing w:after="0"/>
              <w:rPr>
                <w:sz w:val="17"/>
                <w:szCs w:val="17"/>
                <w:color w:val="auto"/>
              </w:rPr>
            </w:pPr>
          </w:p>
        </w:tc>
        <w:tc>
          <w:tcPr>
            <w:tcW w:w="136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bl>
    <w:p>
      <w:pPr>
        <w:ind w:left="9"/>
        <w:spacing w:after="0"/>
        <w:rPr>
          <w:sz w:val="20"/>
          <w:szCs w:val="20"/>
          <w:color w:val="auto"/>
        </w:rPr>
      </w:pPr>
      <w:r>
        <w:rPr>
          <w:rFonts w:ascii="Courier New" w:cs="Courier New" w:eastAsia="Courier New" w:hAnsi="Courier New"/>
          <w:sz w:val="15"/>
          <w:szCs w:val="15"/>
          <w:color w:val="auto"/>
        </w:rPr>
        <w:t>- -----------------------------------------------------------------------------------------------------------------</w:t>
      </w:r>
    </w:p>
    <w:p>
      <w:pPr>
        <w:spacing w:after="0" w:line="145"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Semiconductor operations</w:t>
            </w:r>
          </w:p>
        </w:tc>
        <w:tc>
          <w:tcPr>
            <w:tcW w:w="3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$6,866.1</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$6,001.9</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PC operations</w:t>
            </w:r>
          </w:p>
        </w:tc>
        <w:tc>
          <w:tcPr>
            <w:tcW w:w="3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424.7</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533.9</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All other</w:t>
            </w:r>
          </w:p>
        </w:tc>
        <w:tc>
          <w:tcPr>
            <w:tcW w:w="3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14.5</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334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7,305.3</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Courier New" w:cs="Courier New" w:eastAsia="Courier New" w:hAnsi="Courier New"/>
                <w:sz w:val="15"/>
                <w:szCs w:val="15"/>
                <w:color w:val="auto"/>
              </w:rPr>
              <w:t>Elimination of intersegment</w:t>
            </w:r>
          </w:p>
        </w:tc>
        <w:tc>
          <w:tcPr>
            <w:tcW w:w="3340" w:type="dxa"/>
            <w:vAlign w:val="bottom"/>
            <w:vMerge w:val="continue"/>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6,551.3</w:t>
            </w:r>
          </w:p>
        </w:tc>
        <w:tc>
          <w:tcPr>
            <w:tcW w:w="0" w:type="dxa"/>
            <w:vAlign w:val="bottom"/>
          </w:tcPr>
          <w:p>
            <w:pPr>
              <w:spacing w:after="0"/>
              <w:rPr>
                <w:sz w:val="1"/>
                <w:szCs w:val="1"/>
                <w:color w:val="auto"/>
              </w:rPr>
            </w:pPr>
          </w:p>
        </w:tc>
      </w:tr>
      <w:tr>
        <w:trPr>
          <w:trHeight w:val="171"/>
        </w:trPr>
        <w:tc>
          <w:tcPr>
            <w:tcW w:w="4820" w:type="dxa"/>
            <w:vAlign w:val="bottom"/>
            <w:vMerge w:val="continue"/>
          </w:tcPr>
          <w:p>
            <w:pPr>
              <w:spacing w:after="0"/>
              <w:rPr>
                <w:sz w:val="14"/>
                <w:szCs w:val="14"/>
                <w:color w:val="auto"/>
              </w:rPr>
            </w:pPr>
          </w:p>
        </w:tc>
        <w:tc>
          <w:tcPr>
            <w:tcW w:w="3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(91.6)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(74.8)</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334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perscript"/>
              </w:rPr>
              <w:t>--------</w:t>
            </w:r>
            <w:r>
              <w:rPr>
                <w:rFonts w:ascii="Courier New" w:cs="Courier New" w:eastAsia="Courier New" w:hAnsi="Courier New"/>
                <w:sz w:val="15"/>
                <w:szCs w:val="15"/>
                <w:color w:val="auto"/>
              </w:rPr>
              <w:t>7,213.7</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$6,476.5</w:t>
            </w:r>
          </w:p>
        </w:tc>
        <w:tc>
          <w:tcPr>
            <w:tcW w:w="0" w:type="dxa"/>
            <w:vAlign w:val="bottom"/>
          </w:tcPr>
          <w:p>
            <w:pPr>
              <w:spacing w:after="0"/>
              <w:rPr>
                <w:sz w:val="1"/>
                <w:szCs w:val="1"/>
                <w:color w:val="auto"/>
              </w:rPr>
            </w:pPr>
          </w:p>
        </w:tc>
      </w:tr>
      <w:tr>
        <w:trPr>
          <w:trHeight w:val="249"/>
        </w:trPr>
        <w:tc>
          <w:tcPr>
            <w:tcW w:w="4820" w:type="dxa"/>
            <w:vAlign w:val="bottom"/>
            <w:vMerge w:val="restart"/>
          </w:tcPr>
          <w:p>
            <w:pPr>
              <w:spacing w:after="0"/>
              <w:rPr>
                <w:sz w:val="20"/>
                <w:szCs w:val="20"/>
                <w:color w:val="auto"/>
              </w:rPr>
            </w:pPr>
            <w:r>
              <w:rPr>
                <w:rFonts w:ascii="Courier New" w:cs="Courier New" w:eastAsia="Courier New" w:hAnsi="Courier New"/>
                <w:sz w:val="15"/>
                <w:szCs w:val="15"/>
                <w:color w:val="auto"/>
              </w:rPr>
              <w:t>Reconciliation to total assets</w:t>
            </w:r>
          </w:p>
        </w:tc>
        <w:tc>
          <w:tcPr>
            <w:tcW w:w="3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18"/>
        </w:trPr>
        <w:tc>
          <w:tcPr>
            <w:tcW w:w="4820" w:type="dxa"/>
            <w:vAlign w:val="bottom"/>
            <w:vMerge w:val="continue"/>
          </w:tcPr>
          <w:p>
            <w:pPr>
              <w:spacing w:after="0"/>
              <w:rPr>
                <w:sz w:val="10"/>
                <w:szCs w:val="10"/>
                <w:color w:val="auto"/>
              </w:rPr>
            </w:pPr>
          </w:p>
        </w:tc>
        <w:tc>
          <w:tcPr>
            <w:tcW w:w="3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9"/>
        <w:spacing w:after="0"/>
        <w:rPr>
          <w:sz w:val="20"/>
          <w:szCs w:val="20"/>
          <w:color w:val="auto"/>
        </w:rPr>
      </w:pPr>
      <w:r>
        <w:rPr>
          <w:rFonts w:ascii="Courier New" w:cs="Courier New" w:eastAsia="Courier New" w:hAnsi="Courier New"/>
          <w:sz w:val="15"/>
          <w:szCs w:val="15"/>
          <w:color w:val="auto"/>
        </w:rPr>
        <w:t>- -----------------------------------------------------------------------------------------------------------------</w:t>
      </w:r>
    </w:p>
    <w:tbl>
      <w:tblPr>
        <w:tblLayout w:type="fixed"/>
        <w:tblInd w:w="9" w:type="dxa"/>
        <w:tblCellMar>
          <w:top w:w="0" w:type="dxa"/>
          <w:left w:w="0" w:type="dxa"/>
          <w:bottom w:w="0" w:type="dxa"/>
          <w:right w:w="0" w:type="dxa"/>
        </w:tblCellMar>
      </w:tblPr>
      <w:tr>
        <w:trPr>
          <w:trHeight w:val="145"/>
        </w:trPr>
        <w:tc>
          <w:tcPr>
            <w:tcW w:w="3320" w:type="dxa"/>
            <w:vAlign w:val="bottom"/>
          </w:tcPr>
          <w:p>
            <w:pPr>
              <w:spacing w:after="0" w:line="146" w:lineRule="exact"/>
              <w:rPr>
                <w:sz w:val="20"/>
                <w:szCs w:val="20"/>
                <w:color w:val="auto"/>
              </w:rPr>
            </w:pPr>
            <w:r>
              <w:rPr>
                <w:rFonts w:ascii="Courier New" w:cs="Courier New" w:eastAsia="Courier New" w:hAnsi="Courier New"/>
                <w:sz w:val="15"/>
                <w:szCs w:val="15"/>
                <w:color w:val="auto"/>
              </w:rPr>
              <w:t>Total segment assets</w:t>
            </w:r>
          </w:p>
        </w:tc>
        <w:tc>
          <w:tcPr>
            <w:tcW w:w="4800" w:type="dxa"/>
            <w:vAlign w:val="bottom"/>
          </w:tcPr>
          <w:p>
            <w:pPr>
              <w:jc w:val="right"/>
              <w:ind w:right="326"/>
              <w:spacing w:after="0" w:line="146" w:lineRule="exact"/>
              <w:rPr>
                <w:sz w:val="20"/>
                <w:szCs w:val="20"/>
                <w:color w:val="auto"/>
              </w:rPr>
            </w:pPr>
            <w:r>
              <w:rPr>
                <w:rFonts w:ascii="Courier New" w:cs="Courier New" w:eastAsia="Courier New" w:hAnsi="Courier New"/>
                <w:sz w:val="15"/>
                <w:szCs w:val="15"/>
                <w:color w:val="auto"/>
              </w:rPr>
              <w:t>$7,213.7</w:t>
            </w:r>
          </w:p>
        </w:tc>
        <w:tc>
          <w:tcPr>
            <w:tcW w:w="1100" w:type="dxa"/>
            <w:vAlign w:val="bottom"/>
          </w:tcPr>
          <w:p>
            <w:pPr>
              <w:jc w:val="right"/>
              <w:spacing w:after="0" w:line="146" w:lineRule="exact"/>
              <w:rPr>
                <w:sz w:val="20"/>
                <w:szCs w:val="20"/>
                <w:color w:val="auto"/>
              </w:rPr>
            </w:pPr>
            <w:r>
              <w:rPr>
                <w:rFonts w:ascii="Courier New" w:cs="Courier New" w:eastAsia="Courier New" w:hAnsi="Courier New"/>
                <w:sz w:val="15"/>
                <w:szCs w:val="15"/>
                <w:color w:val="auto"/>
              </w:rPr>
              <w:t>$6,476.5</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4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38.3</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Deferred taxes</w:t>
            </w:r>
          </w:p>
        </w:tc>
        <w:tc>
          <w:tcPr>
            <w:tcW w:w="4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119.9</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Product and process technology</w:t>
            </w:r>
          </w:p>
        </w:tc>
        <w:tc>
          <w:tcPr>
            <w:tcW w:w="4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215.7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212.6</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Other assets (net of segment assets)</w:t>
            </w:r>
          </w:p>
        </w:tc>
        <w:tc>
          <w:tcPr>
            <w:tcW w:w="4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189.3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117.9</w:t>
            </w:r>
          </w:p>
        </w:tc>
      </w:tr>
      <w:tr>
        <w:trPr>
          <w:trHeight w:val="249"/>
        </w:trPr>
        <w:tc>
          <w:tcPr>
            <w:tcW w:w="3320" w:type="dxa"/>
            <w:vAlign w:val="bottom"/>
          </w:tcPr>
          <w:p>
            <w:pPr>
              <w:spacing w:after="0"/>
              <w:rPr>
                <w:sz w:val="21"/>
                <w:szCs w:val="21"/>
                <w:color w:val="auto"/>
              </w:rPr>
            </w:pPr>
          </w:p>
        </w:tc>
        <w:tc>
          <w:tcPr>
            <w:tcW w:w="4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3"/>
        </w:trPr>
        <w:tc>
          <w:tcPr>
            <w:tcW w:w="3320" w:type="dxa"/>
            <w:vAlign w:val="bottom"/>
          </w:tcPr>
          <w:p>
            <w:pPr>
              <w:spacing w:after="0"/>
              <w:rPr>
                <w:sz w:val="20"/>
                <w:szCs w:val="20"/>
                <w:color w:val="auto"/>
              </w:rPr>
            </w:pPr>
            <w:r>
              <w:rPr>
                <w:rFonts w:ascii="Courier New" w:cs="Courier New" w:eastAsia="Courier New" w:hAnsi="Courier New"/>
                <w:sz w:val="15"/>
                <w:szCs w:val="15"/>
                <w:color w:val="auto"/>
              </w:rPr>
              <w:t>Total consolidated assets</w:t>
            </w:r>
          </w:p>
        </w:tc>
        <w:tc>
          <w:tcPr>
            <w:tcW w:w="4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$7,734.8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$6,965.2</w:t>
            </w:r>
          </w:p>
        </w:tc>
      </w:tr>
      <w:tr>
        <w:trPr>
          <w:trHeight w:val="249"/>
        </w:trPr>
        <w:tc>
          <w:tcPr>
            <w:tcW w:w="3320" w:type="dxa"/>
            <w:vAlign w:val="bottom"/>
          </w:tcPr>
          <w:p>
            <w:pPr>
              <w:spacing w:after="0"/>
              <w:rPr>
                <w:sz w:val="21"/>
                <w:szCs w:val="21"/>
                <w:color w:val="auto"/>
              </w:rPr>
            </w:pPr>
          </w:p>
        </w:tc>
        <w:tc>
          <w:tcPr>
            <w:tcW w:w="4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320" w:type="dxa"/>
            <w:vAlign w:val="bottom"/>
          </w:tcPr>
          <w:p>
            <w:pPr>
              <w:spacing w:after="0"/>
              <w:rPr>
                <w:sz w:val="24"/>
                <w:szCs w:val="24"/>
                <w:color w:val="auto"/>
              </w:rPr>
            </w:pPr>
          </w:p>
        </w:tc>
        <w:tc>
          <w:tcPr>
            <w:tcW w:w="4800" w:type="dxa"/>
            <w:vAlign w:val="bottom"/>
          </w:tcPr>
          <w:p>
            <w:pPr>
              <w:jc w:val="right"/>
              <w:ind w:right="4426"/>
              <w:spacing w:after="0"/>
              <w:rPr>
                <w:sz w:val="20"/>
                <w:szCs w:val="20"/>
                <w:color w:val="auto"/>
              </w:rPr>
            </w:pPr>
            <w:r>
              <w:rPr>
                <w:rFonts w:ascii="Courier New" w:cs="Courier New" w:eastAsia="Courier New" w:hAnsi="Courier New"/>
                <w:sz w:val="15"/>
                <w:szCs w:val="15"/>
                <w:color w:val="auto"/>
              </w:rPr>
              <w:t>12</w:t>
            </w:r>
          </w:p>
        </w:tc>
        <w:tc>
          <w:tcPr>
            <w:tcW w:w="1100" w:type="dxa"/>
            <w:vAlign w:val="bottom"/>
          </w:tcPr>
          <w:p>
            <w:pPr>
              <w:spacing w:after="0"/>
              <w:rPr>
                <w:sz w:val="24"/>
                <w:szCs w:val="24"/>
                <w:color w:val="auto"/>
              </w:rPr>
            </w:pPr>
          </w:p>
        </w:tc>
      </w:tr>
    </w:tbl>
    <w:p>
      <w:pPr>
        <w:sectPr>
          <w:pgSz w:w="11900" w:h="16838" w:orient="portrait"/>
          <w:cols w:equalWidth="0" w:num="1">
            <w:col w:w="10909"/>
          </w:cols>
          <w:pgMar w:left="231" w:top="605" w:right="759"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Commitments and contingencies</w:t>
      </w:r>
    </w:p>
    <w:p>
      <w:pPr>
        <w:spacing w:after="0" w:line="171" w:lineRule="exact"/>
        <w:rPr>
          <w:sz w:val="20"/>
          <w:szCs w:val="20"/>
          <w:color w:val="auto"/>
        </w:rPr>
      </w:pPr>
    </w:p>
    <w:p>
      <w:pPr>
        <w:ind w:right="3479" w:firstLine="355"/>
        <w:spacing w:after="0" w:line="297" w:lineRule="auto"/>
        <w:rPr>
          <w:sz w:val="20"/>
          <w:szCs w:val="20"/>
          <w:color w:val="auto"/>
        </w:rPr>
      </w:pPr>
      <w:r>
        <w:rPr>
          <w:rFonts w:ascii="Courier New" w:cs="Courier New" w:eastAsia="Courier New" w:hAnsi="Courier New"/>
          <w:sz w:val="15"/>
          <w:szCs w:val="15"/>
          <w:color w:val="auto"/>
        </w:rPr>
        <w:t>As of March 2, 2000, the Company had commitments of approximately $922.9 million for equipment purchases and $88.0 million for the construction of buildings.</w:t>
      </w:r>
    </w:p>
    <w:p>
      <w:pPr>
        <w:spacing w:after="0" w:line="52" w:lineRule="exact"/>
        <w:rPr>
          <w:sz w:val="20"/>
          <w:szCs w:val="20"/>
          <w:color w:val="auto"/>
        </w:rPr>
      </w:pPr>
    </w:p>
    <w:p>
      <w:pPr>
        <w:ind w:right="3119" w:firstLine="355"/>
        <w:spacing w:after="0" w:line="251" w:lineRule="auto"/>
        <w:rPr>
          <w:sz w:val="20"/>
          <w:szCs w:val="20"/>
          <w:color w:val="auto"/>
        </w:rPr>
      </w:pPr>
      <w:r>
        <w:rPr>
          <w:rFonts w:ascii="Courier New" w:cs="Courier New" w:eastAsia="Courier New" w:hAnsi="Courier New"/>
          <w:sz w:val="15"/>
          <w:szCs w:val="15"/>
          <w:color w:val="auto"/>
        </w:rPr>
        <w:t>The Company has from time to time received, and may in the future receive, communications alleging that its products or its processes may infringe on product or process technology rights held by others. The Company has accrued a liability and charged operations for the estimated costs of settlement or adjudication of asserted and unasserted claims for alleged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 The Company is currently a party to various other legal actions arising out of the normal course of business, none of which are expected to have a material adverse effect on the Company's financial position or results of operations.</w:t>
      </w:r>
    </w:p>
    <w:p>
      <w:pPr>
        <w:spacing w:after="0" w:line="8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05" w:right="1440" w:bottom="1440" w:gutter="0" w:footer="0" w:header="0"/>
        </w:sectPr>
      </w:pPr>
    </w:p>
    <w:bookmarkStart w:id="14" w:name="page15"/>
    <w:bookmarkEnd w:id="14"/>
    <w:p>
      <w:pPr>
        <w:ind w:left="9"/>
        <w:spacing w:after="0"/>
        <w:tabs>
          <w:tab w:leader="none" w:pos="769"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 Condition and Results</w:t>
      </w:r>
    </w:p>
    <w:p>
      <w:pPr>
        <w:spacing w:after="0" w:line="27" w:lineRule="exact"/>
        <w:rPr>
          <w:sz w:val="20"/>
          <w:szCs w:val="20"/>
          <w:color w:val="auto"/>
        </w:rPr>
      </w:pPr>
    </w:p>
    <w:p>
      <w:pPr>
        <w:ind w:left="169" w:hanging="169"/>
        <w:spacing w:after="0"/>
        <w:tabs>
          <w:tab w:leader="none" w:pos="16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Operations</w:t>
      </w:r>
    </w:p>
    <w:p>
      <w:pPr>
        <w:ind w:left="169" w:hanging="169"/>
        <w:spacing w:after="0"/>
        <w:tabs>
          <w:tab w:leader="none" w:pos="16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5" w:lineRule="exact"/>
        <w:rPr>
          <w:sz w:val="20"/>
          <w:szCs w:val="20"/>
          <w:color w:val="auto"/>
        </w:rPr>
      </w:pPr>
    </w:p>
    <w:p>
      <w:pPr>
        <w:ind w:left="9" w:right="4880" w:firstLine="355"/>
        <w:spacing w:after="0" w:line="259" w:lineRule="auto"/>
        <w:rPr>
          <w:sz w:val="20"/>
          <w:szCs w:val="20"/>
          <w:color w:val="auto"/>
        </w:rPr>
      </w:pPr>
      <w:r>
        <w:rPr>
          <w:rFonts w:ascii="Courier New" w:cs="Courier New" w:eastAsia="Courier New" w:hAnsi="Courier New"/>
          <w:sz w:val="15"/>
          <w:szCs w:val="15"/>
          <w:color w:val="auto"/>
        </w:rPr>
        <w:t>Micron Technology, Inc. and its subsidiaries (hereinafter referred to collectively as the "Company") principally design, develop, manufacture and market semiconductor memory products and personal computer ("PC") systems. Micron Technology, Inc. and its wholly-owned subsidiaries are hereinafter referred to collectively as "MTI." The Company's PC operations are operated through Micron Electronics, Inc. ("MEI"), a 61% owned, publicly-traded subsidiary of MTI.</w:t>
      </w:r>
    </w:p>
    <w:p>
      <w:pPr>
        <w:spacing w:after="0" w:line="82" w:lineRule="exact"/>
        <w:rPr>
          <w:sz w:val="20"/>
          <w:szCs w:val="20"/>
          <w:color w:val="auto"/>
        </w:rPr>
      </w:pPr>
    </w:p>
    <w:p>
      <w:pPr>
        <w:ind w:left="9" w:right="4420" w:firstLine="355"/>
        <w:spacing w:after="0" w:line="249" w:lineRule="auto"/>
        <w:rPr>
          <w:sz w:val="20"/>
          <w:szCs w:val="20"/>
          <w:color w:val="auto"/>
        </w:rPr>
      </w:pPr>
      <w:r>
        <w:rPr>
          <w:rFonts w:ascii="Courier New" w:cs="Courier New" w:eastAsia="Courier New" w:hAnsi="Courier New"/>
          <w:sz w:val="15"/>
          <w:szCs w:val="15"/>
          <w:color w:val="auto"/>
        </w:rPr>
        <w:t>The following discussion contains trend information and other forward-looking statements (including, for example, statements regarding future operating results, future capital expenditures and facility expansion, new product introductions, technological developments, and the effect thereof and industry trends) that involve a number of risks and uncertainties. The Company's actual results could differ materially from the Company's historical results of operations and those discussed in the forward-looking statements. Factors that could cause actual results to differ materially include, but are not limited to, those identified in "Certain Factors." This discussion should be read in conjunction with the Company's Annual Report on Form 10-K for the year ended September 2, 1999. All period references are to the Company's fiscal periods ended March 2, 2000, September 2, 1999, or March 4, 1999, unless otherwise indicated. All per share amounts are presented on a diluted basis unless otherwise stated.</w:t>
      </w:r>
    </w:p>
    <w:p>
      <w:pPr>
        <w:spacing w:after="0" w:line="9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Results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60" w:type="dxa"/>
            <w:vAlign w:val="bottom"/>
            <w:gridSpan w:val="3"/>
          </w:tcPr>
          <w:p>
            <w:pPr>
              <w:jc w:val="right"/>
              <w:ind w:right="646"/>
              <w:spacing w:after="0"/>
              <w:rPr>
                <w:sz w:val="20"/>
                <w:szCs w:val="20"/>
                <w:color w:val="auto"/>
              </w:rPr>
            </w:pPr>
            <w:r>
              <w:rPr>
                <w:rFonts w:ascii="Courier New" w:cs="Courier New" w:eastAsia="Courier New" w:hAnsi="Courier New"/>
                <w:sz w:val="15"/>
                <w:szCs w:val="15"/>
                <w:color w:val="auto"/>
              </w:rPr>
              <w:t>Second Quarter</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520" w:type="dxa"/>
            <w:vAlign w:val="bottom"/>
            <w:gridSpan w:val="13"/>
          </w:tcPr>
          <w:p>
            <w:pPr>
              <w:ind w:left="310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520" w:type="dxa"/>
            <w:vAlign w:val="bottom"/>
            <w:gridSpan w:val="13"/>
          </w:tcPr>
          <w:p>
            <w:pPr>
              <w:ind w:left="310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49"/>
        </w:trPr>
        <w:tc>
          <w:tcPr>
            <w:tcW w:w="3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(dollars in millions,</w:t>
            </w:r>
          </w:p>
        </w:tc>
        <w:tc>
          <w:tcPr>
            <w:tcW w:w="20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except per share data)</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60" w:type="dxa"/>
            <w:vAlign w:val="bottom"/>
            <w:gridSpan w:val="2"/>
            <w:vMerge w:val="restart"/>
          </w:tcPr>
          <w:p>
            <w:pPr>
              <w:jc w:val="right"/>
              <w:ind w:right="66"/>
              <w:spacing w:after="0"/>
              <w:rPr>
                <w:sz w:val="20"/>
                <w:szCs w:val="20"/>
                <w:color w:val="auto"/>
              </w:rPr>
            </w:pPr>
            <w:r>
              <w:rPr>
                <w:rFonts w:ascii="Courier New" w:cs="Courier New" w:eastAsia="Courier New" w:hAnsi="Courier New"/>
                <w:sz w:val="15"/>
                <w:szCs w:val="15"/>
                <w:color w:val="auto"/>
              </w:rPr>
              <w:t>$ 1,152.0</w:t>
            </w:r>
          </w:p>
        </w:tc>
        <w:tc>
          <w:tcPr>
            <w:tcW w:w="88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82.7%</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718.2</w:t>
            </w:r>
          </w:p>
        </w:tc>
        <w:tc>
          <w:tcPr>
            <w:tcW w:w="92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70.0%</w:t>
            </w:r>
          </w:p>
        </w:tc>
        <w:tc>
          <w:tcPr>
            <w:tcW w:w="1020" w:type="dxa"/>
            <w:vAlign w:val="bottom"/>
            <w:gridSpan w:val="2"/>
            <w:vMerge w:val="restart"/>
          </w:tcPr>
          <w:p>
            <w:pPr>
              <w:jc w:val="right"/>
              <w:ind w:right="106"/>
              <w:spacing w:after="0"/>
              <w:rPr>
                <w:sz w:val="20"/>
                <w:szCs w:val="20"/>
                <w:color w:val="auto"/>
              </w:rPr>
            </w:pPr>
            <w:r>
              <w:rPr>
                <w:rFonts w:ascii="Courier New" w:cs="Courier New" w:eastAsia="Courier New" w:hAnsi="Courier New"/>
                <w:sz w:val="15"/>
                <w:szCs w:val="15"/>
                <w:color w:val="auto"/>
              </w:rPr>
              <w:t>$ 2,491.5</w:t>
            </w:r>
          </w:p>
        </w:tc>
        <w:tc>
          <w:tcPr>
            <w:tcW w:w="98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83.7%</w:t>
            </w:r>
          </w:p>
        </w:tc>
        <w:tc>
          <w:tcPr>
            <w:tcW w:w="1020" w:type="dxa"/>
            <w:vAlign w:val="bottom"/>
            <w:gridSpan w:val="2"/>
            <w:vMerge w:val="restart"/>
          </w:tcPr>
          <w:p>
            <w:pPr>
              <w:jc w:val="right"/>
              <w:ind w:right="146"/>
              <w:spacing w:after="0"/>
              <w:rPr>
                <w:sz w:val="20"/>
                <w:szCs w:val="20"/>
                <w:color w:val="auto"/>
              </w:rPr>
            </w:pPr>
            <w:r>
              <w:rPr>
                <w:rFonts w:ascii="Courier New" w:cs="Courier New" w:eastAsia="Courier New" w:hAnsi="Courier New"/>
                <w:sz w:val="15"/>
                <w:szCs w:val="15"/>
                <w:color w:val="auto"/>
                <w:w w:val="96"/>
              </w:rPr>
              <w:t>$ 1,155.7</w:t>
            </w:r>
          </w:p>
        </w:tc>
        <w:tc>
          <w:tcPr>
            <w:tcW w:w="6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63.5%</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rPr>
                <w:sz w:val="20"/>
                <w:szCs w:val="20"/>
                <w:color w:val="auto"/>
              </w:rPr>
            </w:pPr>
            <w:r>
              <w:rPr>
                <w:rFonts w:ascii="Courier New" w:cs="Courier New" w:eastAsia="Courier New" w:hAnsi="Courier New"/>
                <w:sz w:val="15"/>
                <w:szCs w:val="15"/>
                <w:color w:val="auto"/>
              </w:rPr>
              <w:t>Semiconductor operations</w:t>
            </w:r>
          </w:p>
        </w:tc>
        <w:tc>
          <w:tcPr>
            <w:tcW w:w="11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260"/>
              <w:spacing w:after="0"/>
              <w:rPr>
                <w:sz w:val="20"/>
                <w:szCs w:val="20"/>
                <w:color w:val="auto"/>
              </w:rPr>
            </w:pPr>
            <w:r>
              <w:rPr>
                <w:rFonts w:ascii="Courier New" w:cs="Courier New" w:eastAsia="Courier New" w:hAnsi="Courier New"/>
                <w:sz w:val="15"/>
                <w:szCs w:val="15"/>
                <w:color w:val="auto"/>
              </w:rPr>
              <w:t>PC operations</w:t>
            </w:r>
          </w:p>
        </w:tc>
        <w:tc>
          <w:tcPr>
            <w:tcW w:w="58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250.3</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18.0%</w:t>
            </w:r>
          </w:p>
        </w:tc>
        <w:tc>
          <w:tcPr>
            <w:tcW w:w="30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323.5</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31.5%</w:t>
            </w:r>
          </w:p>
        </w:tc>
        <w:tc>
          <w:tcPr>
            <w:tcW w:w="28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513.9</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17.3%</w:t>
            </w:r>
          </w:p>
        </w:tc>
        <w:tc>
          <w:tcPr>
            <w:tcW w:w="320" w:type="dxa"/>
            <w:vAlign w:val="bottom"/>
          </w:tcPr>
          <w:p>
            <w:pPr>
              <w:spacing w:after="0"/>
              <w:rPr>
                <w:sz w:val="14"/>
                <w:szCs w:val="14"/>
                <w:color w:val="auto"/>
              </w:rPr>
            </w:pPr>
          </w:p>
        </w:tc>
        <w:tc>
          <w:tcPr>
            <w:tcW w:w="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687.7</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37.8%</w:t>
            </w:r>
          </w:p>
        </w:tc>
        <w:tc>
          <w:tcPr>
            <w:tcW w:w="0" w:type="dxa"/>
            <w:vAlign w:val="bottom"/>
          </w:tcPr>
          <w:p>
            <w:pPr>
              <w:spacing w:after="0"/>
              <w:rPr>
                <w:sz w:val="1"/>
                <w:szCs w:val="1"/>
                <w:color w:val="auto"/>
              </w:rPr>
            </w:pPr>
          </w:p>
        </w:tc>
      </w:tr>
      <w:tr>
        <w:trPr>
          <w:trHeight w:val="171"/>
        </w:trPr>
        <w:tc>
          <w:tcPr>
            <w:tcW w:w="3500" w:type="dxa"/>
            <w:vAlign w:val="bottom"/>
          </w:tcPr>
          <w:p>
            <w:pPr>
              <w:ind w:left="260"/>
              <w:spacing w:after="0"/>
              <w:rPr>
                <w:sz w:val="20"/>
                <w:szCs w:val="20"/>
                <w:color w:val="auto"/>
              </w:rPr>
            </w:pPr>
            <w:r>
              <w:rPr>
                <w:rFonts w:ascii="Courier New" w:cs="Courier New" w:eastAsia="Courier New" w:hAnsi="Courier New"/>
                <w:sz w:val="15"/>
                <w:szCs w:val="15"/>
                <w:color w:val="auto"/>
              </w:rPr>
              <w:t>All other</w:t>
            </w:r>
          </w:p>
        </w:tc>
        <w:tc>
          <w:tcPr>
            <w:tcW w:w="58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0.0%</w:t>
            </w:r>
          </w:p>
        </w:tc>
        <w:tc>
          <w:tcPr>
            <w:tcW w:w="30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0.9</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0.1%</w:t>
            </w:r>
          </w:p>
        </w:tc>
        <w:tc>
          <w:tcPr>
            <w:tcW w:w="28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4"/>
                <w:szCs w:val="14"/>
                <w:color w:val="auto"/>
              </w:rPr>
            </w:pPr>
          </w:p>
        </w:tc>
        <w:tc>
          <w:tcPr>
            <w:tcW w:w="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71"/>
        </w:trPr>
        <w:tc>
          <w:tcPr>
            <w:tcW w:w="3500" w:type="dxa"/>
            <w:vAlign w:val="bottom"/>
          </w:tcPr>
          <w:p>
            <w:pPr>
              <w:ind w:left="260"/>
              <w:spacing w:after="0"/>
              <w:rPr>
                <w:sz w:val="20"/>
                <w:szCs w:val="20"/>
                <w:color w:val="auto"/>
              </w:rPr>
            </w:pPr>
            <w:r>
              <w:rPr>
                <w:rFonts w:ascii="Courier New" w:cs="Courier New" w:eastAsia="Courier New" w:hAnsi="Courier New"/>
                <w:sz w:val="15"/>
                <w:szCs w:val="15"/>
                <w:color w:val="auto"/>
              </w:rPr>
              <w:t>Intersegment</w:t>
            </w:r>
          </w:p>
        </w:tc>
        <w:tc>
          <w:tcPr>
            <w:tcW w:w="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(0.7)%</w:t>
            </w:r>
          </w:p>
        </w:tc>
        <w:tc>
          <w:tcPr>
            <w:tcW w:w="30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(16.8)</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w:t>
            </w:r>
          </w:p>
        </w:tc>
        <w:tc>
          <w:tcPr>
            <w:tcW w:w="28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(28.7)</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w:t>
            </w:r>
          </w:p>
        </w:tc>
        <w:tc>
          <w:tcPr>
            <w:tcW w:w="32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(28.1)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1"/>
        </w:trPr>
        <w:tc>
          <w:tcPr>
            <w:tcW w:w="35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Consolidated net sales</w:t>
            </w:r>
          </w:p>
        </w:tc>
        <w:tc>
          <w:tcPr>
            <w:tcW w:w="1160" w:type="dxa"/>
            <w:vAlign w:val="bottom"/>
            <w:gridSpan w:val="2"/>
            <w:vMerge w:val="restart"/>
          </w:tcPr>
          <w:p>
            <w:pPr>
              <w:jc w:val="right"/>
              <w:ind w:right="66"/>
              <w:spacing w:after="0"/>
              <w:rPr>
                <w:sz w:val="20"/>
                <w:szCs w:val="20"/>
                <w:color w:val="auto"/>
              </w:rPr>
            </w:pPr>
            <w:r>
              <w:rPr>
                <w:rFonts w:ascii="Courier New" w:cs="Courier New" w:eastAsia="Courier New" w:hAnsi="Courier New"/>
                <w:sz w:val="22"/>
                <w:szCs w:val="22"/>
                <w:color w:val="auto"/>
                <w:w w:val="73"/>
                <w:vertAlign w:val="subscript"/>
              </w:rPr>
              <w:t>$</w:t>
            </w: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1,392.5</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3"/>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3"/>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50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9"/>
              </w:rPr>
              <w:t>100.0%</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$ 1,025.8</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2"/>
              </w:rPr>
              <w:t>100.0%</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$ 2,976.9</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100.0%</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$ 1,819.4</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249"/>
        </w:trPr>
        <w:tc>
          <w:tcPr>
            <w:tcW w:w="3500" w:type="dxa"/>
            <w:vAlign w:val="bottom"/>
          </w:tcPr>
          <w:p>
            <w:pPr>
              <w:spacing w:after="0"/>
              <w:rPr>
                <w:sz w:val="21"/>
                <w:szCs w:val="21"/>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3"/>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3"/>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5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5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58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3"/>
              </w:rPr>
              <w:t>282.1</w:t>
            </w:r>
          </w:p>
        </w:tc>
        <w:tc>
          <w:tcPr>
            <w:tcW w:w="880" w:type="dxa"/>
            <w:vAlign w:val="bottom"/>
          </w:tcPr>
          <w:p>
            <w:pPr>
              <w:spacing w:after="0"/>
              <w:rPr>
                <w:sz w:val="22"/>
                <w:szCs w:val="22"/>
                <w:color w:val="auto"/>
              </w:rPr>
            </w:pP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91.3</w:t>
            </w:r>
          </w:p>
        </w:tc>
        <w:tc>
          <w:tcPr>
            <w:tcW w:w="920" w:type="dxa"/>
            <w:vAlign w:val="bottom"/>
          </w:tcPr>
          <w:p>
            <w:pPr>
              <w:spacing w:after="0"/>
              <w:rPr>
                <w:sz w:val="22"/>
                <w:szCs w:val="22"/>
                <w:color w:val="auto"/>
              </w:rPr>
            </w:pPr>
          </w:p>
        </w:tc>
        <w:tc>
          <w:tcPr>
            <w:tcW w:w="2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847.0</w:t>
            </w:r>
          </w:p>
        </w:tc>
        <w:tc>
          <w:tcPr>
            <w:tcW w:w="980" w:type="dxa"/>
            <w:vAlign w:val="bottom"/>
          </w:tcPr>
          <w:p>
            <w:pPr>
              <w:spacing w:after="0"/>
              <w:rPr>
                <w:sz w:val="22"/>
                <w:szCs w:val="22"/>
                <w:color w:val="auto"/>
              </w:rPr>
            </w:pPr>
          </w:p>
        </w:tc>
        <w:tc>
          <w:tcPr>
            <w:tcW w:w="3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34.3</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260"/>
              <w:spacing w:after="0"/>
              <w:rPr>
                <w:sz w:val="20"/>
                <w:szCs w:val="20"/>
                <w:color w:val="auto"/>
              </w:rPr>
            </w:pPr>
            <w:r>
              <w:rPr>
                <w:rFonts w:ascii="Courier New" w:cs="Courier New" w:eastAsia="Courier New" w:hAnsi="Courier New"/>
                <w:sz w:val="15"/>
                <w:szCs w:val="15"/>
                <w:color w:val="auto"/>
              </w:rPr>
              <w:t>Semiconductor operations</w:t>
            </w:r>
          </w:p>
        </w:tc>
        <w:tc>
          <w:tcPr>
            <w:tcW w:w="5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260"/>
              <w:spacing w:after="0"/>
              <w:rPr>
                <w:sz w:val="20"/>
                <w:szCs w:val="20"/>
                <w:color w:val="auto"/>
              </w:rPr>
            </w:pPr>
            <w:r>
              <w:rPr>
                <w:rFonts w:ascii="Courier New" w:cs="Courier New" w:eastAsia="Courier New" w:hAnsi="Courier New"/>
                <w:sz w:val="15"/>
                <w:szCs w:val="15"/>
                <w:color w:val="auto"/>
              </w:rPr>
              <w:t>PC operations</w:t>
            </w:r>
          </w:p>
        </w:tc>
        <w:tc>
          <w:tcPr>
            <w:tcW w:w="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(26.0)</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(15.6)</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(57.1)</w:t>
            </w: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(13.5)</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260"/>
              <w:spacing w:after="0"/>
              <w:rPr>
                <w:sz w:val="20"/>
                <w:szCs w:val="20"/>
                <w:color w:val="auto"/>
              </w:rPr>
            </w:pPr>
            <w:r>
              <w:rPr>
                <w:rFonts w:ascii="Courier New" w:cs="Courier New" w:eastAsia="Courier New" w:hAnsi="Courier New"/>
                <w:sz w:val="15"/>
                <w:szCs w:val="15"/>
                <w:color w:val="auto"/>
              </w:rPr>
              <w:t>All other</w:t>
            </w:r>
          </w:p>
        </w:tc>
        <w:tc>
          <w:tcPr>
            <w:tcW w:w="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(24.6)</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w:t>
            </w: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(32.0)</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260"/>
              <w:spacing w:after="0"/>
              <w:rPr>
                <w:sz w:val="20"/>
                <w:szCs w:val="20"/>
                <w:color w:val="auto"/>
              </w:rPr>
            </w:pPr>
            <w:r>
              <w:rPr>
                <w:rFonts w:ascii="Courier New" w:cs="Courier New" w:eastAsia="Courier New" w:hAnsi="Courier New"/>
                <w:sz w:val="15"/>
                <w:szCs w:val="15"/>
                <w:color w:val="auto"/>
              </w:rPr>
              <w:t>Intersegment</w:t>
            </w:r>
          </w:p>
        </w:tc>
        <w:tc>
          <w:tcPr>
            <w:tcW w:w="58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0.4</w:t>
            </w: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Consolidated operating income (loss)</w:t>
            </w:r>
          </w:p>
        </w:tc>
        <w:tc>
          <w:tcPr>
            <w:tcW w:w="580" w:type="dxa"/>
            <w:vAlign w:val="bottom"/>
            <w:vMerge w:val="restart"/>
          </w:tcPr>
          <w:p>
            <w:pPr>
              <w:ind w:left="220"/>
              <w:spacing w:after="0"/>
              <w:rPr>
                <w:sz w:val="20"/>
                <w:szCs w:val="20"/>
                <w:color w:val="auto"/>
              </w:rPr>
            </w:pPr>
            <w:r>
              <w:rPr>
                <w:rFonts w:ascii="Courier New" w:cs="Courier New" w:eastAsia="Courier New" w:hAnsi="Courier New"/>
                <w:sz w:val="11"/>
                <w:szCs w:val="11"/>
                <w:color w:val="auto"/>
                <w:w w:val="71"/>
                <w:vertAlign w:val="subscript"/>
              </w:rPr>
              <w:t>$</w:t>
            </w:r>
            <w:r>
              <w:rPr>
                <w:rFonts w:ascii="Courier New" w:cs="Courier New" w:eastAsia="Courier New" w:hAnsi="Courier New"/>
                <w:sz w:val="8"/>
                <w:szCs w:val="8"/>
                <w:color w:val="auto"/>
                <w:w w:val="71"/>
              </w:rPr>
              <w:t>---------</w:t>
            </w:r>
          </w:p>
        </w:tc>
        <w:tc>
          <w:tcPr>
            <w:tcW w:w="58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3"/>
              </w:rPr>
              <w:t>254.4</w:t>
            </w:r>
          </w:p>
        </w:tc>
        <w:tc>
          <w:tcPr>
            <w:tcW w:w="88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spacing w:after="0"/>
              <w:rPr>
                <w:sz w:val="14"/>
                <w:szCs w:val="14"/>
                <w:color w:val="auto"/>
              </w:rPr>
            </w:pP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51.3</w:t>
            </w:r>
          </w:p>
        </w:tc>
        <w:tc>
          <w:tcPr>
            <w:tcW w:w="920" w:type="dxa"/>
            <w:vAlign w:val="bottom"/>
          </w:tcPr>
          <w:p>
            <w:pPr>
              <w:spacing w:after="0"/>
              <w:rPr>
                <w:sz w:val="14"/>
                <w:szCs w:val="14"/>
                <w:color w:val="auto"/>
              </w:rPr>
            </w:pP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786.4</w:t>
            </w:r>
          </w:p>
        </w:tc>
        <w:tc>
          <w:tcPr>
            <w:tcW w:w="980" w:type="dxa"/>
            <w:vAlign w:val="bottom"/>
          </w:tcPr>
          <w:p>
            <w:pPr>
              <w:spacing w:after="0"/>
              <w:rPr>
                <w:sz w:val="14"/>
                <w:szCs w:val="14"/>
                <w:color w:val="auto"/>
              </w:rPr>
            </w:pPr>
          </w:p>
        </w:tc>
        <w:tc>
          <w:tcPr>
            <w:tcW w:w="3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(11.2)</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500" w:type="dxa"/>
            <w:vAlign w:val="bottom"/>
          </w:tcPr>
          <w:p>
            <w:pPr>
              <w:spacing w:after="0"/>
              <w:rPr>
                <w:sz w:val="21"/>
                <w:szCs w:val="21"/>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spacing w:after="0"/>
              <w:rPr>
                <w:sz w:val="21"/>
                <w:szCs w:val="21"/>
                <w:color w:val="auto"/>
              </w:rPr>
            </w:pP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1"/>
                <w:szCs w:val="21"/>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161.3</w:t>
            </w:r>
          </w:p>
        </w:tc>
        <w:tc>
          <w:tcPr>
            <w:tcW w:w="8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22.4</w:t>
            </w:r>
          </w:p>
        </w:tc>
        <w:tc>
          <w:tcPr>
            <w:tcW w:w="920" w:type="dxa"/>
            <w:vAlign w:val="bottom"/>
          </w:tcPr>
          <w:p>
            <w:pPr>
              <w:spacing w:after="0"/>
              <w:rPr>
                <w:sz w:val="22"/>
                <w:szCs w:val="22"/>
                <w:color w:val="auto"/>
              </w:rPr>
            </w:pP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502.6</w:t>
            </w:r>
          </w:p>
        </w:tc>
        <w:tc>
          <w:tcPr>
            <w:tcW w:w="980" w:type="dxa"/>
            <w:vAlign w:val="bottom"/>
          </w:tcPr>
          <w:p>
            <w:pPr>
              <w:spacing w:after="0"/>
              <w:rPr>
                <w:sz w:val="22"/>
                <w:szCs w:val="22"/>
                <w:color w:val="auto"/>
              </w:rPr>
            </w:pPr>
          </w:p>
        </w:tc>
        <w:tc>
          <w:tcPr>
            <w:tcW w:w="3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(23.7)</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500" w:type="dxa"/>
            <w:vAlign w:val="bottom"/>
          </w:tcPr>
          <w:p>
            <w:pPr>
              <w:spacing w:after="0"/>
              <w:rPr>
                <w:sz w:val="21"/>
                <w:szCs w:val="21"/>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spacing w:after="0"/>
              <w:rPr>
                <w:sz w:val="21"/>
                <w:szCs w:val="21"/>
                <w:color w:val="auto"/>
              </w:rPr>
            </w:pP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1"/>
                <w:szCs w:val="21"/>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0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0.58</w:t>
            </w:r>
          </w:p>
        </w:tc>
        <w:tc>
          <w:tcPr>
            <w:tcW w:w="8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0.08</w:t>
            </w:r>
          </w:p>
        </w:tc>
        <w:tc>
          <w:tcPr>
            <w:tcW w:w="920" w:type="dxa"/>
            <w:vAlign w:val="bottom"/>
          </w:tcPr>
          <w:p>
            <w:pPr>
              <w:spacing w:after="0"/>
              <w:rPr>
                <w:sz w:val="22"/>
                <w:szCs w:val="22"/>
                <w:color w:val="auto"/>
              </w:rPr>
            </w:pP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w:t>
            </w:r>
          </w:p>
        </w:tc>
        <w:tc>
          <w:tcPr>
            <w:tcW w:w="980" w:type="dxa"/>
            <w:vAlign w:val="bottom"/>
          </w:tcPr>
          <w:p>
            <w:pPr>
              <w:spacing w:after="0"/>
              <w:rPr>
                <w:sz w:val="22"/>
                <w:szCs w:val="22"/>
                <w:color w:val="auto"/>
              </w:rPr>
            </w:pPr>
          </w:p>
        </w:tc>
        <w:tc>
          <w:tcPr>
            <w:tcW w:w="3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(0.09)</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500" w:type="dxa"/>
            <w:vAlign w:val="bottom"/>
          </w:tcPr>
          <w:p>
            <w:pPr>
              <w:spacing w:after="0"/>
              <w:rPr>
                <w:sz w:val="21"/>
                <w:szCs w:val="21"/>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spacing w:after="0"/>
              <w:rPr>
                <w:sz w:val="21"/>
                <w:szCs w:val="21"/>
                <w:color w:val="auto"/>
              </w:rPr>
            </w:pP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1"/>
                <w:szCs w:val="21"/>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9" w:right="4420" w:firstLine="178"/>
        <w:spacing w:after="0" w:line="259" w:lineRule="auto"/>
        <w:rPr>
          <w:sz w:val="20"/>
          <w:szCs w:val="20"/>
          <w:color w:val="auto"/>
        </w:rPr>
      </w:pPr>
      <w:r>
        <w:rPr>
          <w:rFonts w:ascii="Courier New" w:cs="Courier New" w:eastAsia="Courier New" w:hAnsi="Courier New"/>
          <w:sz w:val="15"/>
          <w:szCs w:val="15"/>
          <w:color w:val="auto"/>
        </w:rPr>
        <w:t>For the first quarter of 2000, net income was $341.3 million, or $1.19 per share, on net sales of $1,584.4 million. Intersegment sales for the second quarter and first six months of 2000 and 1999 are primarily comprised of sales from the Company's semiconductor operations segment to the Company's PC operations segment. Intersegment sales are eliminated to arrive at consolidated net sales. (See "Notes to Consolidated Financial Statements - Operating Segment Information.")</w:t>
      </w:r>
    </w:p>
    <w:p>
      <w:pPr>
        <w:spacing w:after="0" w:line="8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Net Sales</w:t>
      </w:r>
    </w:p>
    <w:p>
      <w:pPr>
        <w:spacing w:after="0" w:line="342" w:lineRule="exact"/>
        <w:rPr>
          <w:sz w:val="20"/>
          <w:szCs w:val="20"/>
          <w:color w:val="auto"/>
        </w:rPr>
      </w:pPr>
    </w:p>
    <w:p>
      <w:pPr>
        <w:ind w:left="9" w:right="4420" w:firstLine="178"/>
        <w:spacing w:after="0" w:line="269" w:lineRule="auto"/>
        <w:rPr>
          <w:sz w:val="20"/>
          <w:szCs w:val="20"/>
          <w:color w:val="auto"/>
        </w:rPr>
      </w:pPr>
      <w:r>
        <w:rPr>
          <w:rFonts w:ascii="Courier New" w:cs="Courier New" w:eastAsia="Courier New" w:hAnsi="Courier New"/>
          <w:sz w:val="15"/>
          <w:szCs w:val="15"/>
          <w:color w:val="auto"/>
        </w:rPr>
        <w:t>Consolidated net sales for the second quarter and first six months of 2000 increased by 36% and 64%, respectively, compared to the second quarter and first six months of 1999, principally due to an increase in net sales from the Company's semiconductor operations, partially offset by a decline in net sales from the Company's PC</w:t>
      </w:r>
    </w:p>
    <w:p>
      <w:pPr>
        <w:spacing w:after="0" w:line="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529"/>
          </w:cols>
          <w:pgMar w:left="231" w:top="605" w:right="139" w:bottom="1440" w:gutter="0" w:footer="0" w:header="0"/>
        </w:sectPr>
      </w:pPr>
    </w:p>
    <w:bookmarkStart w:id="15" w:name="page16"/>
    <w:bookmarkEnd w:id="15"/>
    <w:p>
      <w:pPr>
        <w:jc w:val="both"/>
        <w:ind w:right="3219"/>
        <w:spacing w:after="0" w:line="297" w:lineRule="auto"/>
        <w:rPr>
          <w:sz w:val="20"/>
          <w:szCs w:val="20"/>
          <w:color w:val="auto"/>
        </w:rPr>
      </w:pPr>
      <w:r>
        <w:rPr>
          <w:rFonts w:ascii="Courier New" w:cs="Courier New" w:eastAsia="Courier New" w:hAnsi="Courier New"/>
          <w:sz w:val="15"/>
          <w:szCs w:val="15"/>
          <w:color w:val="auto"/>
        </w:rPr>
        <w:t>operations. Consolidated net sales for the second quarter of 2000 decreased by 12% compared to the first quarter of 2000, principally due to a decrease in net sales from the Company's semiconductor operations.</w:t>
      </w:r>
    </w:p>
    <w:p>
      <w:pPr>
        <w:spacing w:after="0" w:line="52" w:lineRule="exact"/>
        <w:rPr>
          <w:sz w:val="20"/>
          <w:szCs w:val="20"/>
          <w:color w:val="auto"/>
        </w:rPr>
      </w:pPr>
    </w:p>
    <w:p>
      <w:pPr>
        <w:ind w:right="3119" w:firstLine="178"/>
        <w:spacing w:after="0" w:line="247" w:lineRule="auto"/>
        <w:rPr>
          <w:sz w:val="20"/>
          <w:szCs w:val="20"/>
          <w:color w:val="auto"/>
        </w:rPr>
      </w:pPr>
      <w:r>
        <w:rPr>
          <w:rFonts w:ascii="Courier New" w:cs="Courier New" w:eastAsia="Courier New" w:hAnsi="Courier New"/>
          <w:sz w:val="15"/>
          <w:szCs w:val="15"/>
          <w:color w:val="auto"/>
        </w:rPr>
        <w:t>Net sales from semiconductor memory operations for the second quarter and first six months of 2000 increased by 60% and 116%, respectively, as compared to the corresponding periods of 1999. Notwithstanding lower average selling prices for the Company's semiconductor memory products, in the second quarter and first six months of 2000 the Company was able to achieve a higher level of net sales as a result of increases in megabits produced. The increase in production was attributable to continued improvements in manufacturing efficiencies through ongoing transitions to successive reduced die size ("shrink") versions of existing memory products, an increase in total wafer outs and shifts in the Company's mix of semiconductor memory products to higher average density products. Total megabits shipped increased by approximately 100% and 140% for the second quarter and first six months of 2000, respectively, as compared to the corresponding periods of 1999. Average selling prices per megabit of memory declined 18% comparing the second quarter of 2000 to the second quarter of 1999 and declined 6% comparing the first six months of 2000 to the first six months of 1999. The Company's primary memory product in the second quarter and first six months of 2000 was the 64 Meg Synchronous DRAM ("SDRAM"), which comprised approximately 62% and 66%, respectively, of the net sales of semiconductor memory.</w:t>
      </w:r>
    </w:p>
    <w:p>
      <w:pPr>
        <w:spacing w:after="0" w:line="91" w:lineRule="exact"/>
        <w:rPr>
          <w:sz w:val="20"/>
          <w:szCs w:val="20"/>
          <w:color w:val="auto"/>
        </w:rPr>
      </w:pPr>
    </w:p>
    <w:p>
      <w:pPr>
        <w:ind w:right="3119" w:firstLine="178"/>
        <w:spacing w:after="0" w:line="269" w:lineRule="auto"/>
        <w:rPr>
          <w:sz w:val="20"/>
          <w:szCs w:val="20"/>
          <w:color w:val="auto"/>
        </w:rPr>
      </w:pPr>
      <w:r>
        <w:rPr>
          <w:rFonts w:ascii="Courier New" w:cs="Courier New" w:eastAsia="Courier New" w:hAnsi="Courier New"/>
          <w:sz w:val="15"/>
          <w:szCs w:val="15"/>
          <w:color w:val="auto"/>
        </w:rPr>
        <w:t>Net sales from semiconductor operations decreased by 14% in the second quarter of 2000 as compared to the first quarter of 2000, primarily due to an approximate 20% decrease in the average selling prices of semiconductor memory products. The effect of this decrease in average selling prices was partially offset by a slight increase in total megabits shipped.</w:t>
      </w:r>
    </w:p>
    <w:p>
      <w:pPr>
        <w:spacing w:after="0" w:line="72" w:lineRule="exact"/>
        <w:rPr>
          <w:sz w:val="20"/>
          <w:szCs w:val="20"/>
          <w:color w:val="auto"/>
        </w:rPr>
      </w:pPr>
    </w:p>
    <w:p>
      <w:pPr>
        <w:ind w:right="3119" w:firstLine="178"/>
        <w:spacing w:after="0" w:line="268" w:lineRule="auto"/>
        <w:rPr>
          <w:sz w:val="20"/>
          <w:szCs w:val="20"/>
          <w:color w:val="auto"/>
        </w:rPr>
      </w:pPr>
      <w:r>
        <w:rPr>
          <w:rFonts w:ascii="Courier New" w:cs="Courier New" w:eastAsia="Courier New" w:hAnsi="Courier New"/>
          <w:sz w:val="14"/>
          <w:szCs w:val="14"/>
          <w:color w:val="auto"/>
        </w:rPr>
        <w:t>Net sales from PC operations for the second quarter and first six months of 2000 decreased by 23% and 25% respectively, as compared to the corresponding periods of 1999 primarily due to a decrease in unit sales and to a lesser extent to a decrease in overall selling prices for the Company's PC systems. PC unit sales for these comparative periods decreased by 28% and 27%, respectively, and overall average selling prices decreased by 5% and 6%. The decrease in unit sales for the second quarter and first six months of 2000 as compared to the corresponding periods of 1999 is primarily due to lower consumer and commercial sales, resulting in decreases in notebook shipments of 30% and 38% and decreases in desktop shipments of 28% and 25%, respectively. Net sales from PC operations for the second quarter of 2000 decreased by approximately 5% as compared to the first quarter of 2000 primarily due to a 17% decrease in unit sales. The decrease in unit sales is primarily due to a 19% decrease in desktop unit shipments principally as a result of lower government sales.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rPr>
              <w:t>Gross Margin</w:t>
            </w: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40" w:type="dxa"/>
            <w:vAlign w:val="bottom"/>
          </w:tcPr>
          <w:p>
            <w:pPr>
              <w:spacing w:after="0"/>
              <w:rPr>
                <w:sz w:val="22"/>
                <w:szCs w:val="22"/>
                <w:color w:val="auto"/>
              </w:rPr>
            </w:pPr>
          </w:p>
        </w:tc>
        <w:tc>
          <w:tcPr>
            <w:tcW w:w="23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Second Quarter</w:t>
            </w:r>
          </w:p>
        </w:tc>
        <w:tc>
          <w:tcPr>
            <w:tcW w:w="94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Six Months</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8"/>
              </w:rPr>
              <w:t>-----------------------</w:t>
            </w:r>
            <w:r>
              <w:rPr>
                <w:rFonts w:ascii="Courier New" w:cs="Courier New" w:eastAsia="Courier New" w:hAnsi="Courier New"/>
                <w:sz w:val="8"/>
                <w:szCs w:val="8"/>
                <w:color w:val="auto"/>
                <w:w w:val="78"/>
                <w:vertAlign w:val="subscript"/>
              </w:rPr>
              <w:t>2000</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 Change</w:t>
            </w:r>
          </w:p>
        </w:tc>
        <w:tc>
          <w:tcPr>
            <w:tcW w:w="74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1999</w:t>
            </w:r>
          </w:p>
        </w:tc>
        <w:tc>
          <w:tcPr>
            <w:tcW w:w="25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 Change</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1"/>
        </w:trPr>
        <w:tc>
          <w:tcPr>
            <w:tcW w:w="2040" w:type="dxa"/>
            <w:vAlign w:val="bottom"/>
            <w:vMerge w:val="restart"/>
          </w:tcPr>
          <w:p>
            <w:pPr>
              <w:spacing w:after="0"/>
              <w:rPr>
                <w:sz w:val="20"/>
                <w:szCs w:val="20"/>
                <w:color w:val="auto"/>
              </w:rPr>
            </w:pPr>
            <w:r>
              <w:rPr>
                <w:rFonts w:ascii="Courier New" w:cs="Courier New" w:eastAsia="Courier New" w:hAnsi="Courier New"/>
                <w:sz w:val="15"/>
                <w:szCs w:val="15"/>
                <w:color w:val="auto"/>
              </w:rPr>
              <w:t>Gross margin</w:t>
            </w:r>
          </w:p>
        </w:tc>
        <w:tc>
          <w:tcPr>
            <w:tcW w:w="88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4"/>
                <w:vertAlign w:val="subscript"/>
              </w:rPr>
              <w:t>$</w:t>
            </w:r>
            <w:r>
              <w:rPr>
                <w:rFonts w:ascii="Courier New" w:cs="Courier New" w:eastAsia="Courier New" w:hAnsi="Courier New"/>
                <w:sz w:val="7"/>
                <w:szCs w:val="7"/>
                <w:color w:val="auto"/>
                <w:w w:val="74"/>
              </w:rPr>
              <w:t>-----------------------</w:t>
            </w:r>
            <w:r>
              <w:rPr>
                <w:rFonts w:ascii="Courier New" w:cs="Courier New" w:eastAsia="Courier New" w:hAnsi="Courier New"/>
                <w:sz w:val="8"/>
                <w:szCs w:val="8"/>
                <w:color w:val="auto"/>
                <w:w w:val="74"/>
                <w:vertAlign w:val="subscript"/>
              </w:rPr>
              <w:t>511.1</w:t>
            </w:r>
          </w:p>
        </w:tc>
        <w:tc>
          <w:tcPr>
            <w:tcW w:w="7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82.1%</w:t>
            </w:r>
          </w:p>
        </w:tc>
        <w:tc>
          <w:tcPr>
            <w:tcW w:w="74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$280.7</w:t>
            </w:r>
          </w:p>
        </w:tc>
        <w:tc>
          <w:tcPr>
            <w:tcW w:w="25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0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$1,324.8</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234.0%</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$396.6</w:t>
            </w:r>
          </w:p>
        </w:tc>
        <w:tc>
          <w:tcPr>
            <w:tcW w:w="0" w:type="dxa"/>
            <w:vAlign w:val="bottom"/>
          </w:tcPr>
          <w:p>
            <w:pPr>
              <w:spacing w:after="0"/>
              <w:rPr>
                <w:sz w:val="1"/>
                <w:szCs w:val="1"/>
                <w:color w:val="auto"/>
              </w:rPr>
            </w:pPr>
          </w:p>
        </w:tc>
      </w:tr>
      <w:tr>
        <w:trPr>
          <w:trHeight w:val="249"/>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rPr>
              <w:t>as a % of net sales</w:t>
            </w:r>
          </w:p>
        </w:tc>
        <w:tc>
          <w:tcPr>
            <w:tcW w:w="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36.7%</w:t>
            </w:r>
          </w:p>
        </w:tc>
        <w:tc>
          <w:tcPr>
            <w:tcW w:w="760" w:type="dxa"/>
            <w:vAlign w:val="bottom"/>
          </w:tcPr>
          <w:p>
            <w:pPr>
              <w:spacing w:after="0"/>
              <w:rPr>
                <w:sz w:val="21"/>
                <w:szCs w:val="21"/>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3119" w:firstLine="178"/>
        <w:spacing w:after="0" w:line="269" w:lineRule="auto"/>
        <w:rPr>
          <w:sz w:val="20"/>
          <w:szCs w:val="20"/>
          <w:color w:val="auto"/>
        </w:rPr>
      </w:pPr>
      <w:r>
        <w:rPr>
          <w:rFonts w:ascii="Courier New" w:cs="Courier New" w:eastAsia="Courier New" w:hAnsi="Courier New"/>
          <w:sz w:val="15"/>
          <w:szCs w:val="15"/>
          <w:color w:val="auto"/>
        </w:rPr>
        <w:t>The increase in the Company's consolidated gross margin during the second quarter and first six months of 2000, as compared to the corresponding periods in 1999, are primarily attributable to the Company's semiconductor operations. The Company's consolidated gross margin percentage for the first quarter of 2000 was 51%.</w:t>
      </w:r>
    </w:p>
    <w:p>
      <w:pPr>
        <w:spacing w:after="0" w:line="72" w:lineRule="exact"/>
        <w:rPr>
          <w:sz w:val="20"/>
          <w:szCs w:val="20"/>
          <w:color w:val="auto"/>
        </w:rPr>
      </w:pPr>
    </w:p>
    <w:p>
      <w:pPr>
        <w:ind w:right="3119" w:firstLine="178"/>
        <w:spacing w:after="0" w:line="253" w:lineRule="auto"/>
        <w:rPr>
          <w:sz w:val="20"/>
          <w:szCs w:val="20"/>
          <w:color w:val="auto"/>
        </w:rPr>
      </w:pPr>
      <w:r>
        <w:rPr>
          <w:rFonts w:ascii="Courier New" w:cs="Courier New" w:eastAsia="Courier New" w:hAnsi="Courier New"/>
          <w:sz w:val="15"/>
          <w:szCs w:val="15"/>
          <w:color w:val="auto"/>
        </w:rPr>
        <w:t>The Company's gross margin percentage from its semiconductor operations for the second quarter and first six months of 2000 was 41% and 50%, respectively, compared to 33% and 26% for the corresponding periods of 1999. The increase in gross margin percentage for the Company's semiconductor operations for the second quarter and first six months of 2000 compared to the corresponding periods in 1999 resulted from decreases in per megabit manufacturing costs which were partially offset by lower average selling prices. Decreases in per megabit manufacturing costs were achieved principally through transitions to shrink versions of existing products and shifts in the Company's mix of semiconductor memory products to a higher average density.</w:t>
      </w:r>
    </w:p>
    <w:p>
      <w:pPr>
        <w:spacing w:after="0" w:line="86" w:lineRule="exact"/>
        <w:rPr>
          <w:sz w:val="20"/>
          <w:szCs w:val="20"/>
          <w:color w:val="auto"/>
        </w:rPr>
      </w:pPr>
    </w:p>
    <w:p>
      <w:pPr>
        <w:jc w:val="both"/>
        <w:ind w:right="3119" w:firstLine="178"/>
        <w:spacing w:after="0" w:line="297" w:lineRule="auto"/>
        <w:rPr>
          <w:sz w:val="20"/>
          <w:szCs w:val="20"/>
          <w:color w:val="auto"/>
        </w:rPr>
      </w:pPr>
      <w:r>
        <w:rPr>
          <w:rFonts w:ascii="Courier New" w:cs="Courier New" w:eastAsia="Courier New" w:hAnsi="Courier New"/>
          <w:sz w:val="15"/>
          <w:szCs w:val="15"/>
          <w:color w:val="auto"/>
        </w:rPr>
        <w:t>The gross margin percentage for the Company's semiconductor operations for the first quarter of 2000 was 58%. The decrease in gross margin percentage for the Company's semiconductor operations in the second quarter of 2000</w:t>
      </w:r>
    </w:p>
    <w:p>
      <w:pPr>
        <w:spacing w:after="0" w:line="5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05" w:right="1440" w:bottom="1440" w:gutter="0" w:footer="0" w:header="0"/>
        </w:sectPr>
      </w:pPr>
    </w:p>
    <w:bookmarkStart w:id="16" w:name="page17"/>
    <w:bookmarkEnd w:id="16"/>
    <w:p>
      <w:pPr>
        <w:ind w:right="3119"/>
        <w:spacing w:after="0" w:line="297" w:lineRule="auto"/>
        <w:rPr>
          <w:sz w:val="20"/>
          <w:szCs w:val="20"/>
          <w:color w:val="auto"/>
        </w:rPr>
      </w:pPr>
      <w:r>
        <w:rPr>
          <w:rFonts w:ascii="Courier New" w:cs="Courier New" w:eastAsia="Courier New" w:hAnsi="Courier New"/>
          <w:sz w:val="15"/>
          <w:szCs w:val="15"/>
          <w:color w:val="auto"/>
        </w:rPr>
        <w:t>as compared to the first quarter of 2000 was primarily due to the approximate 20% decrease in average selling prices per megabit of memory and increased costs for products purchased from MTI's joint ventures.</w:t>
      </w:r>
    </w:p>
    <w:p>
      <w:pPr>
        <w:spacing w:after="0" w:line="52" w:lineRule="exact"/>
        <w:rPr>
          <w:sz w:val="20"/>
          <w:szCs w:val="20"/>
          <w:color w:val="auto"/>
        </w:rPr>
      </w:pPr>
    </w:p>
    <w:p>
      <w:pPr>
        <w:ind w:right="3119" w:firstLine="178"/>
        <w:spacing w:after="0" w:line="249" w:lineRule="auto"/>
        <w:rPr>
          <w:sz w:val="20"/>
          <w:szCs w:val="20"/>
          <w:color w:val="auto"/>
        </w:rPr>
      </w:pPr>
      <w:r>
        <w:rPr>
          <w:rFonts w:ascii="Courier New" w:cs="Courier New" w:eastAsia="Courier New" w:hAnsi="Courier New"/>
          <w:sz w:val="15"/>
          <w:szCs w:val="15"/>
          <w:color w:val="auto"/>
        </w:rPr>
        <w:t>Subject to certain terms and conditions, MTI has agreed to purchase the entire output from two joint venture wafer fabrication facilities, TECH Semiconductor Singapore Pte. Ltd. ("TECH") and KMT Semiconductor Limited ("KMT"). TECH and KMT are collectively referred to herein as the "JVs." MTI is a party to various agreements with the JVs whereby MTI provides technology, engineering support, training and information systems support to the JVs. MTI also performs assembly and test services on product manufactured by the JVs. The cost of products purchased from the JVs is based in part on MTI's average selling prices and is subject to significant fluctuations. All transactions with the JVs are recognized as part of the net cost of products purchased from the JVs and impact the Company's semiconductor operations gross margin percentage. The Company's semiconductor operations gross margin percentage was negatively impacted by a higher cost of products purchased from the JVs in the second quarter of 2000.</w:t>
      </w:r>
    </w:p>
    <w:p>
      <w:pPr>
        <w:spacing w:after="0" w:line="92" w:lineRule="exact"/>
        <w:rPr>
          <w:sz w:val="20"/>
          <w:szCs w:val="20"/>
          <w:color w:val="auto"/>
        </w:rPr>
      </w:pPr>
    </w:p>
    <w:p>
      <w:pPr>
        <w:ind w:right="3119" w:firstLine="178"/>
        <w:spacing w:after="0" w:line="257" w:lineRule="auto"/>
        <w:rPr>
          <w:sz w:val="20"/>
          <w:szCs w:val="20"/>
          <w:color w:val="auto"/>
        </w:rPr>
      </w:pPr>
      <w:r>
        <w:rPr>
          <w:rFonts w:ascii="Courier New" w:cs="Courier New" w:eastAsia="Courier New" w:hAnsi="Courier New"/>
          <w:sz w:val="15"/>
          <w:szCs w:val="15"/>
          <w:color w:val="auto"/>
        </w:rPr>
        <w:t>The gross margin percentage for the Company's PC operations has remained relatively flat for the second quarter and first six months of 2000 compared to the corresponding periods of 1999 and for the second quarter of 2000 as compared to the first quarter of 2000. The Company continues to experience pricing pressure on sales of its PC systems. Additionally, the product sales mix during the first six months of 2000 has been unfavorable due to the reduced shipments of notebook products, which typically contribute higher gross margin percentages.</w:t>
      </w:r>
    </w:p>
    <w:p>
      <w:pPr>
        <w:spacing w:after="0" w:line="8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Selling, General and Administrative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w w:val="96"/>
              </w:rPr>
              <w:t>Second Quarter</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3"/>
              </w:rPr>
              <w:t>------------------------------</w:t>
            </w:r>
            <w:r>
              <w:rPr>
                <w:rFonts w:ascii="Courier New" w:cs="Courier New" w:eastAsia="Courier New" w:hAnsi="Courier New"/>
                <w:sz w:val="14"/>
                <w:szCs w:val="14"/>
                <w:color w:val="auto"/>
                <w:w w:val="73"/>
                <w:vertAlign w:val="subscript"/>
              </w:rPr>
              <w:t>2000</w:t>
            </w:r>
          </w:p>
        </w:tc>
        <w:tc>
          <w:tcPr>
            <w:tcW w:w="124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 Change</w:t>
            </w:r>
          </w:p>
        </w:tc>
        <w:tc>
          <w:tcPr>
            <w:tcW w:w="80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1999</w:t>
            </w: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Change</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9"/>
        </w:trPr>
        <w:tc>
          <w:tcPr>
            <w:tcW w:w="3760" w:type="dxa"/>
            <w:vAlign w:val="bottom"/>
          </w:tcPr>
          <w:p>
            <w:pPr>
              <w:spacing w:after="0"/>
              <w:rPr>
                <w:sz w:val="21"/>
                <w:szCs w:val="21"/>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spacing w:after="0"/>
              <w:rPr>
                <w:sz w:val="21"/>
                <w:szCs w:val="21"/>
                <w:color w:val="auto"/>
              </w:rPr>
            </w:pP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7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$142.7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13.7%</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$125.5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$310.3</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35.8%</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$228.5</w:t>
            </w:r>
          </w:p>
        </w:tc>
        <w:tc>
          <w:tcPr>
            <w:tcW w:w="0" w:type="dxa"/>
            <w:vAlign w:val="bottom"/>
          </w:tcPr>
          <w:p>
            <w:pPr>
              <w:spacing w:after="0"/>
              <w:rPr>
                <w:sz w:val="1"/>
                <w:szCs w:val="1"/>
                <w:color w:val="auto"/>
              </w:rPr>
            </w:pPr>
          </w:p>
        </w:tc>
      </w:tr>
      <w:tr>
        <w:trPr>
          <w:trHeight w:val="249"/>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as a % of net sales</w:t>
            </w:r>
          </w:p>
        </w:tc>
        <w:tc>
          <w:tcPr>
            <w:tcW w:w="2620" w:type="dxa"/>
            <w:vAlign w:val="bottom"/>
            <w:gridSpan w:val="2"/>
          </w:tcPr>
          <w:p>
            <w:pPr>
              <w:jc w:val="right"/>
              <w:ind w:right="1086"/>
              <w:spacing w:after="0"/>
              <w:rPr>
                <w:sz w:val="20"/>
                <w:szCs w:val="20"/>
                <w:color w:val="auto"/>
              </w:rPr>
            </w:pPr>
            <w:r>
              <w:rPr>
                <w:rFonts w:ascii="Courier New" w:cs="Courier New" w:eastAsia="Courier New" w:hAnsi="Courier New"/>
                <w:sz w:val="15"/>
                <w:szCs w:val="15"/>
                <w:color w:val="auto"/>
              </w:rPr>
              <w:t>10.2%</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10.4%</w:t>
            </w:r>
          </w:p>
        </w:tc>
        <w:tc>
          <w:tcPr>
            <w:tcW w:w="1100" w:type="dxa"/>
            <w:vAlign w:val="bottom"/>
          </w:tcPr>
          <w:p>
            <w:pPr>
              <w:spacing w:after="0"/>
              <w:rPr>
                <w:sz w:val="21"/>
                <w:szCs w:val="21"/>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12.6%</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The increase in selling, general and administrative expense for the second quarter and first six months of 2000 as compared to the corresponding periods of 1999 reflects a higher level of personnel expense resulting from a higher level of performance based compensation costs for the Company's semiconductor operations and an increased number of administrative employees associated with semiconductor and PC operations. Additionally, the increase in selling, general and administrative expense for the first six months of 2000 as compared to the first six months of 1999 reflects a $19 million charge in the first quarter of 2000 for the market value of MEI Common Stock contributed by MTI to the Micron Technology Foundation (the "Foundation"). Selling, general and administrative expenses for the second quarter of 2000 were approximately 15% lower than the first quarter of 2000 primarily as a result of the contribution charge related to the Foundation.</w:t>
      </w:r>
    </w:p>
    <w:p>
      <w:pPr>
        <w:spacing w:after="0" w:line="8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Research and Development</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3060" w:type="dxa"/>
            <w:vAlign w:val="bottom"/>
            <w:gridSpan w:val="2"/>
          </w:tcPr>
          <w:p>
            <w:pPr>
              <w:jc w:val="center"/>
              <w:ind w:left="1566"/>
              <w:spacing w:after="0"/>
              <w:rPr>
                <w:sz w:val="20"/>
                <w:szCs w:val="20"/>
                <w:color w:val="auto"/>
              </w:rPr>
            </w:pPr>
            <w:r>
              <w:rPr>
                <w:rFonts w:ascii="Courier New" w:cs="Courier New" w:eastAsia="Courier New" w:hAnsi="Courier New"/>
                <w:sz w:val="15"/>
                <w:szCs w:val="15"/>
                <w:color w:val="auto"/>
                <w:w w:val="99"/>
              </w:rPr>
              <w:t>Second Quarter</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Six Months</w:t>
            </w:r>
          </w:p>
        </w:tc>
        <w:tc>
          <w:tcPr>
            <w:tcW w:w="760" w:type="dxa"/>
            <w:vAlign w:val="bottom"/>
          </w:tcPr>
          <w:p>
            <w:pPr>
              <w:spacing w:after="0"/>
              <w:rPr>
                <w:sz w:val="14"/>
                <w:szCs w:val="14"/>
                <w:color w:val="auto"/>
              </w:rPr>
            </w:pPr>
          </w:p>
        </w:tc>
      </w:tr>
      <w:tr>
        <w:trPr>
          <w:trHeight w:val="171"/>
        </w:trPr>
        <w:tc>
          <w:tcPr>
            <w:tcW w:w="3320" w:type="dxa"/>
            <w:vAlign w:val="bottom"/>
          </w:tcPr>
          <w:p>
            <w:pPr>
              <w:spacing w:after="0"/>
              <w:rPr>
                <w:sz w:val="14"/>
                <w:szCs w:val="14"/>
                <w:color w:val="auto"/>
              </w:rPr>
            </w:pPr>
          </w:p>
        </w:tc>
        <w:tc>
          <w:tcPr>
            <w:tcW w:w="378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84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14"/>
                <w:szCs w:val="14"/>
                <w:color w:val="auto"/>
              </w:rPr>
            </w:pPr>
          </w:p>
        </w:tc>
        <w:tc>
          <w:tcPr>
            <w:tcW w:w="19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7"/>
              </w:rPr>
              <w:t>% Change</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 Change</w:t>
            </w: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249"/>
        </w:trPr>
        <w:tc>
          <w:tcPr>
            <w:tcW w:w="3320" w:type="dxa"/>
            <w:vAlign w:val="bottom"/>
          </w:tcPr>
          <w:p>
            <w:pPr>
              <w:spacing w:after="0"/>
              <w:rPr>
                <w:sz w:val="21"/>
                <w:szCs w:val="21"/>
                <w:color w:val="auto"/>
              </w:rPr>
            </w:pPr>
          </w:p>
        </w:tc>
        <w:tc>
          <w:tcPr>
            <w:tcW w:w="378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84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263"/>
        </w:trPr>
        <w:tc>
          <w:tcPr>
            <w:tcW w:w="332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19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$103.5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21.1%</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$85.5</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$195.2</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27.4%</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$153.2</w:t>
            </w:r>
          </w:p>
        </w:tc>
      </w:tr>
      <w:tr>
        <w:trPr>
          <w:trHeight w:val="249"/>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as a % of net sales</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1100" w:type="dxa"/>
            <w:vAlign w:val="bottom"/>
          </w:tcPr>
          <w:p>
            <w:pPr>
              <w:spacing w:after="0"/>
              <w:rPr>
                <w:sz w:val="21"/>
                <w:szCs w:val="21"/>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bl>
    <w:p>
      <w:pPr>
        <w:spacing w:after="0" w:line="263" w:lineRule="exact"/>
        <w:rPr>
          <w:sz w:val="20"/>
          <w:szCs w:val="20"/>
          <w:color w:val="auto"/>
        </w:rPr>
      </w:pPr>
    </w:p>
    <w:p>
      <w:pPr>
        <w:ind w:right="3119" w:firstLine="178"/>
        <w:spacing w:after="0" w:line="267" w:lineRule="auto"/>
        <w:rPr>
          <w:sz w:val="20"/>
          <w:szCs w:val="20"/>
          <w:color w:val="auto"/>
        </w:rPr>
      </w:pPr>
      <w:r>
        <w:rPr>
          <w:rFonts w:ascii="Courier New" w:cs="Courier New" w:eastAsia="Courier New" w:hAnsi="Courier New"/>
          <w:sz w:val="14"/>
          <w:szCs w:val="14"/>
          <w:color w:val="auto"/>
        </w:rPr>
        <w:t>Substantially all the Company's research and development efforts relate to its semiconductor operations. Research and development expenses vary primarily with personnel costs, the cost of advanced equipment dedicated to new product and process development and the number of development wafers processed. Research and development efforts are focused on .15(mu) and .13(mu) line width process technologies, which are the primary determinants in transitioning to next generation and future products. Simultaneous research and development efforts across multiple products prepare the Company for future product introductions and allow current products to utilize the advanced process technology to achieve higher performance at lower production costs. Application of advanced process technology currently is concentrated on design of shrink versions of the Company's 128 Meg SDRAMs and on design and development of the Company's 256 Meg and 512 Meg SDRAMs, direct Rambus(R) DRAM ("RDRAM"), Double Data Rate ("DDR") SDRAM, Flash and SRAM memory products. Other research and development efforts are currently devoted to the design and development of embedded memory products, system-on-a-chip ("SOC") solutions, and memory technology enablement.</w:t>
      </w:r>
    </w:p>
    <w:p>
      <w:pPr>
        <w:spacing w:after="0" w:line="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05" w:right="1440" w:bottom="992" w:gutter="0" w:footer="0" w:header="0"/>
        </w:sectPr>
      </w:pPr>
    </w:p>
    <w:bookmarkStart w:id="17" w:name="page18"/>
    <w:bookmarkEnd w:id="17"/>
    <w:p>
      <w:pPr>
        <w:ind w:left="160"/>
        <w:spacing w:after="0"/>
        <w:rPr>
          <w:sz w:val="20"/>
          <w:szCs w:val="20"/>
          <w:color w:val="auto"/>
        </w:rPr>
      </w:pPr>
      <w:r>
        <w:rPr>
          <w:rFonts w:ascii="Courier New" w:cs="Courier New" w:eastAsia="Courier New" w:hAnsi="Courier New"/>
          <w:sz w:val="15"/>
          <w:szCs w:val="15"/>
          <w:color w:val="auto"/>
        </w:rPr>
        <w:t>Other Operating Expense, net</w:t>
      </w:r>
    </w:p>
    <w:p>
      <w:pPr>
        <w:spacing w:after="0" w:line="171" w:lineRule="exact"/>
        <w:rPr>
          <w:sz w:val="20"/>
          <w:szCs w:val="20"/>
          <w:color w:val="auto"/>
        </w:rPr>
      </w:pPr>
    </w:p>
    <w:p>
      <w:pPr>
        <w:ind w:right="3119" w:firstLine="178"/>
        <w:spacing w:after="0" w:line="263" w:lineRule="auto"/>
        <w:rPr>
          <w:sz w:val="20"/>
          <w:szCs w:val="20"/>
          <w:color w:val="auto"/>
        </w:rPr>
      </w:pPr>
      <w:r>
        <w:rPr>
          <w:rFonts w:ascii="Courier New" w:cs="Courier New" w:eastAsia="Courier New" w:hAnsi="Courier New"/>
          <w:sz w:val="15"/>
          <w:szCs w:val="15"/>
          <w:color w:val="auto"/>
        </w:rPr>
        <w:t>Other operating expense for the second quarter and first six months of 2000 includes net pre-tax losses of $7 million and $25 million, respectively, from the write down and disposal of semiconductor operations equipment. Other operating expense for the second quarter and first six months of 1999 includes a $15 million charge to write down certain flat panel display assets, resulting in an after tax loss of $0.03 and $0.04 per share, respectively.</w:t>
      </w:r>
    </w:p>
    <w:p>
      <w:pPr>
        <w:spacing w:after="0" w:line="7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Other Non-Operating Income, net</w:t>
      </w:r>
    </w:p>
    <w:p>
      <w:pPr>
        <w:spacing w:after="0" w:line="171" w:lineRule="exact"/>
        <w:rPr>
          <w:sz w:val="20"/>
          <w:szCs w:val="20"/>
          <w:color w:val="auto"/>
        </w:rPr>
      </w:pPr>
    </w:p>
    <w:p>
      <w:pPr>
        <w:ind w:right="3299" w:firstLine="178"/>
        <w:spacing w:after="0" w:line="263" w:lineRule="auto"/>
        <w:rPr>
          <w:sz w:val="20"/>
          <w:szCs w:val="20"/>
          <w:color w:val="auto"/>
        </w:rPr>
      </w:pPr>
      <w:r>
        <w:rPr>
          <w:rFonts w:ascii="Courier New" w:cs="Courier New" w:eastAsia="Courier New" w:hAnsi="Courier New"/>
          <w:sz w:val="15"/>
          <w:szCs w:val="15"/>
          <w:color w:val="auto"/>
        </w:rPr>
        <w:t>Other non-operating income for the first six months of 2000 includes a $10 million gain on the contribution by MTI of 1.9 million shares of MEI Common Stock (the "Contribution") to the Foundation. The Contribution decreased MTI's ownership interest in MEI from approximately 63% to 61%. Selling, general and administrative expense in the first six months of 2000 reflects a $19 million charge for the market value of the stock contributed.</w:t>
      </w:r>
    </w:p>
    <w:p>
      <w:pPr>
        <w:spacing w:after="0" w:line="7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Income Tax Provision (Benefit)</w:t>
      </w:r>
    </w:p>
    <w:p>
      <w:pPr>
        <w:spacing w:after="0" w:line="171"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The effective tax rate for the second quarter and first six months of 2000 was 35%, compared to effective tax rates of 40% and 39%, respectively, for the corresponding periods of 1999. The reduction in the effective tax rate is principally a result of favorable tax treatment on permanently reinvested earnings from certain of the Company's foreign operations. Taxes on earnings of certain foreign operations and domestic subsidiaries not consolidated for tax purposes may cause the effective tax rate to vary significantly from period to period.</w:t>
      </w:r>
    </w:p>
    <w:p>
      <w:pPr>
        <w:spacing w:after="0" w:line="8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1" w:lineRule="exact"/>
        <w:rPr>
          <w:sz w:val="20"/>
          <w:szCs w:val="20"/>
          <w:color w:val="auto"/>
        </w:rPr>
      </w:pPr>
    </w:p>
    <w:p>
      <w:pPr>
        <w:ind w:right="3119" w:firstLine="178"/>
        <w:spacing w:after="0" w:line="269" w:lineRule="auto"/>
        <w:rPr>
          <w:sz w:val="20"/>
          <w:szCs w:val="20"/>
          <w:color w:val="auto"/>
        </w:rPr>
      </w:pPr>
      <w:r>
        <w:rPr>
          <w:rFonts w:ascii="Courier New" w:cs="Courier New" w:eastAsia="Courier New" w:hAnsi="Courier New"/>
          <w:sz w:val="15"/>
          <w:szCs w:val="15"/>
          <w:color w:val="auto"/>
        </w:rPr>
        <w:t>Recently issued accounting standards include Statement of Financial Accounting Standards ("SFAS") No. 133 "Accounting for Derivative Instruments and Hedging Activities," issued by the FASB in June 1998 and Staff Accounting Bulletin ("SAB") No. 101 "Revenue Recognition in Financial Statements", issued by the Securities and Exchange Commission in December 1999.</w:t>
      </w:r>
    </w:p>
    <w:p>
      <w:pPr>
        <w:spacing w:after="0" w:line="72" w:lineRule="exact"/>
        <w:rPr>
          <w:sz w:val="20"/>
          <w:szCs w:val="20"/>
          <w:color w:val="auto"/>
        </w:rPr>
      </w:pPr>
    </w:p>
    <w:p>
      <w:pPr>
        <w:ind w:right="3119" w:firstLine="178"/>
        <w:spacing w:after="0" w:line="270" w:lineRule="auto"/>
        <w:rPr>
          <w:sz w:val="20"/>
          <w:szCs w:val="20"/>
          <w:color w:val="auto"/>
        </w:rPr>
      </w:pPr>
      <w:r>
        <w:rPr>
          <w:rFonts w:ascii="Courier New" w:cs="Courier New" w:eastAsia="Courier New" w:hAnsi="Courier New"/>
          <w:sz w:val="14"/>
          <w:szCs w:val="14"/>
          <w:color w:val="auto"/>
        </w:rPr>
        <w:t>SFAS No. 133 requires that all derivatives be recorded as either assets or liabilities in the balance sheet and marked to market on an ongoing basis. SFAS No. 133 applies to all derivatives including stand-alone instruments, such as forward currency exchange contracts and interest rate swaps, or embedded derivatives, such as call options contained in convertible debt investments. Along with the derivatives, the underlying hedged items are also to be marked to market on an ongoing basis. These market value adjustments are to be included either in the statement of operations or as a component of comprehensive income, depending on the nature of the transaction. Implementation of SFAS No. 133 is required for the Company by the first quarter of 2001. The implementation of SFAS No. 133 is not expected to have a significant impact on the Company's future results of operations or financial position.</w:t>
      </w:r>
    </w:p>
    <w:p>
      <w:pPr>
        <w:spacing w:after="0" w:line="78" w:lineRule="exact"/>
        <w:rPr>
          <w:sz w:val="20"/>
          <w:szCs w:val="20"/>
          <w:color w:val="auto"/>
        </w:rPr>
      </w:pPr>
    </w:p>
    <w:p>
      <w:pPr>
        <w:ind w:right="3119" w:firstLine="178"/>
        <w:spacing w:after="0" w:line="263" w:lineRule="auto"/>
        <w:rPr>
          <w:sz w:val="20"/>
          <w:szCs w:val="20"/>
          <w:color w:val="auto"/>
        </w:rPr>
      </w:pPr>
      <w:r>
        <w:rPr>
          <w:rFonts w:ascii="Courier New" w:cs="Courier New" w:eastAsia="Courier New" w:hAnsi="Courier New"/>
          <w:sz w:val="15"/>
          <w:szCs w:val="15"/>
          <w:color w:val="auto"/>
        </w:rPr>
        <w:t>SAB No. 101 summarizes certain staff views in applying generally accepted accounting principles to revenue recognition in the financial statements. Adoption is required for the Company by the first quarter of fiscal 2001. The implementation of SAB No. 101 is not expected to impact results of the Company's semiconductor operations and the Company is currently evaluating the effect SAB No. 101 will have on results of the Company's PC operations.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1" w:lineRule="exact"/>
        <w:rPr>
          <w:sz w:val="20"/>
          <w:szCs w:val="20"/>
          <w:color w:val="auto"/>
        </w:rPr>
      </w:pPr>
    </w:p>
    <w:p>
      <w:pPr>
        <w:ind w:right="3119" w:firstLine="178"/>
        <w:spacing w:after="0" w:line="257" w:lineRule="auto"/>
        <w:rPr>
          <w:sz w:val="20"/>
          <w:szCs w:val="20"/>
          <w:color w:val="auto"/>
        </w:rPr>
      </w:pPr>
      <w:r>
        <w:rPr>
          <w:rFonts w:ascii="Courier New" w:cs="Courier New" w:eastAsia="Courier New" w:hAnsi="Courier New"/>
          <w:sz w:val="15"/>
          <w:szCs w:val="15"/>
          <w:color w:val="auto"/>
        </w:rPr>
        <w:t>As of March 2, 2000, the Company had cash and liquid investments totaling $1.7 billion, representing an increase of $65 million during the first six months of 2000. The Company's principal source of liquidity during the first six months of 2000 was net cash flow from operations of $707 million. The principal uses of funds during the first six months of 2000 were $460 million for property, plant and equipment expenditures and a $324 million increase in inventory. The dollar value in inventory increased 89% comparing March 2, 2000, with September 2,</w:t>
      </w:r>
    </w:p>
    <w:p>
      <w:pPr>
        <w:spacing w:after="0" w:line="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05" w:right="1440" w:bottom="1440" w:gutter="0" w:footer="0" w:header="0"/>
        </w:sectPr>
      </w:pPr>
    </w:p>
    <w:bookmarkStart w:id="18" w:name="page19"/>
    <w:bookmarkEnd w:id="18"/>
    <w:p>
      <w:pPr>
        <w:ind w:right="3299"/>
        <w:spacing w:after="0" w:line="387" w:lineRule="auto"/>
        <w:rPr>
          <w:sz w:val="20"/>
          <w:szCs w:val="20"/>
          <w:color w:val="auto"/>
        </w:rPr>
      </w:pPr>
      <w:r>
        <w:rPr>
          <w:rFonts w:ascii="Courier New" w:cs="Courier New" w:eastAsia="Courier New" w:hAnsi="Courier New"/>
          <w:sz w:val="14"/>
          <w:szCs w:val="14"/>
          <w:color w:val="auto"/>
        </w:rPr>
        <w:t>1999, as production from the Company's semiconductor operations increased at a faster pace than the demand for its products throughout most of the period.</w:t>
      </w:r>
    </w:p>
    <w:p>
      <w:pPr>
        <w:spacing w:after="0" w:line="1" w:lineRule="exact"/>
        <w:rPr>
          <w:sz w:val="20"/>
          <w:szCs w:val="20"/>
          <w:color w:val="auto"/>
        </w:rPr>
      </w:pPr>
    </w:p>
    <w:p>
      <w:pPr>
        <w:ind w:right="3119" w:firstLine="178"/>
        <w:spacing w:after="0" w:line="268" w:lineRule="auto"/>
        <w:rPr>
          <w:sz w:val="20"/>
          <w:szCs w:val="20"/>
          <w:color w:val="auto"/>
        </w:rPr>
      </w:pPr>
      <w:r>
        <w:rPr>
          <w:rFonts w:ascii="Courier New" w:cs="Courier New" w:eastAsia="Courier New" w:hAnsi="Courier New"/>
          <w:sz w:val="14"/>
          <w:szCs w:val="14"/>
          <w:color w:val="auto"/>
        </w:rPr>
        <w:t>The Company believes that in order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continuously evaluates the financing of these investments and in this regard has replaced its previous shelf registration statement with an updated shelf registration statement pursuant to which the Company may issue from time to time debt or equity securities for up to $1 billion. The Company currently estimates it will spend approximately $1.7 billion in fiscal 2000 for purchases of equipment and for construction and improvement of buildings, of which it has spent approximately $595 million to date. As of March 2, 2000, the Company had entered into contracts extending into fiscal 2001 for approximately $923 million for equipment purchases and approximately $88 million for the construction of facilities.</w:t>
      </w:r>
    </w:p>
    <w:p>
      <w:pPr>
        <w:spacing w:after="0" w:line="258" w:lineRule="exact"/>
        <w:rPr>
          <w:sz w:val="20"/>
          <w:szCs w:val="20"/>
          <w:color w:val="auto"/>
        </w:rPr>
      </w:pPr>
    </w:p>
    <w:p>
      <w:pPr>
        <w:ind w:right="3119" w:firstLine="266"/>
        <w:spacing w:after="0" w:line="255" w:lineRule="auto"/>
        <w:rPr>
          <w:sz w:val="20"/>
          <w:szCs w:val="20"/>
          <w:color w:val="auto"/>
        </w:rPr>
      </w:pPr>
      <w:r>
        <w:rPr>
          <w:rFonts w:ascii="Courier New" w:cs="Courier New" w:eastAsia="Courier New" w:hAnsi="Courier New"/>
          <w:sz w:val="15"/>
          <w:szCs w:val="15"/>
          <w:color w:val="auto"/>
        </w:rPr>
        <w:t>As of March 2, 2000, approximately $306 million of the Company's consolidated cash and liquid investments were held by MEI. Cash generated by MEI is not readily available to finance operations or other expenditures of the Company's semiconductor memory operations. MEI has a $100 million unsecured credit agreement, expiring June 2001 which contains certain restrictive covenants pertaining to MEI, including certain financial ratios and limitations on the amount of dividends declared or paid by the Company. As of March 2, 2000, MEI had no borrowings outstanding under the agreement. MTI terminated its secured revolving credit agreement effective December 2, 1999.</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Events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Call for Redemption of Notes</w:t>
      </w:r>
    </w:p>
    <w:p>
      <w:pPr>
        <w:spacing w:after="0" w:line="171" w:lineRule="exact"/>
        <w:rPr>
          <w:sz w:val="20"/>
          <w:szCs w:val="20"/>
          <w:color w:val="auto"/>
        </w:rPr>
      </w:pPr>
    </w:p>
    <w:p>
      <w:pPr>
        <w:ind w:right="3119" w:firstLine="178"/>
        <w:spacing w:after="0" w:line="277" w:lineRule="auto"/>
        <w:rPr>
          <w:sz w:val="20"/>
          <w:szCs w:val="20"/>
          <w:color w:val="auto"/>
        </w:rPr>
      </w:pPr>
      <w:r>
        <w:rPr>
          <w:rFonts w:ascii="Courier New" w:cs="Courier New" w:eastAsia="Courier New" w:hAnsi="Courier New"/>
          <w:sz w:val="14"/>
          <w:szCs w:val="14"/>
          <w:color w:val="auto"/>
        </w:rPr>
        <w:t>On March 27, 2000, the Company announced the call for redemption of all of its 7% Convertible Subordinated Notes due July 1, 2004 (the "Notes"). The aggregate principal amount of the Notes outstanding as of March 2, 2000, was $500 million. The redemption will be effective April 17, 2000. Holders may convert their Notes into shares of Micron common stock at a price of approximately $67.44 per share, or approximately 14.8272 shares of Micron common stock per $1,000 principal amount. Alternatively, holders may have their Notes redeemed at a total redemption price of $1,070.61 per $1,000 principal amount.</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Split</w:t>
      </w:r>
    </w:p>
    <w:p>
      <w:pPr>
        <w:spacing w:after="0" w:line="171" w:lineRule="exact"/>
        <w:rPr>
          <w:sz w:val="20"/>
          <w:szCs w:val="20"/>
          <w:color w:val="auto"/>
        </w:rPr>
      </w:pPr>
    </w:p>
    <w:p>
      <w:pPr>
        <w:ind w:right="3119" w:firstLine="178"/>
        <w:spacing w:after="0" w:line="263" w:lineRule="auto"/>
        <w:rPr>
          <w:sz w:val="20"/>
          <w:szCs w:val="20"/>
          <w:color w:val="auto"/>
        </w:rPr>
      </w:pPr>
      <w:r>
        <w:rPr>
          <w:rFonts w:ascii="Courier New" w:cs="Courier New" w:eastAsia="Courier New" w:hAnsi="Courier New"/>
          <w:sz w:val="15"/>
          <w:szCs w:val="15"/>
          <w:color w:val="auto"/>
        </w:rPr>
        <w:t>On March 29, 2000, the Company's Board of Directors approved a 2-for-1 stock split to be effected in the form of a stock dividend for shareholders of record on April 18, 2000. The additional shares resulting from the split will be distributed on May 1, 2000. Share and per share data presented in this Form 10-Q have not been retroactively adjusted to reflect this stock split. (See "Notes to Consolidated Financial Statements - 6. Stock Split.")</w:t>
      </w:r>
    </w:p>
    <w:p>
      <w:pPr>
        <w:spacing w:after="0" w:line="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05"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Certain Factors</w:t>
      </w:r>
    </w:p>
    <w:p>
      <w:pPr>
        <w:spacing w:after="0" w:line="171" w:lineRule="exact"/>
        <w:rPr>
          <w:sz w:val="20"/>
          <w:szCs w:val="20"/>
          <w:color w:val="auto"/>
        </w:rPr>
      </w:pPr>
    </w:p>
    <w:p>
      <w:pPr>
        <w:ind w:right="3219" w:firstLine="178"/>
        <w:spacing w:after="0" w:line="269" w:lineRule="auto"/>
        <w:rPr>
          <w:sz w:val="20"/>
          <w:szCs w:val="20"/>
          <w:color w:val="auto"/>
        </w:rPr>
      </w:pPr>
      <w:r>
        <w:rPr>
          <w:rFonts w:ascii="Courier New" w:cs="Courier New" w:eastAsia="Courier New" w:hAnsi="Courier New"/>
          <w:sz w:val="15"/>
          <w:szCs w:val="15"/>
          <w:color w:val="auto"/>
        </w:rPr>
        <w:t>In addition to the factors discussed elsewhere in this Form 10-Q and in the Company's Form 10-K for the fiscal year ended September 2, 1999, the following are important factors which could cause actual results or events to differ materially from those contained in any forward looking statements made by or on behalf of the Company.</w:t>
      </w:r>
    </w:p>
    <w:p>
      <w:pPr>
        <w:spacing w:after="0" w:line="72" w:lineRule="exact"/>
        <w:rPr>
          <w:sz w:val="20"/>
          <w:szCs w:val="20"/>
          <w:color w:val="auto"/>
        </w:rPr>
      </w:pPr>
    </w:p>
    <w:p>
      <w:pPr>
        <w:ind w:right="3659"/>
        <w:spacing w:after="0" w:line="353" w:lineRule="auto"/>
        <w:rPr>
          <w:sz w:val="20"/>
          <w:szCs w:val="20"/>
          <w:color w:val="auto"/>
        </w:rPr>
      </w:pPr>
      <w:r>
        <w:rPr>
          <w:rFonts w:ascii="Courier New" w:cs="Courier New" w:eastAsia="Courier New" w:hAnsi="Courier New"/>
          <w:sz w:val="15"/>
          <w:szCs w:val="15"/>
          <w:color w:val="auto"/>
        </w:rPr>
        <w:t>The volatile nature of the DRAM industry could adversely affect our future operating results</w:t>
      </w:r>
    </w:p>
    <w:p>
      <w:pPr>
        <w:spacing w:after="0" w:line="12" w:lineRule="exact"/>
        <w:rPr>
          <w:sz w:val="20"/>
          <w:szCs w:val="20"/>
          <w:color w:val="auto"/>
        </w:rPr>
      </w:pPr>
    </w:p>
    <w:p>
      <w:pPr>
        <w:ind w:right="3119" w:firstLine="178"/>
        <w:spacing w:after="0" w:line="278" w:lineRule="auto"/>
        <w:rPr>
          <w:sz w:val="20"/>
          <w:szCs w:val="20"/>
          <w:color w:val="auto"/>
        </w:rPr>
      </w:pPr>
      <w:r>
        <w:rPr>
          <w:rFonts w:ascii="Courier New" w:cs="Courier New" w:eastAsia="Courier New" w:hAnsi="Courier New"/>
          <w:sz w:val="15"/>
          <w:szCs w:val="15"/>
          <w:color w:val="auto"/>
        </w:rPr>
        <w:t>The DRAM industry is highly volatile. Due to the commodity nature of DRAM products, when the supply of DRAM products exceeds the demand for such products, average selling prices for DRAM products decline, sometimes quite rapidly. In the past, our operating results have been adversely affected by:</w:t>
      </w:r>
    </w:p>
    <w:p>
      <w:pPr>
        <w:spacing w:after="0" w:line="66" w:lineRule="exact"/>
        <w:rPr>
          <w:sz w:val="20"/>
          <w:szCs w:val="20"/>
          <w:color w:val="auto"/>
        </w:rPr>
      </w:pPr>
    </w:p>
    <w:p>
      <w:pPr>
        <w:ind w:left="880" w:hanging="445"/>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worldwide DRAM supply, and</w:t>
      </w:r>
    </w:p>
    <w:p>
      <w:pPr>
        <w:spacing w:after="0" w:line="171" w:lineRule="exact"/>
        <w:rPr>
          <w:sz w:val="20"/>
          <w:szCs w:val="20"/>
          <w:color w:val="auto"/>
        </w:rPr>
      </w:pPr>
    </w:p>
    <w:p>
      <w:pPr>
        <w:ind w:left="880" w:hanging="445"/>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declines in average selling prices for DRAM products.</w:t>
      </w:r>
    </w:p>
    <w:p>
      <w:pPr>
        <w:spacing w:after="0" w:line="171" w:lineRule="exact"/>
        <w:rPr>
          <w:sz w:val="20"/>
          <w:szCs w:val="20"/>
          <w:color w:val="auto"/>
        </w:rPr>
      </w:pPr>
    </w:p>
    <w:p>
      <w:pPr>
        <w:ind w:right="3299"/>
        <w:spacing w:after="0" w:line="353" w:lineRule="auto"/>
        <w:rPr>
          <w:sz w:val="20"/>
          <w:szCs w:val="20"/>
          <w:color w:val="auto"/>
        </w:rPr>
      </w:pPr>
      <w:r>
        <w:rPr>
          <w:rFonts w:ascii="Courier New" w:cs="Courier New" w:eastAsia="Courier New" w:hAnsi="Courier New"/>
          <w:sz w:val="15"/>
          <w:szCs w:val="15"/>
          <w:color w:val="auto"/>
        </w:rPr>
        <w:t>We have experienced dramatic declines in average selling prices for our memory products which have adversely affected our business</w:t>
      </w:r>
    </w:p>
    <w:p>
      <w:pPr>
        <w:spacing w:after="0" w:line="12" w:lineRule="exact"/>
        <w:rPr>
          <w:sz w:val="20"/>
          <w:szCs w:val="20"/>
          <w:color w:val="auto"/>
        </w:rPr>
      </w:pPr>
    </w:p>
    <w:p>
      <w:pPr>
        <w:ind w:right="3119" w:firstLine="178"/>
        <w:spacing w:after="0" w:line="278" w:lineRule="auto"/>
        <w:rPr>
          <w:sz w:val="20"/>
          <w:szCs w:val="20"/>
          <w:color w:val="auto"/>
        </w:rPr>
      </w:pPr>
      <w:r>
        <w:rPr>
          <w:rFonts w:ascii="Courier New" w:cs="Courier New" w:eastAsia="Courier New" w:hAnsi="Courier New"/>
          <w:sz w:val="15"/>
          <w:szCs w:val="15"/>
          <w:color w:val="auto"/>
        </w:rPr>
        <w:t>Average selling prices for memory products have decreased approximately 30% on a long-term, annualized basis. However, significant fluctuations in average selling prices for our memory products, including DRAM, have occurred from time to time, as shown in following chart:</w:t>
      </w:r>
    </w:p>
    <w:p>
      <w:pPr>
        <w:spacing w:after="0" w:line="66"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Fiscal year to year comparison</w:t>
            </w:r>
          </w:p>
        </w:tc>
        <w:tc>
          <w:tcPr>
            <w:tcW w:w="3240" w:type="dxa"/>
            <w:vAlign w:val="bottom"/>
          </w:tcPr>
          <w:p>
            <w:pPr>
              <w:ind w:left="300"/>
              <w:spacing w:after="0"/>
              <w:rPr>
                <w:sz w:val="20"/>
                <w:szCs w:val="20"/>
                <w:color w:val="auto"/>
              </w:rPr>
            </w:pPr>
            <w:r>
              <w:rPr>
                <w:rFonts w:ascii="Courier New" w:cs="Courier New" w:eastAsia="Courier New" w:hAnsi="Courier New"/>
                <w:sz w:val="15"/>
                <w:szCs w:val="15"/>
                <w:color w:val="auto"/>
                <w:w w:val="98"/>
              </w:rPr>
              <w:t>Average price per megabit decline</w:t>
            </w:r>
          </w:p>
        </w:tc>
        <w:tc>
          <w:tcPr>
            <w:tcW w:w="0" w:type="dxa"/>
            <w:vAlign w:val="bottom"/>
          </w:tcPr>
          <w:p>
            <w:pPr>
              <w:spacing w:after="0"/>
              <w:rPr>
                <w:sz w:val="1"/>
                <w:szCs w:val="1"/>
                <w:color w:val="auto"/>
              </w:rPr>
            </w:pPr>
          </w:p>
        </w:tc>
      </w:tr>
      <w:tr>
        <w:trPr>
          <w:trHeight w:val="171"/>
        </w:trPr>
        <w:tc>
          <w:tcPr>
            <w:tcW w:w="1160" w:type="dxa"/>
            <w:vAlign w:val="bottom"/>
            <w:vMerge w:val="restart"/>
          </w:tcPr>
          <w:p>
            <w:pPr>
              <w:spacing w:after="0"/>
              <w:rPr>
                <w:sz w:val="20"/>
                <w:szCs w:val="20"/>
                <w:color w:val="auto"/>
              </w:rPr>
            </w:pPr>
            <w:r>
              <w:rPr>
                <w:rFonts w:ascii="Courier New" w:cs="Courier New" w:eastAsia="Courier New" w:hAnsi="Courier New"/>
                <w:sz w:val="8"/>
                <w:szCs w:val="8"/>
                <w:color w:val="auto"/>
                <w:w w:val="70"/>
              </w:rPr>
              <w:t>------------------------------</w:t>
            </w:r>
            <w:r>
              <w:rPr>
                <w:rFonts w:ascii="Courier New" w:cs="Courier New" w:eastAsia="Courier New" w:hAnsi="Courier New"/>
                <w:sz w:val="11"/>
                <w:szCs w:val="11"/>
                <w:color w:val="auto"/>
                <w:w w:val="70"/>
                <w:vertAlign w:val="subscript"/>
              </w:rPr>
              <w:t>1999</w:t>
            </w:r>
          </w:p>
        </w:tc>
        <w:tc>
          <w:tcPr>
            <w:tcW w:w="1820" w:type="dxa"/>
            <w:vAlign w:val="bottom"/>
            <w:vMerge w:val="restart"/>
          </w:tcPr>
          <w:p>
            <w:pPr>
              <w:spacing w:after="0"/>
              <w:rPr>
                <w:sz w:val="20"/>
                <w:szCs w:val="20"/>
                <w:color w:val="auto"/>
              </w:rPr>
            </w:pPr>
            <w:r>
              <w:rPr>
                <w:rFonts w:ascii="Courier New" w:cs="Courier New" w:eastAsia="Courier New" w:hAnsi="Courier New"/>
                <w:sz w:val="15"/>
                <w:szCs w:val="15"/>
                <w:color w:val="auto"/>
              </w:rPr>
              <w:t>to 1998</w:t>
            </w:r>
          </w:p>
        </w:tc>
        <w:tc>
          <w:tcPr>
            <w:tcW w:w="324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324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6"/>
              </w:rPr>
              <w:t>37%</w:t>
            </w:r>
          </w:p>
        </w:tc>
        <w:tc>
          <w:tcPr>
            <w:tcW w:w="0" w:type="dxa"/>
            <w:vAlign w:val="bottom"/>
          </w:tcPr>
          <w:p>
            <w:pPr>
              <w:spacing w:after="0"/>
              <w:rPr>
                <w:sz w:val="1"/>
                <w:szCs w:val="1"/>
                <w:color w:val="auto"/>
              </w:rPr>
            </w:pPr>
          </w:p>
        </w:tc>
      </w:tr>
      <w:tr>
        <w:trPr>
          <w:trHeight w:val="171"/>
        </w:trPr>
        <w:tc>
          <w:tcPr>
            <w:tcW w:w="1160" w:type="dxa"/>
            <w:vAlign w:val="bottom"/>
          </w:tcPr>
          <w:p>
            <w:pPr>
              <w:jc w:val="right"/>
              <w:ind w:right="32"/>
              <w:spacing w:after="0"/>
              <w:rPr>
                <w:sz w:val="20"/>
                <w:szCs w:val="20"/>
                <w:color w:val="auto"/>
              </w:rPr>
            </w:pPr>
            <w:r>
              <w:rPr>
                <w:rFonts w:ascii="Courier New" w:cs="Courier New" w:eastAsia="Courier New" w:hAnsi="Courier New"/>
                <w:sz w:val="15"/>
                <w:szCs w:val="15"/>
                <w:color w:val="auto"/>
              </w:rPr>
              <w:t>1998</w:t>
            </w:r>
          </w:p>
        </w:tc>
        <w:tc>
          <w:tcPr>
            <w:tcW w:w="1820" w:type="dxa"/>
            <w:vAlign w:val="bottom"/>
          </w:tcPr>
          <w:p>
            <w:pPr>
              <w:spacing w:after="0"/>
              <w:rPr>
                <w:sz w:val="20"/>
                <w:szCs w:val="20"/>
                <w:color w:val="auto"/>
              </w:rPr>
            </w:pPr>
            <w:r>
              <w:rPr>
                <w:rFonts w:ascii="Courier New" w:cs="Courier New" w:eastAsia="Courier New" w:hAnsi="Courier New"/>
                <w:sz w:val="15"/>
                <w:szCs w:val="15"/>
                <w:color w:val="auto"/>
              </w:rPr>
              <w:t>to 1997</w:t>
            </w:r>
          </w:p>
        </w:tc>
        <w:tc>
          <w:tcPr>
            <w:tcW w:w="324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6"/>
              </w:rPr>
              <w:t>60%</w:t>
            </w:r>
          </w:p>
        </w:tc>
        <w:tc>
          <w:tcPr>
            <w:tcW w:w="0" w:type="dxa"/>
            <w:vAlign w:val="bottom"/>
          </w:tcPr>
          <w:p>
            <w:pPr>
              <w:spacing w:after="0"/>
              <w:rPr>
                <w:sz w:val="1"/>
                <w:szCs w:val="1"/>
                <w:color w:val="auto"/>
              </w:rPr>
            </w:pPr>
          </w:p>
        </w:tc>
      </w:tr>
      <w:tr>
        <w:trPr>
          <w:trHeight w:val="171"/>
        </w:trPr>
        <w:tc>
          <w:tcPr>
            <w:tcW w:w="1160" w:type="dxa"/>
            <w:vAlign w:val="bottom"/>
          </w:tcPr>
          <w:p>
            <w:pPr>
              <w:jc w:val="right"/>
              <w:ind w:right="32"/>
              <w:spacing w:after="0"/>
              <w:rPr>
                <w:sz w:val="20"/>
                <w:szCs w:val="20"/>
                <w:color w:val="auto"/>
              </w:rPr>
            </w:pPr>
            <w:r>
              <w:rPr>
                <w:rFonts w:ascii="Courier New" w:cs="Courier New" w:eastAsia="Courier New" w:hAnsi="Courier New"/>
                <w:sz w:val="15"/>
                <w:szCs w:val="15"/>
                <w:color w:val="auto"/>
              </w:rPr>
              <w:t>1997</w:t>
            </w:r>
          </w:p>
        </w:tc>
        <w:tc>
          <w:tcPr>
            <w:tcW w:w="1820" w:type="dxa"/>
            <w:vAlign w:val="bottom"/>
          </w:tcPr>
          <w:p>
            <w:pPr>
              <w:spacing w:after="0"/>
              <w:rPr>
                <w:sz w:val="20"/>
                <w:szCs w:val="20"/>
                <w:color w:val="auto"/>
              </w:rPr>
            </w:pPr>
            <w:r>
              <w:rPr>
                <w:rFonts w:ascii="Courier New" w:cs="Courier New" w:eastAsia="Courier New" w:hAnsi="Courier New"/>
                <w:sz w:val="15"/>
                <w:szCs w:val="15"/>
                <w:color w:val="auto"/>
              </w:rPr>
              <w:t>to 1996</w:t>
            </w:r>
          </w:p>
        </w:tc>
        <w:tc>
          <w:tcPr>
            <w:tcW w:w="324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6"/>
              </w:rPr>
              <w:t>75%</w:t>
            </w:r>
          </w:p>
        </w:tc>
        <w:tc>
          <w:tcPr>
            <w:tcW w:w="0" w:type="dxa"/>
            <w:vAlign w:val="bottom"/>
          </w:tcPr>
          <w:p>
            <w:pPr>
              <w:spacing w:after="0"/>
              <w:rPr>
                <w:sz w:val="1"/>
                <w:szCs w:val="1"/>
                <w:color w:val="auto"/>
              </w:rPr>
            </w:pPr>
          </w:p>
        </w:tc>
      </w:tr>
      <w:tr>
        <w:trPr>
          <w:trHeight w:val="249"/>
        </w:trPr>
        <w:tc>
          <w:tcPr>
            <w:tcW w:w="1160" w:type="dxa"/>
            <w:vAlign w:val="bottom"/>
          </w:tcPr>
          <w:p>
            <w:pPr>
              <w:jc w:val="right"/>
              <w:ind w:right="32"/>
              <w:spacing w:after="0"/>
              <w:rPr>
                <w:sz w:val="20"/>
                <w:szCs w:val="20"/>
                <w:color w:val="auto"/>
              </w:rPr>
            </w:pPr>
            <w:r>
              <w:rPr>
                <w:rFonts w:ascii="Courier New" w:cs="Courier New" w:eastAsia="Courier New" w:hAnsi="Courier New"/>
                <w:sz w:val="15"/>
                <w:szCs w:val="15"/>
                <w:color w:val="auto"/>
              </w:rPr>
              <w:t>1996</w:t>
            </w:r>
          </w:p>
        </w:tc>
        <w:tc>
          <w:tcPr>
            <w:tcW w:w="1820" w:type="dxa"/>
            <w:vAlign w:val="bottom"/>
          </w:tcPr>
          <w:p>
            <w:pPr>
              <w:spacing w:after="0"/>
              <w:rPr>
                <w:sz w:val="20"/>
                <w:szCs w:val="20"/>
                <w:color w:val="auto"/>
              </w:rPr>
            </w:pPr>
            <w:r>
              <w:rPr>
                <w:rFonts w:ascii="Courier New" w:cs="Courier New" w:eastAsia="Courier New" w:hAnsi="Courier New"/>
                <w:sz w:val="15"/>
                <w:szCs w:val="15"/>
                <w:color w:val="auto"/>
              </w:rPr>
              <w:t>to 1995</w:t>
            </w:r>
          </w:p>
        </w:tc>
        <w:tc>
          <w:tcPr>
            <w:tcW w:w="324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6"/>
              </w:rPr>
              <w:t>46%</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219" w:firstLine="178"/>
        <w:spacing w:after="0" w:line="278" w:lineRule="auto"/>
        <w:rPr>
          <w:sz w:val="20"/>
          <w:szCs w:val="20"/>
          <w:color w:val="auto"/>
        </w:rPr>
      </w:pPr>
      <w:r>
        <w:rPr>
          <w:rFonts w:ascii="Courier New" w:cs="Courier New" w:eastAsia="Courier New" w:hAnsi="Courier New"/>
          <w:sz w:val="15"/>
          <w:szCs w:val="15"/>
          <w:color w:val="auto"/>
        </w:rPr>
        <w:t>We are unable to predict pricing conditions for any future period. If average selling prices for our memory products decrease faster than we are able to decrease our per megabit manufacturing costs, our operations, cash flows and financial condition would be adversely affected.</w:t>
      </w:r>
    </w:p>
    <w:p>
      <w:pPr>
        <w:spacing w:after="0" w:line="66" w:lineRule="exact"/>
        <w:rPr>
          <w:sz w:val="20"/>
          <w:szCs w:val="20"/>
          <w:color w:val="auto"/>
        </w:rPr>
      </w:pPr>
    </w:p>
    <w:p>
      <w:pPr>
        <w:ind w:right="3399"/>
        <w:spacing w:after="0" w:line="353" w:lineRule="auto"/>
        <w:rPr>
          <w:sz w:val="20"/>
          <w:szCs w:val="20"/>
          <w:color w:val="auto"/>
        </w:rPr>
      </w:pPr>
      <w:r>
        <w:rPr>
          <w:rFonts w:ascii="Courier New" w:cs="Courier New" w:eastAsia="Courier New" w:hAnsi="Courier New"/>
          <w:sz w:val="15"/>
          <w:szCs w:val="15"/>
          <w:color w:val="auto"/>
        </w:rPr>
        <w:t>Increased worldwide DRAM production could lead to further declines in average selling prices for memory products</w:t>
      </w:r>
    </w:p>
    <w:p>
      <w:pPr>
        <w:spacing w:after="0" w:line="12" w:lineRule="exact"/>
        <w:rPr>
          <w:sz w:val="20"/>
          <w:szCs w:val="20"/>
          <w:color w:val="auto"/>
        </w:rPr>
      </w:pPr>
    </w:p>
    <w:p>
      <w:pPr>
        <w:ind w:right="3119" w:firstLine="178"/>
        <w:spacing w:after="0" w:line="257" w:lineRule="auto"/>
        <w:rPr>
          <w:sz w:val="20"/>
          <w:szCs w:val="20"/>
          <w:color w:val="auto"/>
        </w:rPr>
      </w:pPr>
      <w:r>
        <w:rPr>
          <w:rFonts w:ascii="Courier New" w:cs="Courier New" w:eastAsia="Courier New" w:hAnsi="Courier New"/>
          <w:sz w:val="15"/>
          <w:szCs w:val="15"/>
          <w:color w:val="auto"/>
        </w:rPr>
        <w:t>We, like our competitors, are constantly seeking to improve yields, reduce die size and use fewer manufacturing steps in our product design. These types of improvements result in increases in worldwide supply of DRAM. Increases in worldwide supply also result from DRAM capacity expansion, either by way of new facilities or reallocating existing semiconductor production capacity to DRAM production. Increases in worldwide supply of DRAM could lead to further declines in average selling prices for our products and have an adverse affect on our results of operations and cash flows.</w:t>
      </w:r>
    </w:p>
    <w:p>
      <w:pPr>
        <w:spacing w:after="0" w:line="80" w:lineRule="exact"/>
        <w:rPr>
          <w:sz w:val="20"/>
          <w:szCs w:val="20"/>
          <w:color w:val="auto"/>
        </w:rPr>
      </w:pPr>
    </w:p>
    <w:p>
      <w:pPr>
        <w:ind w:right="3299"/>
        <w:spacing w:after="0" w:line="387" w:lineRule="auto"/>
        <w:rPr>
          <w:sz w:val="20"/>
          <w:szCs w:val="20"/>
          <w:color w:val="auto"/>
        </w:rPr>
      </w:pPr>
      <w:r>
        <w:rPr>
          <w:rFonts w:ascii="Courier New" w:cs="Courier New" w:eastAsia="Courier New" w:hAnsi="Courier New"/>
          <w:sz w:val="14"/>
          <w:szCs w:val="14"/>
          <w:color w:val="auto"/>
        </w:rPr>
        <w:t>We sell a majority of our memory products to the personal computer market and are therefore dependent on the performance of personal computer ("PC") markets</w:t>
      </w:r>
    </w:p>
    <w:p>
      <w:pPr>
        <w:spacing w:after="0" w:line="1" w:lineRule="exact"/>
        <w:rPr>
          <w:sz w:val="20"/>
          <w:szCs w:val="20"/>
          <w:color w:val="auto"/>
        </w:rPr>
      </w:pPr>
    </w:p>
    <w:p>
      <w:pPr>
        <w:ind w:right="3119" w:firstLine="178"/>
        <w:spacing w:after="0" w:line="269" w:lineRule="auto"/>
        <w:rPr>
          <w:sz w:val="20"/>
          <w:szCs w:val="20"/>
          <w:color w:val="auto"/>
        </w:rPr>
      </w:pPr>
      <w:r>
        <w:rPr>
          <w:rFonts w:ascii="Courier New" w:cs="Courier New" w:eastAsia="Courier New" w:hAnsi="Courier New"/>
          <w:sz w:val="15"/>
          <w:szCs w:val="15"/>
          <w:color w:val="auto"/>
        </w:rPr>
        <w:t>We sold approximately 83% of our sales of memory products to PC or peripheral markets for the second quarter of fiscal 2000 and approximately 85% of our sales to PC or peripheral markets for the first six months of 2000. DRAMs are the most widely used semiconductor memory component in most PCs. If the amount of memory</w:t>
      </w:r>
    </w:p>
    <w:p>
      <w:pPr>
        <w:spacing w:after="0" w:line="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05" w:right="1440" w:bottom="1440" w:gutter="0" w:footer="0" w:header="0"/>
        </w:sectPr>
      </w:pPr>
    </w:p>
    <w:bookmarkStart w:id="20" w:name="page21"/>
    <w:bookmarkEnd w:id="20"/>
    <w:p>
      <w:pPr>
        <w:jc w:val="both"/>
        <w:ind w:right="3299"/>
        <w:spacing w:after="0" w:line="297" w:lineRule="auto"/>
        <w:rPr>
          <w:sz w:val="20"/>
          <w:szCs w:val="20"/>
          <w:color w:val="auto"/>
        </w:rPr>
      </w:pPr>
      <w:r>
        <w:rPr>
          <w:rFonts w:ascii="Courier New" w:cs="Courier New" w:eastAsia="Courier New" w:hAnsi="Courier New"/>
          <w:sz w:val="15"/>
          <w:szCs w:val="15"/>
          <w:color w:val="auto"/>
        </w:rPr>
        <w:t>included in each PC decreases or if the growth rate in sales of PCs decreases, sales of our memory products could also decrease. This could further decrease average selling prices for our memory products.</w:t>
      </w:r>
    </w:p>
    <w:p>
      <w:pPr>
        <w:spacing w:after="0" w:line="52" w:lineRule="exact"/>
        <w:rPr>
          <w:sz w:val="20"/>
          <w:szCs w:val="20"/>
          <w:color w:val="auto"/>
        </w:rPr>
      </w:pPr>
    </w:p>
    <w:p>
      <w:pPr>
        <w:ind w:right="3219"/>
        <w:spacing w:after="0" w:line="297" w:lineRule="auto"/>
        <w:rPr>
          <w:sz w:val="20"/>
          <w:szCs w:val="20"/>
          <w:color w:val="auto"/>
        </w:rPr>
      </w:pPr>
      <w:r>
        <w:rPr>
          <w:rFonts w:ascii="Courier New" w:cs="Courier New" w:eastAsia="Courier New" w:hAnsi="Courier New"/>
          <w:sz w:val="15"/>
          <w:szCs w:val="15"/>
          <w:color w:val="auto"/>
        </w:rPr>
        <w:t>If we are unable to continue to supply our customers with a large percentage of their memory requirements, our results of operations and cash flows could be adversely affected</w:t>
      </w:r>
    </w:p>
    <w:p>
      <w:pPr>
        <w:spacing w:after="0" w:line="52" w:lineRule="exact"/>
        <w:rPr>
          <w:sz w:val="20"/>
          <w:szCs w:val="20"/>
          <w:color w:val="auto"/>
        </w:rPr>
      </w:pPr>
    </w:p>
    <w:p>
      <w:pPr>
        <w:ind w:right="3219" w:firstLine="178"/>
        <w:spacing w:after="0" w:line="263" w:lineRule="auto"/>
        <w:rPr>
          <w:sz w:val="20"/>
          <w:szCs w:val="20"/>
          <w:color w:val="auto"/>
        </w:rPr>
      </w:pPr>
      <w:r>
        <w:rPr>
          <w:rFonts w:ascii="Courier New" w:cs="Courier New" w:eastAsia="Courier New" w:hAnsi="Courier New"/>
          <w:sz w:val="15"/>
          <w:szCs w:val="15"/>
          <w:color w:val="auto"/>
        </w:rPr>
        <w:t>We supply a number of major original equipment manufacturers with more than 30% of their memory requirements and aggregate sales to our five largest customers comprised 44% of our semiconductor operations net sales for the first six months of 2000. If any of these original equipment manufacturers reduce their purchases of DRAM from us, our results of operations and cash flows could be adversely affected.</w:t>
      </w:r>
    </w:p>
    <w:p>
      <w:pPr>
        <w:spacing w:after="0" w:line="77" w:lineRule="exact"/>
        <w:rPr>
          <w:sz w:val="20"/>
          <w:szCs w:val="20"/>
          <w:color w:val="auto"/>
        </w:rPr>
      </w:pPr>
    </w:p>
    <w:p>
      <w:pPr>
        <w:ind w:right="3119"/>
        <w:spacing w:after="0" w:line="353" w:lineRule="auto"/>
        <w:rPr>
          <w:sz w:val="20"/>
          <w:szCs w:val="20"/>
          <w:color w:val="auto"/>
        </w:rPr>
      </w:pPr>
      <w:r>
        <w:rPr>
          <w:rFonts w:ascii="Courier New" w:cs="Courier New" w:eastAsia="Courier New" w:hAnsi="Courier New"/>
          <w:sz w:val="15"/>
          <w:szCs w:val="15"/>
          <w:color w:val="auto"/>
        </w:rPr>
        <w:t>If we are unable to make adequate capital investments, our results of operations and cash flows could be adversely affected</w:t>
      </w:r>
    </w:p>
    <w:p>
      <w:pPr>
        <w:spacing w:after="0" w:line="12" w:lineRule="exact"/>
        <w:rPr>
          <w:sz w:val="20"/>
          <w:szCs w:val="20"/>
          <w:color w:val="auto"/>
        </w:rPr>
      </w:pPr>
    </w:p>
    <w:p>
      <w:pPr>
        <w:ind w:right="3119" w:firstLine="178"/>
        <w:spacing w:after="0" w:line="257" w:lineRule="auto"/>
        <w:rPr>
          <w:sz w:val="20"/>
          <w:szCs w:val="20"/>
          <w:color w:val="auto"/>
        </w:rPr>
      </w:pPr>
      <w:r>
        <w:rPr>
          <w:rFonts w:ascii="Courier New" w:cs="Courier New" w:eastAsia="Courier New" w:hAnsi="Courier New"/>
          <w:sz w:val="15"/>
          <w:szCs w:val="15"/>
          <w:color w:val="auto"/>
        </w:rPr>
        <w:t>In order to develop new product and process technologies, support future growth, achieve operating efficiencies and maintain product quality, we must invest significant amounts of capital in manufacturing technology, facilities and capital equipment, research and development, and product and process technology. We made approximately $1 billion in capital investments in fiscal 1999 and we expect to make $1.7 billion in capital investments in fiscal 2000. If we are unable to make adequate capital investments, our results of operations and cash flows could be adversely affected.</w:t>
      </w:r>
    </w:p>
    <w:p>
      <w:pPr>
        <w:spacing w:after="0" w:line="80" w:lineRule="exact"/>
        <w:rPr>
          <w:sz w:val="20"/>
          <w:szCs w:val="20"/>
          <w:color w:val="auto"/>
        </w:rPr>
      </w:pPr>
    </w:p>
    <w:p>
      <w:pPr>
        <w:ind w:right="3399"/>
        <w:spacing w:after="0" w:line="387" w:lineRule="auto"/>
        <w:rPr>
          <w:sz w:val="20"/>
          <w:szCs w:val="20"/>
          <w:color w:val="auto"/>
        </w:rPr>
      </w:pPr>
      <w:r>
        <w:rPr>
          <w:rFonts w:ascii="Courier New" w:cs="Courier New" w:eastAsia="Courier New" w:hAnsi="Courier New"/>
          <w:sz w:val="14"/>
          <w:szCs w:val="14"/>
          <w:color w:val="auto"/>
        </w:rPr>
        <w:t>If we fail to effectively compete in the highly competitive semiconductor industry, our results of operations and cash flows will be adversely affected</w:t>
      </w:r>
    </w:p>
    <w:p>
      <w:pPr>
        <w:spacing w:after="0" w:line="1" w:lineRule="exact"/>
        <w:rPr>
          <w:sz w:val="20"/>
          <w:szCs w:val="20"/>
          <w:color w:val="auto"/>
        </w:rPr>
      </w:pPr>
    </w:p>
    <w:p>
      <w:pPr>
        <w:ind w:right="3119" w:firstLine="178"/>
        <w:spacing w:after="0" w:line="271" w:lineRule="auto"/>
        <w:rPr>
          <w:sz w:val="20"/>
          <w:szCs w:val="20"/>
          <w:color w:val="auto"/>
        </w:rPr>
      </w:pPr>
      <w:r>
        <w:rPr>
          <w:rFonts w:ascii="Courier New" w:cs="Courier New" w:eastAsia="Courier New" w:hAnsi="Courier New"/>
          <w:sz w:val="14"/>
          <w:szCs w:val="14"/>
          <w:color w:val="auto"/>
        </w:rPr>
        <w:t>The semiconductor industry is highly competitive. We face intense competition from a number of companies, including Hitachi, Ltd., Hyundai Electronics Industries Co., Ltd., Infineon Technologies AG., NEC Corporation and Samsung Semiconductor, Inc. Some of these competitors are very large corporations or conglomerates that may have greater financial resources and a better ability to withstand downturns in the semiconductor memory market. In addition, a number of these competitors have historically been able to introduce new products more quickly than we have. Consolidations in the semiconductor industry could put us at a further disadvantage against these large competitors. If we fail to effectively compete in the highly competitive semiconductor industry, our results of operations and cash flows will be adversely affected.</w:t>
      </w:r>
    </w:p>
    <w:p>
      <w:pPr>
        <w:spacing w:after="0" w:line="78" w:lineRule="exact"/>
        <w:rPr>
          <w:sz w:val="20"/>
          <w:szCs w:val="20"/>
          <w:color w:val="auto"/>
        </w:rPr>
      </w:pPr>
    </w:p>
    <w:p>
      <w:pPr>
        <w:ind w:right="3659"/>
        <w:spacing w:after="0" w:line="353" w:lineRule="auto"/>
        <w:rPr>
          <w:sz w:val="20"/>
          <w:szCs w:val="20"/>
          <w:color w:val="auto"/>
        </w:rPr>
      </w:pPr>
      <w:r>
        <w:rPr>
          <w:rFonts w:ascii="Courier New" w:cs="Courier New" w:eastAsia="Courier New" w:hAnsi="Courier New"/>
          <w:sz w:val="15"/>
          <w:szCs w:val="15"/>
          <w:color w:val="auto"/>
        </w:rPr>
        <w:t>If we are unable to reduce per megabit manufacturing costs, our results of operations could be adversely affected</w:t>
      </w:r>
    </w:p>
    <w:p>
      <w:pPr>
        <w:spacing w:after="0" w:line="12" w:lineRule="exact"/>
        <w:rPr>
          <w:sz w:val="20"/>
          <w:szCs w:val="20"/>
          <w:color w:val="auto"/>
        </w:rPr>
      </w:pPr>
    </w:p>
    <w:p>
      <w:pPr>
        <w:ind w:right="3299" w:firstLine="178"/>
        <w:spacing w:after="0" w:line="353" w:lineRule="auto"/>
        <w:rPr>
          <w:sz w:val="20"/>
          <w:szCs w:val="20"/>
          <w:color w:val="auto"/>
        </w:rPr>
      </w:pPr>
      <w:r>
        <w:rPr>
          <w:rFonts w:ascii="Courier New" w:cs="Courier New" w:eastAsia="Courier New" w:hAnsi="Courier New"/>
          <w:sz w:val="15"/>
          <w:szCs w:val="15"/>
          <w:color w:val="auto"/>
        </w:rPr>
        <w:t>Our ability to reduce per megabit manufacturing costs of our memory products depends on our ability to:</w:t>
      </w:r>
    </w:p>
    <w:p>
      <w:pPr>
        <w:spacing w:after="0" w:line="12" w:lineRule="exact"/>
        <w:rPr>
          <w:sz w:val="20"/>
          <w:szCs w:val="20"/>
          <w:color w:val="auto"/>
        </w:rPr>
      </w:pPr>
    </w:p>
    <w:p>
      <w:pPr>
        <w:ind w:left="880" w:hanging="445"/>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 and develop new generation products,</w:t>
      </w:r>
    </w:p>
    <w:p>
      <w:pPr>
        <w:spacing w:after="0" w:line="171" w:lineRule="exact"/>
        <w:rPr>
          <w:sz w:val="20"/>
          <w:szCs w:val="20"/>
          <w:color w:val="auto"/>
        </w:rPr>
      </w:pPr>
    </w:p>
    <w:p>
      <w:pPr>
        <w:ind w:left="880" w:hanging="445"/>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die size of our existing products, and</w:t>
      </w:r>
    </w:p>
    <w:p>
      <w:pPr>
        <w:spacing w:after="0" w:line="171" w:lineRule="exact"/>
        <w:rPr>
          <w:sz w:val="20"/>
          <w:szCs w:val="20"/>
          <w:color w:val="auto"/>
        </w:rPr>
      </w:pPr>
    </w:p>
    <w:p>
      <w:pPr>
        <w:ind w:left="880" w:right="3659" w:hanging="445"/>
        <w:spacing w:after="0" w:line="353"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production of these products at acceptable rates to acceptable yields.</w:t>
      </w:r>
    </w:p>
    <w:p>
      <w:pPr>
        <w:spacing w:after="0" w:line="12" w:lineRule="exact"/>
        <w:rPr>
          <w:sz w:val="20"/>
          <w:szCs w:val="20"/>
          <w:color w:val="auto"/>
        </w:rPr>
      </w:pPr>
    </w:p>
    <w:p>
      <w:pPr>
        <w:ind w:right="3219"/>
        <w:spacing w:after="0" w:line="297" w:lineRule="auto"/>
        <w:rPr>
          <w:sz w:val="20"/>
          <w:szCs w:val="20"/>
          <w:color w:val="auto"/>
        </w:rPr>
      </w:pPr>
      <w:r>
        <w:rPr>
          <w:rFonts w:ascii="Courier New" w:cs="Courier New" w:eastAsia="Courier New" w:hAnsi="Courier New"/>
          <w:sz w:val="15"/>
          <w:szCs w:val="15"/>
          <w:color w:val="auto"/>
        </w:rPr>
        <w:t>If we are unable to address these factors, we may not be able to reduce our per megabit manufacturing costs for our memory products and our results of operations and cash flows could be adversely affected.</w:t>
      </w:r>
    </w:p>
    <w:p>
      <w:pPr>
        <w:spacing w:after="0" w:line="52" w:lineRule="exact"/>
        <w:rPr>
          <w:sz w:val="20"/>
          <w:szCs w:val="20"/>
          <w:color w:val="auto"/>
        </w:rPr>
      </w:pPr>
    </w:p>
    <w:p>
      <w:pPr>
        <w:ind w:right="3579"/>
        <w:spacing w:after="0" w:line="353" w:lineRule="auto"/>
        <w:rPr>
          <w:sz w:val="20"/>
          <w:szCs w:val="20"/>
          <w:color w:val="auto"/>
        </w:rPr>
      </w:pPr>
      <w:r>
        <w:rPr>
          <w:rFonts w:ascii="Courier New" w:cs="Courier New" w:eastAsia="Courier New" w:hAnsi="Courier New"/>
          <w:sz w:val="15"/>
          <w:szCs w:val="15"/>
          <w:color w:val="auto"/>
        </w:rPr>
        <w:t>Our results of operations and cash flows could be adversely affected if our manufacturing process is interrupted</w:t>
      </w:r>
    </w:p>
    <w:p>
      <w:pPr>
        <w:spacing w:after="0" w:line="12" w:lineRule="exact"/>
        <w:rPr>
          <w:sz w:val="20"/>
          <w:szCs w:val="20"/>
          <w:color w:val="auto"/>
        </w:rPr>
      </w:pPr>
    </w:p>
    <w:p>
      <w:pPr>
        <w:ind w:right="3299" w:firstLine="178"/>
        <w:spacing w:after="0" w:line="269" w:lineRule="auto"/>
        <w:rPr>
          <w:sz w:val="20"/>
          <w:szCs w:val="20"/>
          <w:color w:val="auto"/>
        </w:rPr>
      </w:pPr>
      <w:r>
        <w:rPr>
          <w:rFonts w:ascii="Courier New" w:cs="Courier New" w:eastAsia="Courier New" w:hAnsi="Courier New"/>
          <w:sz w:val="15"/>
          <w:szCs w:val="15"/>
          <w:color w:val="auto"/>
        </w:rPr>
        <w:t>We manufacture our products using processes that are highly complex, require advanced and costly equipment and must continuously be modified to improve yields and performance. Difficulties in the manufacturing process can reduce yields or interrupt production. As a result, we may not be able to deliver products on time or in a cost-</w:t>
      </w:r>
    </w:p>
    <w:p>
      <w:pPr>
        <w:spacing w:after="0" w:line="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05" w:right="1440" w:bottom="1440" w:gutter="0" w:footer="0" w:header="0"/>
        </w:sectPr>
      </w:pPr>
    </w:p>
    <w:bookmarkStart w:id="21" w:name="page22"/>
    <w:bookmarkEnd w:id="21"/>
    <w:p>
      <w:pPr>
        <w:ind w:right="3219"/>
        <w:spacing w:after="0" w:line="269" w:lineRule="auto"/>
        <w:rPr>
          <w:sz w:val="20"/>
          <w:szCs w:val="20"/>
          <w:color w:val="auto"/>
        </w:rPr>
      </w:pPr>
      <w:r>
        <w:rPr>
          <w:rFonts w:ascii="Courier New" w:cs="Courier New" w:eastAsia="Courier New" w:hAnsi="Courier New"/>
          <w:sz w:val="15"/>
          <w:szCs w:val="15"/>
          <w:color w:val="auto"/>
        </w:rPr>
        <w:t>effective manner. If production at a fabrication facility is interrupted, we may not be able to shift production to other facilities on a timely basis or customers may purchase products from other suppliers. In either case, the loss of revenues and damage to the relationship with our customers could be significant.</w:t>
      </w:r>
    </w:p>
    <w:p>
      <w:pPr>
        <w:spacing w:after="0" w:line="72" w:lineRule="exact"/>
        <w:rPr>
          <w:sz w:val="20"/>
          <w:szCs w:val="20"/>
          <w:color w:val="auto"/>
        </w:rPr>
      </w:pPr>
    </w:p>
    <w:p>
      <w:pPr>
        <w:ind w:right="3659"/>
        <w:spacing w:after="0" w:line="353" w:lineRule="auto"/>
        <w:rPr>
          <w:sz w:val="20"/>
          <w:szCs w:val="20"/>
          <w:color w:val="auto"/>
        </w:rPr>
      </w:pPr>
      <w:r>
        <w:rPr>
          <w:rFonts w:ascii="Courier New" w:cs="Courier New" w:eastAsia="Courier New" w:hAnsi="Courier New"/>
          <w:sz w:val="15"/>
          <w:szCs w:val="15"/>
          <w:color w:val="auto"/>
        </w:rPr>
        <w:t>Our manufacturing efficiency may be adversely affected as we transition to higher bandwidth products</w:t>
      </w:r>
    </w:p>
    <w:p>
      <w:pPr>
        <w:spacing w:after="0" w:line="12" w:lineRule="exact"/>
        <w:rPr>
          <w:sz w:val="20"/>
          <w:szCs w:val="20"/>
          <w:color w:val="auto"/>
        </w:rPr>
      </w:pPr>
    </w:p>
    <w:p>
      <w:pPr>
        <w:ind w:right="3119" w:firstLine="178"/>
        <w:spacing w:after="0" w:line="263" w:lineRule="auto"/>
        <w:rPr>
          <w:sz w:val="20"/>
          <w:szCs w:val="20"/>
          <w:color w:val="auto"/>
        </w:rPr>
      </w:pPr>
      <w:r>
        <w:rPr>
          <w:rFonts w:ascii="Courier New" w:cs="Courier New" w:eastAsia="Courier New" w:hAnsi="Courier New"/>
          <w:sz w:val="15"/>
          <w:szCs w:val="15"/>
          <w:color w:val="auto"/>
        </w:rPr>
        <w:t>The semiconductor industry is currently transitioning to higher bandwidth products, including Double Data Rate Synchronous DRAM ("DDR SDRAM") and direct Rambus DRAM ("RDRAM"). We may have trouble achieving the same manufacturing efficiencies in higher bandwidth products that we have achieved in the past with our other memory products. Our transition to higher bandwidth products may adversely impact our:</w:t>
      </w:r>
    </w:p>
    <w:p>
      <w:pPr>
        <w:spacing w:after="0" w:line="77" w:lineRule="exact"/>
        <w:rPr>
          <w:sz w:val="20"/>
          <w:szCs w:val="20"/>
          <w:color w:val="auto"/>
        </w:rPr>
      </w:pPr>
    </w:p>
    <w:p>
      <w:pPr>
        <w:ind w:left="880" w:hanging="445"/>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productivity levels,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die per wafer yields,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backend assembly, and</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 equipment requirements.</w:t>
      </w:r>
    </w:p>
    <w:p>
      <w:pPr>
        <w:spacing w:after="0" w:line="171" w:lineRule="exact"/>
        <w:rPr>
          <w:sz w:val="20"/>
          <w:szCs w:val="20"/>
          <w:color w:val="auto"/>
        </w:rPr>
      </w:pPr>
    </w:p>
    <w:p>
      <w:pPr>
        <w:ind w:right="3219"/>
        <w:spacing w:after="0" w:line="278" w:lineRule="auto"/>
        <w:rPr>
          <w:sz w:val="20"/>
          <w:szCs w:val="20"/>
          <w:color w:val="auto"/>
        </w:rPr>
      </w:pPr>
      <w:r>
        <w:rPr>
          <w:rFonts w:ascii="Courier New" w:cs="Courier New" w:eastAsia="Courier New" w:hAnsi="Courier New"/>
          <w:sz w:val="15"/>
          <w:szCs w:val="15"/>
          <w:color w:val="auto"/>
        </w:rPr>
        <w:t>Our per megabit production costs may increase as a result of this transition to higher bandwidth products. If we are unable to successfully transition to higher bandwidth products, we may not be able to achieve our historical rate of cost per megabit reductions.</w:t>
      </w:r>
    </w:p>
    <w:p>
      <w:pPr>
        <w:spacing w:after="0" w:line="66" w:lineRule="exact"/>
        <w:rPr>
          <w:sz w:val="20"/>
          <w:szCs w:val="20"/>
          <w:color w:val="auto"/>
        </w:rPr>
      </w:pPr>
    </w:p>
    <w:p>
      <w:pPr>
        <w:ind w:right="3299"/>
        <w:spacing w:after="0" w:line="297" w:lineRule="auto"/>
        <w:rPr>
          <w:sz w:val="20"/>
          <w:szCs w:val="20"/>
          <w:color w:val="auto"/>
        </w:rPr>
      </w:pPr>
      <w:r>
        <w:rPr>
          <w:rFonts w:ascii="Courier New" w:cs="Courier New" w:eastAsia="Courier New" w:hAnsi="Courier New"/>
          <w:sz w:val="15"/>
          <w:szCs w:val="15"/>
          <w:color w:val="auto"/>
        </w:rPr>
        <w:t>We have enhanced our production processes in recent years which has led to an increase in megabit production, but we may not be able to continue to increase production at the same rate in the future</w:t>
      </w:r>
    </w:p>
    <w:p>
      <w:pPr>
        <w:spacing w:after="0" w:line="52" w:lineRule="exact"/>
        <w:rPr>
          <w:sz w:val="20"/>
          <w:szCs w:val="20"/>
          <w:color w:val="auto"/>
        </w:rPr>
      </w:pPr>
    </w:p>
    <w:p>
      <w:pPr>
        <w:ind w:right="3119" w:firstLine="178"/>
        <w:spacing w:after="0" w:line="255" w:lineRule="auto"/>
        <w:rPr>
          <w:sz w:val="20"/>
          <w:szCs w:val="20"/>
          <w:color w:val="auto"/>
        </w:rPr>
      </w:pPr>
      <w:r>
        <w:rPr>
          <w:rFonts w:ascii="Courier New" w:cs="Courier New" w:eastAsia="Courier New" w:hAnsi="Courier New"/>
          <w:sz w:val="15"/>
          <w:szCs w:val="15"/>
          <w:color w:val="auto"/>
        </w:rPr>
        <w:t>Historically, we have improved our production processes by reducing the die size of our existing products. As a result, we have decreased our per megabit production costs and significantly increased our megabit production. However, we may not be able to maintain this historical rate of increase in megabit production in the future. In addition, our manufacturing yield or production may decrease as we implement future technologies. We may also from time to time experience volatility in our manufacturing yields if we have problems ramping the latest shrink versions of existing devices or new generation devices to commercial volumes.</w:t>
      </w:r>
    </w:p>
    <w:p>
      <w:pPr>
        <w:spacing w:after="0" w:line="82" w:lineRule="exact"/>
        <w:rPr>
          <w:sz w:val="20"/>
          <w:szCs w:val="20"/>
          <w:color w:val="auto"/>
        </w:rPr>
      </w:pPr>
    </w:p>
    <w:p>
      <w:pPr>
        <w:ind w:right="3479"/>
        <w:spacing w:after="0" w:line="297" w:lineRule="auto"/>
        <w:rPr>
          <w:sz w:val="20"/>
          <w:szCs w:val="20"/>
          <w:color w:val="auto"/>
        </w:rPr>
      </w:pPr>
      <w:r>
        <w:rPr>
          <w:rFonts w:ascii="Courier New" w:cs="Courier New" w:eastAsia="Courier New" w:hAnsi="Courier New"/>
          <w:sz w:val="15"/>
          <w:szCs w:val="15"/>
          <w:color w:val="auto"/>
        </w:rPr>
        <w:t>Third parties may assert that our products and processes infringe their intellectual property rights. An adverse determination in this regard could adversely affect our results of operation and financial condition.</w:t>
      </w:r>
    </w:p>
    <w:p>
      <w:pPr>
        <w:spacing w:after="0" w:line="52" w:lineRule="exact"/>
        <w:rPr>
          <w:sz w:val="20"/>
          <w:szCs w:val="20"/>
          <w:color w:val="auto"/>
        </w:rPr>
      </w:pPr>
    </w:p>
    <w:p>
      <w:pPr>
        <w:ind w:right="3119" w:firstLine="178"/>
        <w:spacing w:after="0" w:line="248" w:lineRule="auto"/>
        <w:rPr>
          <w:sz w:val="20"/>
          <w:szCs w:val="20"/>
          <w:color w:val="auto"/>
        </w:rPr>
      </w:pPr>
      <w:r>
        <w:rPr>
          <w:rFonts w:ascii="Courier New" w:cs="Courier New" w:eastAsia="Courier New" w:hAnsi="Courier New"/>
          <w:sz w:val="15"/>
          <w:szCs w:val="15"/>
          <w:color w:val="auto"/>
        </w:rPr>
        <w:t>From time to time third parties have asserted, and may in the future assert, that our products or our processes may infringe product or process technology rights held by others. If there was a determination that our manufacturing processes or products infringed on the product or process rights held by others, we could have significant liabilities to third parties or be required to make material changes in our production processes. If our products infringed the rights of others or we had to modify our production processes, our business, results of operations or financial condition could be materially adversely affected. We have also entered into a number of patent and intellectual property license agreements with third parties. Some of these license agreements require us to make one-time or periodic royalty payments. We may also need to obtain additional patent licenses or to renew existing license agreements in the future. We are unable to predict whether these license agreements can be obtained or renewed on terms acceptable to us. If we are unable to obtain or renew these license agreements on acceptable terms, our business, results of operations or financial condition could be materially adversely affected.</w:t>
      </w:r>
    </w:p>
    <w:p>
      <w:pPr>
        <w:spacing w:after="0" w:line="87" w:lineRule="exact"/>
        <w:rPr>
          <w:sz w:val="20"/>
          <w:szCs w:val="20"/>
          <w:color w:val="auto"/>
        </w:rPr>
      </w:pPr>
    </w:p>
    <w:p>
      <w:pPr>
        <w:ind w:right="3399"/>
        <w:spacing w:after="0" w:line="353" w:lineRule="auto"/>
        <w:rPr>
          <w:sz w:val="20"/>
          <w:szCs w:val="20"/>
          <w:color w:val="auto"/>
        </w:rPr>
      </w:pPr>
      <w:r>
        <w:rPr>
          <w:rFonts w:ascii="Courier New" w:cs="Courier New" w:eastAsia="Courier New" w:hAnsi="Courier New"/>
          <w:sz w:val="15"/>
          <w:szCs w:val="15"/>
          <w:color w:val="auto"/>
        </w:rPr>
        <w:t>Interruptions in the availability of raw materials could adversely affect our results of operations</w:t>
      </w:r>
    </w:p>
    <w:p>
      <w:pPr>
        <w:spacing w:after="0" w:line="12" w:lineRule="exact"/>
        <w:rPr>
          <w:sz w:val="20"/>
          <w:szCs w:val="20"/>
          <w:color w:val="auto"/>
        </w:rPr>
      </w:pPr>
    </w:p>
    <w:p>
      <w:pPr>
        <w:ind w:right="3399" w:firstLine="178"/>
        <w:spacing w:after="0" w:line="269" w:lineRule="auto"/>
        <w:rPr>
          <w:sz w:val="20"/>
          <w:szCs w:val="20"/>
          <w:color w:val="auto"/>
        </w:rPr>
      </w:pPr>
      <w:r>
        <w:rPr>
          <w:rFonts w:ascii="Courier New" w:cs="Courier New" w:eastAsia="Courier New" w:hAnsi="Courier New"/>
          <w:sz w:val="15"/>
          <w:szCs w:val="15"/>
          <w:color w:val="auto"/>
        </w:rPr>
        <w:t>Our semiconductor operations require raw materials that must meet exacting standards. We generally have more than one source of supply for our raw materials. However, there are only a limited number of suppliers capable of delivering raw materials that meet our standards. If there is an increase in worldwide semiconductor</w:t>
      </w:r>
    </w:p>
    <w:p>
      <w:pPr>
        <w:spacing w:after="0" w:line="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05" w:right="1440" w:bottom="1440" w:gutter="0" w:footer="0" w:header="0"/>
        </w:sectPr>
      </w:pPr>
    </w:p>
    <w:bookmarkStart w:id="22" w:name="page23"/>
    <w:bookmarkEnd w:id="22"/>
    <w:p>
      <w:pPr>
        <w:ind w:right="3119"/>
        <w:spacing w:after="0" w:line="257" w:lineRule="auto"/>
        <w:rPr>
          <w:sz w:val="20"/>
          <w:szCs w:val="20"/>
          <w:color w:val="auto"/>
        </w:rPr>
      </w:pPr>
      <w:r>
        <w:rPr>
          <w:rFonts w:ascii="Courier New" w:cs="Courier New" w:eastAsia="Courier New" w:hAnsi="Courier New"/>
          <w:sz w:val="15"/>
          <w:szCs w:val="15"/>
          <w:color w:val="auto"/>
        </w:rPr>
        <w:t>manufacturing, the availability of raw materials may decrease. For example, silicon wafers, photomasks, chemicals, lead frames and molding compound may become difficult to obtain if there is an increase in semiconductor manufacturing. Our operations in the past have not been interrupted as a result of raw materials shortages. However, shortages may occur from time to time in the future. Lead times for the supply of raw materials have also been extended in the past. If our supply of raw materials is interrupted, our results of operations could be adversely affected.</w:t>
      </w:r>
    </w:p>
    <w:p>
      <w:pPr>
        <w:spacing w:after="0" w:line="80" w:lineRule="exact"/>
        <w:rPr>
          <w:sz w:val="20"/>
          <w:szCs w:val="20"/>
          <w:color w:val="auto"/>
        </w:rPr>
      </w:pPr>
    </w:p>
    <w:p>
      <w:pPr>
        <w:ind w:right="3479"/>
        <w:spacing w:after="0" w:line="353" w:lineRule="auto"/>
        <w:rPr>
          <w:sz w:val="20"/>
          <w:szCs w:val="20"/>
          <w:color w:val="auto"/>
        </w:rPr>
      </w:pPr>
      <w:r>
        <w:rPr>
          <w:rFonts w:ascii="Courier New" w:cs="Courier New" w:eastAsia="Courier New" w:hAnsi="Courier New"/>
          <w:sz w:val="15"/>
          <w:szCs w:val="15"/>
          <w:color w:val="auto"/>
        </w:rPr>
        <w:t>If our supply of memory products from our joint ventures is interrupted, our results of operations could be adversely affected</w:t>
      </w:r>
    </w:p>
    <w:p>
      <w:pPr>
        <w:spacing w:after="0" w:line="12" w:lineRule="exact"/>
        <w:rPr>
          <w:sz w:val="20"/>
          <w:szCs w:val="20"/>
          <w:color w:val="auto"/>
        </w:rPr>
      </w:pPr>
    </w:p>
    <w:p>
      <w:pPr>
        <w:ind w:right="3119" w:firstLine="178"/>
        <w:spacing w:after="0" w:line="259" w:lineRule="auto"/>
        <w:rPr>
          <w:sz w:val="20"/>
          <w:szCs w:val="20"/>
          <w:color w:val="auto"/>
        </w:rPr>
      </w:pPr>
      <w:r>
        <w:rPr>
          <w:rFonts w:ascii="Courier New" w:cs="Courier New" w:eastAsia="Courier New" w:hAnsi="Courier New"/>
          <w:sz w:val="15"/>
          <w:szCs w:val="15"/>
          <w:color w:val="auto"/>
        </w:rPr>
        <w:t>We are partners in two joint ventures that supply us with DRAMs. We have agreed to purchase all of our joint ventures' production, subject to specified terms and conditions. These joint ventures have historically required external financing to fund their operations and to transition to next generation technology. These joint ventures are also dependent on particular key personnel and have a limited number of sources for raw materials. Our supply from these joint ventures would be reduced if:</w:t>
      </w:r>
    </w:p>
    <w:p>
      <w:pPr>
        <w:spacing w:after="0" w:line="82" w:lineRule="exact"/>
        <w:rPr>
          <w:sz w:val="20"/>
          <w:szCs w:val="20"/>
          <w:color w:val="auto"/>
        </w:rPr>
      </w:pPr>
    </w:p>
    <w:p>
      <w:pPr>
        <w:ind w:left="880" w:hanging="445"/>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are unable to secure required external financing,</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experience a loss of key personnel,</w:t>
      </w:r>
    </w:p>
    <w:p>
      <w:pPr>
        <w:spacing w:after="0" w:line="171" w:lineRule="exact"/>
        <w:rPr>
          <w:sz w:val="20"/>
          <w:szCs w:val="20"/>
          <w:color w:val="auto"/>
        </w:rPr>
      </w:pPr>
    </w:p>
    <w:p>
      <w:pPr>
        <w:ind w:left="880" w:right="3219" w:hanging="445"/>
        <w:spacing w:after="0" w:line="353"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incur significant interruption in the delivery of raw materials, or</w:t>
      </w:r>
    </w:p>
    <w:p>
      <w:pPr>
        <w:spacing w:after="0" w:line="12" w:lineRule="exact"/>
        <w:rPr>
          <w:sz w:val="20"/>
          <w:szCs w:val="20"/>
          <w:color w:val="auto"/>
        </w:rPr>
      </w:pPr>
    </w:p>
    <w:p>
      <w:pPr>
        <w:ind w:left="880" w:hanging="445"/>
        <w:spacing w:after="0"/>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disruptions in their manufacturing process.</w:t>
      </w:r>
    </w:p>
    <w:p>
      <w:pPr>
        <w:spacing w:after="0" w:line="171" w:lineRule="exact"/>
        <w:rPr>
          <w:sz w:val="20"/>
          <w:szCs w:val="20"/>
          <w:color w:val="auto"/>
        </w:rPr>
      </w:pPr>
    </w:p>
    <w:p>
      <w:pPr>
        <w:ind w:right="3119"/>
        <w:spacing w:after="0" w:line="353" w:lineRule="auto"/>
        <w:rPr>
          <w:sz w:val="20"/>
          <w:szCs w:val="20"/>
          <w:color w:val="auto"/>
        </w:rPr>
      </w:pPr>
      <w:r>
        <w:rPr>
          <w:rFonts w:ascii="Courier New" w:cs="Courier New" w:eastAsia="Courier New" w:hAnsi="Courier New"/>
          <w:sz w:val="15"/>
          <w:szCs w:val="15"/>
          <w:color w:val="auto"/>
        </w:rPr>
        <w:t>Any reduction of supply, regardless of cause, could adversely affect our results of operations and cash flows.</w:t>
      </w:r>
    </w:p>
    <w:p>
      <w:pPr>
        <w:spacing w:after="0" w:line="12" w:lineRule="exact"/>
        <w:rPr>
          <w:sz w:val="20"/>
          <w:szCs w:val="20"/>
          <w:color w:val="auto"/>
        </w:rPr>
      </w:pPr>
    </w:p>
    <w:p>
      <w:pPr>
        <w:ind w:right="3579"/>
        <w:spacing w:after="0" w:line="387" w:lineRule="auto"/>
        <w:rPr>
          <w:sz w:val="20"/>
          <w:szCs w:val="20"/>
          <w:color w:val="auto"/>
        </w:rPr>
      </w:pPr>
      <w:r>
        <w:rPr>
          <w:rFonts w:ascii="Courier New" w:cs="Courier New" w:eastAsia="Courier New" w:hAnsi="Courier New"/>
          <w:sz w:val="14"/>
          <w:szCs w:val="14"/>
          <w:color w:val="auto"/>
        </w:rPr>
        <w:t>If we are unable to retain existing key employees or are unable to hire new qualified employees, our operating results could be adversely affected</w:t>
      </w:r>
    </w:p>
    <w:p>
      <w:pPr>
        <w:spacing w:after="0" w:line="1" w:lineRule="exact"/>
        <w:rPr>
          <w:sz w:val="20"/>
          <w:szCs w:val="20"/>
          <w:color w:val="auto"/>
        </w:rPr>
      </w:pPr>
    </w:p>
    <w:p>
      <w:pPr>
        <w:ind w:right="3299" w:firstLine="178"/>
        <w:spacing w:after="0" w:line="263" w:lineRule="auto"/>
        <w:rPr>
          <w:sz w:val="20"/>
          <w:szCs w:val="20"/>
          <w:color w:val="auto"/>
        </w:rPr>
      </w:pPr>
      <w:r>
        <w:rPr>
          <w:rFonts w:ascii="Courier New" w:cs="Courier New" w:eastAsia="Courier New" w:hAnsi="Courier New"/>
          <w:sz w:val="15"/>
          <w:szCs w:val="15"/>
          <w:color w:val="auto"/>
        </w:rPr>
        <w:t>We depend on a limited number of key management and technical personnel. Our future success depends in part on our ability to attract and retain highly qualified personnel in our worldwide operations, particularly as we add different product types. Competition for skilled management and technical employees is intense within our industry. Other employers have increased their recruitment of our existing personnel.</w:t>
      </w:r>
    </w:p>
    <w:p>
      <w:pPr>
        <w:spacing w:after="0" w:line="77" w:lineRule="exact"/>
        <w:rPr>
          <w:sz w:val="20"/>
          <w:szCs w:val="20"/>
          <w:color w:val="auto"/>
        </w:rPr>
      </w:pPr>
    </w:p>
    <w:p>
      <w:pPr>
        <w:ind w:right="3219"/>
        <w:spacing w:after="0" w:line="353" w:lineRule="auto"/>
        <w:rPr>
          <w:sz w:val="20"/>
          <w:szCs w:val="20"/>
          <w:color w:val="auto"/>
        </w:rPr>
      </w:pPr>
      <w:r>
        <w:rPr>
          <w:rFonts w:ascii="Courier New" w:cs="Courier New" w:eastAsia="Courier New" w:hAnsi="Courier New"/>
          <w:sz w:val="15"/>
          <w:szCs w:val="15"/>
          <w:color w:val="auto"/>
        </w:rPr>
        <w:t>We face risks associated with our international sales and operations that could adversely affect our operating results</w:t>
      </w:r>
    </w:p>
    <w:p>
      <w:pPr>
        <w:spacing w:after="0" w:line="12" w:lineRule="exact"/>
        <w:rPr>
          <w:sz w:val="20"/>
          <w:szCs w:val="20"/>
          <w:color w:val="auto"/>
        </w:rPr>
      </w:pPr>
    </w:p>
    <w:p>
      <w:pPr>
        <w:ind w:right="3119" w:firstLine="178"/>
        <w:spacing w:after="0" w:line="263" w:lineRule="auto"/>
        <w:rPr>
          <w:sz w:val="20"/>
          <w:szCs w:val="20"/>
          <w:color w:val="auto"/>
        </w:rPr>
      </w:pPr>
      <w:r>
        <w:rPr>
          <w:rFonts w:ascii="Courier New" w:cs="Courier New" w:eastAsia="Courier New" w:hAnsi="Courier New"/>
          <w:sz w:val="15"/>
          <w:szCs w:val="15"/>
          <w:color w:val="auto"/>
        </w:rPr>
        <w:t>International sales comprised approximately 36% of our consolidated net sales in the second quarter of fiscal 2000 and 37% of our consolidated net sales in the first six months of fiscal 2000. We expect international sales to continue to increase in the future. In addition, we have manufacturing operations in Italy, Singapore, Japan and Scotland. Our international sales and international operations are subject to a variety of risks, including:</w:t>
      </w:r>
    </w:p>
    <w:p>
      <w:pPr>
        <w:spacing w:after="0" w:line="77" w:lineRule="exact"/>
        <w:rPr>
          <w:sz w:val="20"/>
          <w:szCs w:val="20"/>
          <w:color w:val="auto"/>
        </w:rPr>
      </w:pPr>
    </w:p>
    <w:p>
      <w:pPr>
        <w:ind w:left="880" w:right="3479" w:hanging="445"/>
        <w:spacing w:after="0" w:line="353"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currency fluctuations, export duties, changes to import and export regulations and restrictions on the transfer of funds,</w:t>
      </w:r>
    </w:p>
    <w:p>
      <w:pPr>
        <w:spacing w:after="0" w:line="12" w:lineRule="exact"/>
        <w:rPr>
          <w:sz w:val="20"/>
          <w:szCs w:val="20"/>
          <w:color w:val="auto"/>
        </w:rPr>
      </w:pPr>
    </w:p>
    <w:p>
      <w:pPr>
        <w:ind w:left="880" w:hanging="445"/>
        <w:spacing w:after="0"/>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turnover and labor unrest,</w:t>
      </w:r>
    </w:p>
    <w:p>
      <w:pPr>
        <w:spacing w:after="0" w:line="171" w:lineRule="exact"/>
        <w:rPr>
          <w:sz w:val="20"/>
          <w:szCs w:val="20"/>
          <w:color w:val="auto"/>
        </w:rPr>
      </w:pPr>
    </w:p>
    <w:p>
      <w:pPr>
        <w:ind w:left="880" w:right="3399" w:hanging="445"/>
        <w:spacing w:after="0" w:line="353"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 and greater difficulty in collecting accounts receivable, and</w:t>
      </w:r>
    </w:p>
    <w:p>
      <w:pPr>
        <w:spacing w:after="0" w:line="12" w:lineRule="exact"/>
        <w:rPr>
          <w:sz w:val="20"/>
          <w:szCs w:val="20"/>
          <w:color w:val="auto"/>
        </w:rPr>
      </w:pPr>
    </w:p>
    <w:p>
      <w:pPr>
        <w:ind w:left="880" w:right="3399" w:hanging="445"/>
        <w:spacing w:after="0" w:line="353"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burdens and costs of compliance with a variety of international laws, and political and economic instability.</w:t>
      </w:r>
    </w:p>
    <w:p>
      <w:pPr>
        <w:spacing w:after="0" w:line="1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05" w:right="1440" w:bottom="1440" w:gutter="0" w:footer="0" w:header="0"/>
        </w:sectPr>
      </w:pPr>
    </w:p>
    <w:bookmarkStart w:id="23" w:name="page24"/>
    <w:bookmarkEnd w:id="23"/>
    <w:p>
      <w:pPr>
        <w:ind w:right="3659"/>
        <w:spacing w:after="0" w:line="353" w:lineRule="auto"/>
        <w:rPr>
          <w:sz w:val="20"/>
          <w:szCs w:val="20"/>
          <w:color w:val="auto"/>
        </w:rPr>
      </w:pPr>
      <w:r>
        <w:rPr>
          <w:rFonts w:ascii="Courier New" w:cs="Courier New" w:eastAsia="Courier New" w:hAnsi="Courier New"/>
          <w:sz w:val="15"/>
          <w:szCs w:val="15"/>
          <w:color w:val="auto"/>
        </w:rPr>
        <w:t>These factors may adversely impact our business, results of operations and financial condition.</w:t>
      </w:r>
    </w:p>
    <w:p>
      <w:pPr>
        <w:spacing w:after="0" w:line="12" w:lineRule="exact"/>
        <w:rPr>
          <w:sz w:val="20"/>
          <w:szCs w:val="20"/>
          <w:color w:val="auto"/>
        </w:rPr>
      </w:pPr>
    </w:p>
    <w:p>
      <w:pPr>
        <w:jc w:val="both"/>
        <w:ind w:right="3299"/>
        <w:spacing w:after="0" w:line="297" w:lineRule="auto"/>
        <w:rPr>
          <w:sz w:val="20"/>
          <w:szCs w:val="20"/>
          <w:color w:val="auto"/>
        </w:rPr>
      </w:pPr>
      <w:r>
        <w:rPr>
          <w:rFonts w:ascii="Courier New" w:cs="Courier New" w:eastAsia="Courier New" w:hAnsi="Courier New"/>
          <w:sz w:val="15"/>
          <w:szCs w:val="15"/>
          <w:color w:val="auto"/>
        </w:rPr>
        <w:t>If our subsidiary Micron Electronics, Inc. fails to effectively compete in the highly competitive PC and e-services industry, our results of operations could be adversely affected</w:t>
      </w:r>
    </w:p>
    <w:p>
      <w:pPr>
        <w:spacing w:after="0" w:line="52" w:lineRule="exact"/>
        <w:rPr>
          <w:sz w:val="20"/>
          <w:szCs w:val="20"/>
          <w:color w:val="auto"/>
        </w:rPr>
      </w:pPr>
    </w:p>
    <w:p>
      <w:pPr>
        <w:ind w:right="3119" w:firstLine="178"/>
        <w:spacing w:after="0" w:line="285" w:lineRule="auto"/>
        <w:rPr>
          <w:sz w:val="20"/>
          <w:szCs w:val="20"/>
          <w:color w:val="auto"/>
        </w:rPr>
      </w:pPr>
      <w:r>
        <w:rPr>
          <w:rFonts w:ascii="Courier New" w:cs="Courier New" w:eastAsia="Courier New" w:hAnsi="Courier New"/>
          <w:sz w:val="14"/>
          <w:szCs w:val="14"/>
          <w:color w:val="auto"/>
        </w:rPr>
        <w:t>Historically, our operations have been affected by the operating results of Micron Electronics, Inc. ("MEI"), a PC and e-services business. MEI is a publicly traded company in which we own a majority of the common stock. MEI's results of operations, and the potential effect upon our results of operations, are linked to MEI's ability to effectively compete in the PC and e-services market places. This success depends on many factors, including MEI's ability to:</w:t>
      </w:r>
    </w:p>
    <w:p>
      <w:pPr>
        <w:spacing w:after="0" w:line="65" w:lineRule="exact"/>
        <w:rPr>
          <w:sz w:val="20"/>
          <w:szCs w:val="20"/>
          <w:color w:val="auto"/>
        </w:rPr>
      </w:pPr>
    </w:p>
    <w:p>
      <w:pPr>
        <w:ind w:left="880" w:right="3479" w:hanging="445"/>
        <w:spacing w:after="0" w:line="353"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accurately forecast technology trends, design and introduce new PC products and correctly identify demand for such products,</w:t>
      </w:r>
    </w:p>
    <w:p>
      <w:pPr>
        <w:spacing w:after="0" w:line="12" w:lineRule="exact"/>
        <w:rPr>
          <w:sz w:val="20"/>
          <w:szCs w:val="20"/>
          <w:color w:val="auto"/>
        </w:rPr>
      </w:pPr>
    </w:p>
    <w:p>
      <w:pPr>
        <w:ind w:left="880" w:right="4019" w:hanging="445"/>
        <w:spacing w:after="0" w:line="387" w:lineRule="auto"/>
        <w:tabs>
          <w:tab w:leader="none" w:pos="8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effectively manage materials and finished goods inventories, manufacturing constraints, and component costs,</w:t>
      </w:r>
    </w:p>
    <w:p>
      <w:pPr>
        <w:spacing w:after="0" w:line="1" w:lineRule="exact"/>
        <w:rPr>
          <w:sz w:val="20"/>
          <w:szCs w:val="20"/>
          <w:color w:val="auto"/>
        </w:rPr>
      </w:pPr>
    </w:p>
    <w:p>
      <w:pPr>
        <w:ind w:left="880" w:right="3299" w:hanging="445"/>
        <w:spacing w:after="0" w:line="353"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 market share and effectively market PC products directly to end customers relative to MEI's competitors, and</w:t>
      </w:r>
    </w:p>
    <w:p>
      <w:pPr>
        <w:spacing w:after="0" w:line="12" w:lineRule="exact"/>
        <w:rPr>
          <w:sz w:val="20"/>
          <w:szCs w:val="20"/>
          <w:color w:val="auto"/>
        </w:rPr>
      </w:pPr>
    </w:p>
    <w:p>
      <w:pPr>
        <w:ind w:left="880" w:right="3659" w:hanging="445"/>
        <w:spacing w:after="0" w:line="297"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identify value added e-services solutions, build an e-services infrastructure to deliver such solutions and generate e-services customers at acceptable margins.</w:t>
      </w:r>
    </w:p>
    <w:p>
      <w:pPr>
        <w:spacing w:after="0" w:line="52" w:lineRule="exact"/>
        <w:rPr>
          <w:sz w:val="20"/>
          <w:szCs w:val="20"/>
          <w:color w:val="auto"/>
        </w:rPr>
      </w:pPr>
    </w:p>
    <w:p>
      <w:pPr>
        <w:ind w:right="3479"/>
        <w:spacing w:after="0" w:line="353" w:lineRule="auto"/>
        <w:rPr>
          <w:sz w:val="20"/>
          <w:szCs w:val="20"/>
          <w:color w:val="auto"/>
        </w:rPr>
      </w:pPr>
      <w:r>
        <w:rPr>
          <w:rFonts w:ascii="Courier New" w:cs="Courier New" w:eastAsia="Courier New" w:hAnsi="Courier New"/>
          <w:sz w:val="15"/>
          <w:szCs w:val="15"/>
          <w:color w:val="auto"/>
        </w:rPr>
        <w:t>If MEI fails to effectively compete in the PC and e-services industries, our results of operations could be adversely affected.</w:t>
      </w:r>
    </w:p>
    <w:p>
      <w:pPr>
        <w:spacing w:after="0" w:line="12" w:lineRule="exact"/>
        <w:rPr>
          <w:sz w:val="20"/>
          <w:szCs w:val="20"/>
          <w:color w:val="auto"/>
        </w:rPr>
      </w:pPr>
    </w:p>
    <w:p>
      <w:pPr>
        <w:ind w:right="3399"/>
        <w:spacing w:after="0" w:line="353" w:lineRule="auto"/>
        <w:rPr>
          <w:sz w:val="20"/>
          <w:szCs w:val="20"/>
          <w:color w:val="auto"/>
        </w:rPr>
      </w:pPr>
      <w:r>
        <w:rPr>
          <w:rFonts w:ascii="Courier New" w:cs="Courier New" w:eastAsia="Courier New" w:hAnsi="Courier New"/>
          <w:sz w:val="15"/>
          <w:szCs w:val="15"/>
          <w:color w:val="auto"/>
        </w:rPr>
        <w:t>We may not be able to generate sufficient cash flow to fund our operations if average selling prices of memory products decline</w:t>
      </w:r>
    </w:p>
    <w:p>
      <w:pPr>
        <w:spacing w:after="0" w:line="12" w:lineRule="exact"/>
        <w:rPr>
          <w:sz w:val="20"/>
          <w:szCs w:val="20"/>
          <w:color w:val="auto"/>
        </w:rPr>
      </w:pPr>
    </w:p>
    <w:p>
      <w:pPr>
        <w:ind w:right="3119" w:firstLine="178"/>
        <w:spacing w:after="0" w:line="251" w:lineRule="auto"/>
        <w:rPr>
          <w:sz w:val="20"/>
          <w:szCs w:val="20"/>
          <w:color w:val="auto"/>
        </w:rPr>
      </w:pPr>
      <w:r>
        <w:rPr>
          <w:rFonts w:ascii="Courier New" w:cs="Courier New" w:eastAsia="Courier New" w:hAnsi="Courier New"/>
          <w:sz w:val="15"/>
          <w:szCs w:val="15"/>
          <w:color w:val="auto"/>
        </w:rPr>
        <w:t>Substantially all of our cash flow from semiconductor operations has historically been invested in capacity expansion and enhancement programs. Our cash flow from operations depends primarily on average selling prices and per megabit manufacturing costs of our semiconductor memory products. If average selling prices decline faster than the rate we are able to decrease our per megabit manufacturing costs, we may not be able to generate sufficient cash flows to sustain our operations. We may not be able to obtain other external sources of liquidity to fund our operations or our capacity and product and process technology enhancement programs. If we were unable to obtain additional financing, we may not be able to make investments in the enhancement programs, which could materially adversely affect our business, results of operations and financial condition.</w:t>
      </w:r>
    </w:p>
    <w:p>
      <w:pPr>
        <w:spacing w:after="0" w:line="86" w:lineRule="exact"/>
        <w:rPr>
          <w:sz w:val="20"/>
          <w:szCs w:val="20"/>
          <w:color w:val="auto"/>
        </w:rPr>
      </w:pPr>
    </w:p>
    <w:p>
      <w:pPr>
        <w:ind w:right="3119"/>
        <w:spacing w:after="0" w:line="353" w:lineRule="auto"/>
        <w:rPr>
          <w:sz w:val="20"/>
          <w:szCs w:val="20"/>
          <w:color w:val="auto"/>
        </w:rPr>
      </w:pPr>
      <w:r>
        <w:rPr>
          <w:rFonts w:ascii="Courier New" w:cs="Courier New" w:eastAsia="Courier New" w:hAnsi="Courier New"/>
          <w:sz w:val="15"/>
          <w:szCs w:val="15"/>
          <w:color w:val="auto"/>
        </w:rPr>
        <w:t>Two of our shareholders own a significant portion of our common stock that could limit our ability to raise additional equity capital</w:t>
      </w:r>
    </w:p>
    <w:p>
      <w:pPr>
        <w:spacing w:after="0" w:line="12" w:lineRule="exact"/>
        <w:rPr>
          <w:sz w:val="20"/>
          <w:szCs w:val="20"/>
          <w:color w:val="auto"/>
        </w:rPr>
      </w:pPr>
    </w:p>
    <w:p>
      <w:pPr>
        <w:ind w:right="3119" w:firstLine="178"/>
        <w:spacing w:after="0" w:line="273" w:lineRule="auto"/>
        <w:rPr>
          <w:sz w:val="20"/>
          <w:szCs w:val="20"/>
          <w:color w:val="auto"/>
        </w:rPr>
      </w:pPr>
      <w:r>
        <w:rPr>
          <w:rFonts w:ascii="Courier New" w:cs="Courier New" w:eastAsia="Courier New" w:hAnsi="Courier New"/>
          <w:sz w:val="14"/>
          <w:szCs w:val="14"/>
          <w:color w:val="auto"/>
        </w:rPr>
        <w:t>As of March 2, 2000, Texas Instruments Incorporated and Intel Corporation held an aggregate of 44,743,369 shares of common stock, representing 16% of our total outstanding common stock. We have not registered these shares with the Commission. However, Texas Instruments and Intel each have registration rights. Until such time as Texas Instruments and Intel substantially reduce their common stock holdings, we may be limited in raising additional financing through equity or equity-linked offerings. Texas Instruments also holds notes with a face value of $740 million which are convertible into 12,333,333 shares of our common stock. Texas Instruments' resale of these notes could affect our ability to raise capital through the issuance of additional convertible debt instruments.</w:t>
      </w:r>
    </w:p>
    <w:p>
      <w:pPr>
        <w:spacing w:after="0" w:line="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05" w:right="1440" w:bottom="1440" w:gutter="0" w:footer="0" w:header="0"/>
        </w:sectPr>
      </w:pPr>
    </w:p>
    <w:bookmarkStart w:id="24" w:name="page25"/>
    <w:bookmarkEnd w:id="24"/>
    <w:p>
      <w:pPr>
        <w:spacing w:after="0"/>
        <w:tabs>
          <w:tab w:leader="none" w:pos="7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5" w:lineRule="exact"/>
        <w:rPr>
          <w:sz w:val="20"/>
          <w:szCs w:val="20"/>
          <w:color w:val="auto"/>
        </w:rPr>
      </w:pPr>
    </w:p>
    <w:p>
      <w:pPr>
        <w:ind w:right="3119" w:firstLine="178"/>
        <w:spacing w:after="0" w:line="252" w:lineRule="auto"/>
        <w:rPr>
          <w:sz w:val="20"/>
          <w:szCs w:val="20"/>
          <w:color w:val="auto"/>
        </w:rPr>
      </w:pPr>
      <w:r>
        <w:rPr>
          <w:rFonts w:ascii="Courier New" w:cs="Courier New" w:eastAsia="Courier New" w:hAnsi="Courier New"/>
          <w:sz w:val="15"/>
          <w:szCs w:val="15"/>
          <w:color w:val="auto"/>
        </w:rPr>
        <w:t>Substantially all of the Company's liquid investments and long-term debt are at fixed interest rates; therefore, the fair value of these instruments is affected by changes in market interest rates. However, substantially all of the Company's liquid investments mature within one year. As a result, the Company believes that the market risk arising from its holdings of financial instruments is minimal. As of March 2, 2000, the Company held aggregate cash and receivables in foreign currency valued at approximately US $53 million and aggregate foreign currency payables valued at approximately US $97 million (including long-term liabilities denominated in Euros valued at approximately US $17 million). Foreign currency receivables and payables are comprised primarily of Euros, Singapore Dollars and British Pounds.</w:t>
      </w:r>
    </w:p>
    <w:p>
      <w:pPr>
        <w:spacing w:after="0" w:line="8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05" w:right="1440" w:bottom="1440" w:gutter="0" w:footer="0" w:header="0"/>
        </w:sectPr>
      </w:pPr>
    </w:p>
    <w:bookmarkStart w:id="25" w:name="page26"/>
    <w:bookmarkEnd w:id="25"/>
    <w:p>
      <w:pPr>
        <w:ind w:left="2309"/>
        <w:spacing w:after="0"/>
        <w:tabs>
          <w:tab w:leader="none" w:pos="3169"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1"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Shareholders</w:t>
      </w:r>
    </w:p>
    <w:p>
      <w:pPr>
        <w:spacing w:after="0" w:line="2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45" w:lineRule="exact"/>
        <w:rPr>
          <w:sz w:val="20"/>
          <w:szCs w:val="20"/>
          <w:color w:val="auto"/>
        </w:rPr>
      </w:pPr>
    </w:p>
    <w:p>
      <w:pPr>
        <w:ind w:left="9" w:right="3299" w:firstLine="178"/>
        <w:spacing w:after="0" w:line="297" w:lineRule="auto"/>
        <w:rPr>
          <w:sz w:val="20"/>
          <w:szCs w:val="20"/>
          <w:color w:val="auto"/>
        </w:rPr>
      </w:pPr>
      <w:r>
        <w:rPr>
          <w:rFonts w:ascii="Courier New" w:cs="Courier New" w:eastAsia="Courier New" w:hAnsi="Courier New"/>
          <w:sz w:val="15"/>
          <w:szCs w:val="15"/>
          <w:color w:val="auto"/>
        </w:rPr>
        <w:t>The registrant's 1999 Annual Meeting of Shareholders was held on January 18, 2000. At the meeting, the following items were submitted to a vote of the shareholders:</w:t>
      </w:r>
    </w:p>
    <w:p>
      <w:pPr>
        <w:spacing w:after="0" w:line="52" w:lineRule="exact"/>
        <w:rPr>
          <w:sz w:val="20"/>
          <w:szCs w:val="20"/>
          <w:color w:val="auto"/>
        </w:rPr>
      </w:pPr>
    </w:p>
    <w:p>
      <w:pPr>
        <w:ind w:left="9" w:right="3219" w:firstLine="169"/>
        <w:spacing w:after="0" w:line="297" w:lineRule="auto"/>
        <w:tabs>
          <w:tab w:leader="none" w:pos="54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nominees for Directors were elected. Each person elected as a Director will serve until the next annual meeting of shareholders or until such person's successor is elected and qualified.</w:t>
      </w:r>
    </w:p>
    <w:p>
      <w:pPr>
        <w:spacing w:after="0" w:line="52"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2480" w:type="dxa"/>
            <w:vAlign w:val="bottom"/>
            <w:vMerge w:val="restart"/>
          </w:tcPr>
          <w:p>
            <w:pPr>
              <w:spacing w:after="0"/>
              <w:rPr>
                <w:sz w:val="20"/>
                <w:szCs w:val="20"/>
                <w:color w:val="auto"/>
              </w:rPr>
            </w:pPr>
            <w:r>
              <w:rPr>
                <w:rFonts w:ascii="Courier New" w:cs="Courier New" w:eastAsia="Courier New" w:hAnsi="Courier New"/>
                <w:sz w:val="15"/>
                <w:szCs w:val="15"/>
                <w:color w:val="auto"/>
              </w:rPr>
              <w:t>Name of Nominee</w:t>
            </w:r>
          </w:p>
        </w:tc>
        <w:tc>
          <w:tcPr>
            <w:tcW w:w="2220" w:type="dxa"/>
            <w:vAlign w:val="bottom"/>
          </w:tcPr>
          <w:p>
            <w:pPr>
              <w:jc w:val="center"/>
              <w:ind w:right="306"/>
              <w:spacing w:after="0"/>
              <w:rPr>
                <w:sz w:val="20"/>
                <w:szCs w:val="20"/>
                <w:color w:val="auto"/>
              </w:rPr>
            </w:pPr>
            <w:r>
              <w:rPr>
                <w:rFonts w:ascii="Courier New" w:cs="Courier New" w:eastAsia="Courier New" w:hAnsi="Courier New"/>
                <w:sz w:val="15"/>
                <w:szCs w:val="15"/>
                <w:color w:val="auto"/>
                <w:w w:val="97"/>
              </w:rPr>
              <w:t>Votes</w:t>
            </w:r>
          </w:p>
        </w:tc>
        <w:tc>
          <w:tcPr>
            <w:tcW w:w="22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Votes Cast</w:t>
            </w:r>
          </w:p>
        </w:tc>
        <w:tc>
          <w:tcPr>
            <w:tcW w:w="0" w:type="dxa"/>
            <w:vAlign w:val="bottom"/>
          </w:tcPr>
          <w:p>
            <w:pPr>
              <w:spacing w:after="0"/>
              <w:rPr>
                <w:sz w:val="1"/>
                <w:szCs w:val="1"/>
                <w:color w:val="auto"/>
              </w:rPr>
            </w:pPr>
          </w:p>
        </w:tc>
      </w:tr>
      <w:tr>
        <w:trPr>
          <w:trHeight w:val="171"/>
        </w:trPr>
        <w:tc>
          <w:tcPr>
            <w:tcW w:w="2480" w:type="dxa"/>
            <w:vAlign w:val="bottom"/>
            <w:vMerge w:val="continue"/>
          </w:tcPr>
          <w:p>
            <w:pPr>
              <w:spacing w:after="0"/>
              <w:rPr>
                <w:sz w:val="14"/>
                <w:szCs w:val="14"/>
                <w:color w:val="auto"/>
              </w:rPr>
            </w:pPr>
          </w:p>
        </w:tc>
        <w:tc>
          <w:tcPr>
            <w:tcW w:w="22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Cast For</w:t>
            </w:r>
          </w:p>
        </w:tc>
        <w:tc>
          <w:tcPr>
            <w:tcW w:w="22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Against/Withheld</w:t>
            </w:r>
          </w:p>
        </w:tc>
        <w:tc>
          <w:tcPr>
            <w:tcW w:w="0" w:type="dxa"/>
            <w:vAlign w:val="bottom"/>
          </w:tcPr>
          <w:p>
            <w:pPr>
              <w:spacing w:after="0"/>
              <w:rPr>
                <w:sz w:val="1"/>
                <w:szCs w:val="1"/>
                <w:color w:val="auto"/>
              </w:rPr>
            </w:pPr>
          </w:p>
        </w:tc>
      </w:tr>
      <w:tr>
        <w:trPr>
          <w:trHeight w:val="249"/>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Steven R. Appleton</w:t>
            </w:r>
          </w:p>
        </w:tc>
        <w:tc>
          <w:tcPr>
            <w:tcW w:w="222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227,100,536</w:t>
            </w:r>
          </w:p>
        </w:tc>
        <w:tc>
          <w:tcPr>
            <w:tcW w:w="22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5,856,317</w:t>
            </w:r>
          </w:p>
        </w:tc>
        <w:tc>
          <w:tcPr>
            <w:tcW w:w="0" w:type="dxa"/>
            <w:vAlign w:val="bottom"/>
          </w:tcPr>
          <w:p>
            <w:pPr>
              <w:spacing w:after="0"/>
              <w:rPr>
                <w:sz w:val="1"/>
                <w:szCs w:val="1"/>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James W. Bagley</w:t>
            </w:r>
          </w:p>
        </w:tc>
        <w:tc>
          <w:tcPr>
            <w:tcW w:w="222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227,048,701</w:t>
            </w:r>
          </w:p>
        </w:tc>
        <w:tc>
          <w:tcPr>
            <w:tcW w:w="22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5,908,152</w:t>
            </w:r>
          </w:p>
        </w:tc>
        <w:tc>
          <w:tcPr>
            <w:tcW w:w="0" w:type="dxa"/>
            <w:vAlign w:val="bottom"/>
          </w:tcPr>
          <w:p>
            <w:pPr>
              <w:spacing w:after="0"/>
              <w:rPr>
                <w:sz w:val="1"/>
                <w:szCs w:val="1"/>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Robert A. Lothrop</w:t>
            </w:r>
          </w:p>
        </w:tc>
        <w:tc>
          <w:tcPr>
            <w:tcW w:w="222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227,075,638</w:t>
            </w:r>
          </w:p>
        </w:tc>
        <w:tc>
          <w:tcPr>
            <w:tcW w:w="22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5,881,215</w:t>
            </w:r>
          </w:p>
        </w:tc>
        <w:tc>
          <w:tcPr>
            <w:tcW w:w="0" w:type="dxa"/>
            <w:vAlign w:val="bottom"/>
          </w:tcPr>
          <w:p>
            <w:pPr>
              <w:spacing w:after="0"/>
              <w:rPr>
                <w:sz w:val="1"/>
                <w:szCs w:val="1"/>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Thomas T. Nicholson</w:t>
            </w:r>
          </w:p>
        </w:tc>
        <w:tc>
          <w:tcPr>
            <w:tcW w:w="222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227,089,568</w:t>
            </w:r>
          </w:p>
        </w:tc>
        <w:tc>
          <w:tcPr>
            <w:tcW w:w="22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5,867,285</w:t>
            </w:r>
          </w:p>
        </w:tc>
        <w:tc>
          <w:tcPr>
            <w:tcW w:w="0" w:type="dxa"/>
            <w:vAlign w:val="bottom"/>
          </w:tcPr>
          <w:p>
            <w:pPr>
              <w:spacing w:after="0"/>
              <w:rPr>
                <w:sz w:val="1"/>
                <w:szCs w:val="1"/>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Don J. Simplot</w:t>
            </w:r>
          </w:p>
        </w:tc>
        <w:tc>
          <w:tcPr>
            <w:tcW w:w="222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227,030,536</w:t>
            </w:r>
          </w:p>
        </w:tc>
        <w:tc>
          <w:tcPr>
            <w:tcW w:w="22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5,926,317</w:t>
            </w:r>
          </w:p>
        </w:tc>
        <w:tc>
          <w:tcPr>
            <w:tcW w:w="0" w:type="dxa"/>
            <w:vAlign w:val="bottom"/>
          </w:tcPr>
          <w:p>
            <w:pPr>
              <w:spacing w:after="0"/>
              <w:rPr>
                <w:sz w:val="1"/>
                <w:szCs w:val="1"/>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Gordon C. Smith</w:t>
            </w:r>
          </w:p>
        </w:tc>
        <w:tc>
          <w:tcPr>
            <w:tcW w:w="222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227,070,066</w:t>
            </w:r>
          </w:p>
        </w:tc>
        <w:tc>
          <w:tcPr>
            <w:tcW w:w="22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5,886,787</w:t>
            </w:r>
          </w:p>
        </w:tc>
        <w:tc>
          <w:tcPr>
            <w:tcW w:w="0" w:type="dxa"/>
            <w:vAlign w:val="bottom"/>
          </w:tcPr>
          <w:p>
            <w:pPr>
              <w:spacing w:after="0"/>
              <w:rPr>
                <w:sz w:val="1"/>
                <w:szCs w:val="1"/>
                <w:color w:val="auto"/>
              </w:rPr>
            </w:pPr>
          </w:p>
        </w:tc>
      </w:tr>
      <w:tr>
        <w:trPr>
          <w:trHeight w:val="249"/>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William P. Weber</w:t>
            </w:r>
          </w:p>
        </w:tc>
        <w:tc>
          <w:tcPr>
            <w:tcW w:w="222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227,108,056</w:t>
            </w:r>
          </w:p>
        </w:tc>
        <w:tc>
          <w:tcPr>
            <w:tcW w:w="22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5,848,797</w:t>
            </w: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9" w:right="3219" w:firstLine="169"/>
        <w:spacing w:after="0" w:line="326" w:lineRule="auto"/>
        <w:tabs>
          <w:tab w:leader="none" w:pos="541"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renewal of the Company's current Executive Bonus Plan for purposes of Section 162(m) of the Internal Revenue Code was approved with 207,090,272 votes in favor, 24,960,562 votes against, 906,019 abstentions and 0 broker non-votes.</w:t>
      </w:r>
    </w:p>
    <w:p>
      <w:pPr>
        <w:spacing w:after="0" w:line="36" w:lineRule="exact"/>
        <w:rPr>
          <w:rFonts w:ascii="Courier New" w:cs="Courier New" w:eastAsia="Courier New" w:hAnsi="Courier New"/>
          <w:sz w:val="14"/>
          <w:szCs w:val="14"/>
          <w:color w:val="auto"/>
        </w:rPr>
      </w:pPr>
    </w:p>
    <w:p>
      <w:pPr>
        <w:ind w:left="9" w:right="3479" w:firstLine="169"/>
        <w:spacing w:after="0" w:line="278" w:lineRule="auto"/>
        <w:tabs>
          <w:tab w:leader="none" w:pos="541"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ratification of the appointment of PricewaterhouseCoopers LLP as independent accountants of the Company for the fiscal year ending August 31, 2000, was approved with 232,116,910 votes in favor, 219,423 votes against, 620,520 abstentions and 0 broker non-votes.</w:t>
      </w:r>
    </w:p>
    <w:p>
      <w:pPr>
        <w:spacing w:after="0" w:line="66"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2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45" w:lineRule="exact"/>
        <w:rPr>
          <w:sz w:val="20"/>
          <w:szCs w:val="20"/>
          <w:color w:val="auto"/>
        </w:rPr>
      </w:pPr>
    </w:p>
    <w:p>
      <w:pPr>
        <w:ind w:left="449" w:hanging="449"/>
        <w:spacing w:after="0"/>
        <w:tabs>
          <w:tab w:leader="none" w:pos="44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are filed as a part of this report:</w:t>
      </w:r>
    </w:p>
    <w:p>
      <w:pPr>
        <w:spacing w:after="0" w:line="171" w:lineRule="exact"/>
        <w:rPr>
          <w:sz w:val="20"/>
          <w:szCs w:val="20"/>
          <w:color w:val="auto"/>
        </w:rPr>
      </w:pPr>
    </w:p>
    <w:tbl>
      <w:tblPr>
        <w:tblLayout w:type="fixed"/>
        <w:tblInd w:w="449" w:type="dxa"/>
        <w:tblCellMar>
          <w:top w:w="0" w:type="dxa"/>
          <w:left w:w="0" w:type="dxa"/>
          <w:bottom w:w="0" w:type="dxa"/>
          <w:right w:w="0" w:type="dxa"/>
        </w:tblCellMar>
      </w:tblP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8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Description of Exhibit</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27</w:t>
      </w:r>
      <w:r>
        <w:rPr>
          <w:rFonts w:ascii="Courier New" w:cs="Courier New" w:eastAsia="Courier New" w:hAnsi="Courier New"/>
          <w:sz w:val="14"/>
          <w:szCs w:val="14"/>
          <w:color w:val="auto"/>
        </w:rPr>
        <w:t>Financial Data Schedule</w:t>
      </w:r>
    </w:p>
    <w:p>
      <w:pPr>
        <w:spacing w:after="0" w:line="171" w:lineRule="exact"/>
        <w:rPr>
          <w:sz w:val="20"/>
          <w:szCs w:val="20"/>
          <w:color w:val="auto"/>
        </w:rPr>
      </w:pPr>
    </w:p>
    <w:p>
      <w:pPr>
        <w:ind w:left="449" w:right="3659" w:hanging="449"/>
        <w:spacing w:after="0" w:line="353" w:lineRule="auto"/>
        <w:tabs>
          <w:tab w:leader="none" w:pos="4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did not file any reports on Form 8-K during the fiscal quarter ended March 2, 2000.</w:t>
      </w:r>
    </w:p>
    <w:p>
      <w:pPr>
        <w:spacing w:after="0" w:line="1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8"/>
          </w:cols>
          <w:pgMar w:left="231" w:top="605" w:right="1440" w:bottom="1440" w:gutter="0" w:footer="0" w:header="0"/>
        </w:sectPr>
      </w:pPr>
    </w:p>
    <w:bookmarkStart w:id="26" w:name="page27"/>
    <w:bookmarkEnd w:id="26"/>
    <w:p>
      <w:pPr>
        <w:jc w:val="center"/>
        <w:ind w:right="3299"/>
        <w:spacing w:after="0"/>
        <w:rPr>
          <w:sz w:val="20"/>
          <w:szCs w:val="20"/>
          <w:color w:val="auto"/>
        </w:rPr>
      </w:pPr>
      <w:r>
        <w:rPr>
          <w:rFonts w:ascii="Courier New" w:cs="Courier New" w:eastAsia="Courier New" w:hAnsi="Courier New"/>
          <w:sz w:val="15"/>
          <w:szCs w:val="15"/>
          <w:color w:val="auto"/>
        </w:rPr>
        <w:t>SIGNATURES</w:t>
      </w:r>
    </w:p>
    <w:p>
      <w:pPr>
        <w:spacing w:after="0" w:line="171" w:lineRule="exact"/>
        <w:rPr>
          <w:sz w:val="20"/>
          <w:szCs w:val="20"/>
          <w:color w:val="auto"/>
        </w:rPr>
      </w:pPr>
    </w:p>
    <w:p>
      <w:pPr>
        <w:ind w:right="3659" w:firstLine="178"/>
        <w:spacing w:after="0" w:line="29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5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Micron Technology, Inc.</w:t>
      </w:r>
    </w:p>
    <w:p>
      <w:pPr>
        <w:spacing w:after="0" w:line="2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605"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April 10,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right="3299"/>
        <w:spacing w:after="0" w:line="269" w:lineRule="auto"/>
        <w:rPr>
          <w:sz w:val="20"/>
          <w:szCs w:val="20"/>
          <w:color w:val="auto"/>
        </w:rPr>
      </w:pPr>
      <w:r>
        <w:rPr>
          <w:rFonts w:ascii="Courier New" w:cs="Courier New" w:eastAsia="Courier New" w:hAnsi="Courier New"/>
          <w:sz w:val="15"/>
          <w:szCs w:val="15"/>
          <w:color w:val="auto"/>
        </w:rPr>
        <w:t>/s/ Wilbur G. Stover, Jr. ------------------------------------------------ Wilbur G. Stover, Jr., Vice President of Finance and Chief Financial Officer (Principal Financial and Accounting Officer)</w:t>
      </w:r>
    </w:p>
    <w:p>
      <w:pPr>
        <w:spacing w:after="0" w:line="72" w:lineRule="exact"/>
        <w:rPr>
          <w:sz w:val="20"/>
          <w:szCs w:val="20"/>
          <w:color w:val="auto"/>
        </w:rPr>
      </w:pPr>
    </w:p>
    <w:p>
      <w:pPr>
        <w:sectPr>
          <w:pgSz w:w="11900" w:h="16838" w:orient="portrait"/>
          <w:cols w:equalWidth="0" w:num="2">
            <w:col w:w="1940" w:space="720"/>
            <w:col w:w="7559"/>
          </w:cols>
          <w:pgMar w:left="240" w:top="605" w:right="1440" w:bottom="1440" w:gutter="0" w:footer="0" w:header="0"/>
          <w:type w:val="continuous"/>
        </w:sectPr>
      </w:pPr>
    </w:p>
    <w:p>
      <w:pPr>
        <w:ind w:left="3460"/>
        <w:spacing w:after="0"/>
        <w:rPr>
          <w:sz w:val="20"/>
          <w:szCs w:val="20"/>
          <w:color w:val="auto"/>
        </w:rPr>
      </w:pPr>
      <w:r>
        <w:rPr>
          <w:rFonts w:ascii="Courier New" w:cs="Courier New" w:eastAsia="Courier New" w:hAnsi="Courier New"/>
          <w:sz w:val="13"/>
          <w:szCs w:val="13"/>
          <w:color w:val="auto"/>
        </w:rPr>
        <w:t>26</w:t>
      </w:r>
    </w:p>
    <w:p>
      <w:pPr>
        <w:sectPr>
          <w:pgSz w:w="11900" w:h="16838" w:orient="portrait"/>
          <w:cols w:equalWidth="0" w:num="1">
            <w:col w:w="10219"/>
          </w:cols>
          <w:pgMar w:left="240" w:top="605" w:right="1440" w:bottom="1440" w:gutter="0" w:footer="0" w:header="0"/>
          <w:type w:val="continuous"/>
        </w:sectPr>
      </w:pPr>
    </w:p>
    <w:bookmarkStart w:id="27" w:name="page28"/>
    <w:bookmarkEnd w:id="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ind w:left="60"/>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ind w:right="3199"/>
        <w:spacing w:after="0" w:line="297" w:lineRule="auto"/>
        <w:rPr>
          <w:sz w:val="20"/>
          <w:szCs w:val="20"/>
          <w:color w:val="auto"/>
        </w:rPr>
      </w:pPr>
      <w:r>
        <w:rPr>
          <w:rFonts w:ascii="Courier New" w:cs="Courier New" w:eastAsia="Courier New" w:hAnsi="Courier New"/>
          <w:sz w:val="15"/>
          <w:szCs w:val="15"/>
          <w:color w:val="auto"/>
        </w:rPr>
        <w:t>THIS SCHEDULE CONTAINS SUMMARY FINANCIAL INFORMATION EXTRACTED FROM THE ACCOMPANYING FINANCIAL STATEMENTS AND IS QUALIFIED IN ITS ENTIRETY BY REFERENCE TO SUCH FINANCIAL STATEMENTS.</w:t>
      </w:r>
    </w:p>
    <w:p>
      <w:pPr>
        <w:spacing w:after="0" w:line="52"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1,000,000</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6-MOS</w:t>
      </w:r>
    </w:p>
    <w:p>
      <w:pPr>
        <w:spacing w:after="0" w:line="2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AUG-31-2000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SEP-03-1999</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MAR-02-2000</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430</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1,249</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929</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690</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3,360</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6,421</w:t>
      </w:r>
    </w:p>
    <w:p>
      <w:pPr>
        <w:spacing w:after="0" w:line="1"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5"/>
          <w:szCs w:val="15"/>
          <w:color w:val="auto"/>
        </w:rPr>
        <w:t>(2,494)</w:t>
      </w:r>
    </w:p>
    <w:p>
      <w:pPr>
        <w:spacing w:after="0" w:line="1"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5"/>
          <w:szCs w:val="15"/>
          <w:color w:val="auto"/>
        </w:rPr>
        <w:t>7,735</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968</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1,464</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27</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4,706</w:t>
      </w:r>
    </w:p>
    <w:p>
      <w:pPr>
        <w:spacing w:after="0" w:line="1"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7,735</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2,977</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2,977</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1,652</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2,191</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9</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(13)</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775</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(273)</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503</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1.86</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1.77</w:t>
      </w:r>
    </w:p>
    <w:sectPr>
      <w:pgSz w:w="11900" w:h="16838" w:orient="portrait"/>
      <w:cols w:equalWidth="0" w:num="1">
        <w:col w:w="10199"/>
      </w:cols>
      <w:pgMar w:left="26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3"/>
    </w:lvl>
  </w:abstractNum>
  <w:abstractNum w:abstractNumId="4">
    <w:nsid w:val="7C83E458"/>
    <w:multiLevelType w:val="hybridMultilevel"/>
    <w:lvl w:ilvl="0">
      <w:lvlJc w:val="left"/>
      <w:lvlText w:val="%1."/>
      <w:numFmt w:val="decimal"/>
      <w:start w:val="4"/>
    </w:lvl>
  </w:abstractNum>
  <w:abstractNum w:abstractNumId="5">
    <w:nsid w:val="257130A3"/>
    <w:multiLevelType w:val="hybridMultilevel"/>
    <w:lvl w:ilvl="0">
      <w:lvlJc w:val="left"/>
      <w:lvlText w:val="%1."/>
      <w:numFmt w:val="decimal"/>
      <w:start w:val="5"/>
    </w:lvl>
  </w:abstractNum>
  <w:abstractNum w:abstractNumId="6">
    <w:nsid w:val="62BBD95A"/>
    <w:multiLevelType w:val="hybridMultilevel"/>
    <w:lvl w:ilvl="0">
      <w:lvlJc w:val="left"/>
      <w:lvlText w:val="%1."/>
      <w:numFmt w:val="decimal"/>
      <w:start w:val="6"/>
    </w:lvl>
  </w:abstractNum>
  <w:abstractNum w:abstractNumId="7">
    <w:nsid w:val="436C6125"/>
    <w:multiLevelType w:val="hybridMultilevel"/>
    <w:lvl w:ilvl="0">
      <w:lvlJc w:val="left"/>
      <w:lvlText w:val="%1."/>
      <w:numFmt w:val="decimal"/>
      <w:start w:val="7"/>
    </w:lvl>
  </w:abstractNum>
  <w:abstractNum w:abstractNumId="8">
    <w:nsid w:val="628C895D"/>
    <w:multiLevelType w:val="hybridMultilevel"/>
    <w:lvl w:ilvl="0">
      <w:lvlJc w:val="left"/>
      <w:lvlText w:val="%1."/>
      <w:numFmt w:val="decimal"/>
      <w:start w:val="8"/>
    </w:lvl>
  </w:abstractNum>
  <w:abstractNum w:abstractNumId="9">
    <w:nsid w:val="333AB105"/>
    <w:multiLevelType w:val="hybridMultilevel"/>
    <w:lvl w:ilvl="0">
      <w:lvlJc w:val="left"/>
      <w:lvlText w:val="%1."/>
      <w:numFmt w:val="decimal"/>
      <w:start w:val="9"/>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Letter"/>
      <w:start w:val="2"/>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2019-12-13T13:13:03Z</dcterms:created>
  <dcterms:modified xsi:type="dcterms:W3CDTF">2019-12-13T13:13:03Z</dcterms:modified>
</cp:coreProperties>
</file>