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18,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142875</wp:posOffset>
            </wp:positionV>
            <wp:extent cx="1457325" cy="394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3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1-10658</w:t>
            </w:r>
          </w:p>
        </w:tc>
        <w:tc>
          <w:tcPr>
            <w:tcW w:w="310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75-1618004</w:t>
            </w:r>
          </w:p>
        </w:tc>
      </w:tr>
      <w:tr>
        <w:trPr>
          <w:trHeight w:val="191"/>
        </w:trPr>
        <w:tc>
          <w:tcPr>
            <w:tcW w:w="3300" w:type="dxa"/>
            <w:vAlign w:val="bottom"/>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4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8"/>
              </w:rPr>
              <w:t>(Commission File</w:t>
            </w:r>
          </w:p>
        </w:tc>
        <w:tc>
          <w:tcPr>
            <w:tcW w:w="310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incorporation)</w:t>
            </w:r>
          </w:p>
        </w:tc>
        <w:tc>
          <w:tcPr>
            <w:tcW w:w="4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Number)</w:t>
            </w:r>
          </w:p>
        </w:tc>
        <w:tc>
          <w:tcPr>
            <w:tcW w:w="31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300" w:type="dxa"/>
            <w:vAlign w:val="bottom"/>
          </w:tcPr>
          <w:p>
            <w:pPr>
              <w:spacing w:after="0"/>
              <w:rPr>
                <w:sz w:val="24"/>
                <w:szCs w:val="24"/>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3100" w:type="dxa"/>
            <w:vAlign w:val="bottom"/>
          </w:tcPr>
          <w:p>
            <w:pPr>
              <w:spacing w:after="0"/>
              <w:rPr>
                <w:sz w:val="24"/>
                <w:szCs w:val="24"/>
                <w:color w:val="auto"/>
              </w:rPr>
            </w:pPr>
          </w:p>
        </w:tc>
      </w:tr>
      <w:tr>
        <w:trPr>
          <w:trHeight w:val="238"/>
        </w:trPr>
        <w:tc>
          <w:tcPr>
            <w:tcW w:w="330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Boise, Idaho 83716-9632</w:t>
            </w:r>
          </w:p>
        </w:tc>
        <w:tc>
          <w:tcPr>
            <w:tcW w:w="3100" w:type="dxa"/>
            <w:vAlign w:val="bottom"/>
            <w:tcBorders>
              <w:bottom w:val="single" w:sz="8" w:color="auto"/>
            </w:tcBorders>
          </w:tcPr>
          <w:p>
            <w:pPr>
              <w:spacing w:after="0"/>
              <w:rPr>
                <w:sz w:val="20"/>
                <w:szCs w:val="20"/>
                <w:color w:val="auto"/>
              </w:rPr>
            </w:pPr>
          </w:p>
        </w:tc>
      </w:tr>
      <w:tr>
        <w:trPr>
          <w:trHeight w:val="228"/>
        </w:trPr>
        <w:tc>
          <w:tcPr>
            <w:tcW w:w="3300" w:type="dxa"/>
            <w:vAlign w:val="bottom"/>
          </w:tcPr>
          <w:p>
            <w:pPr>
              <w:spacing w:after="0"/>
              <w:rPr>
                <w:sz w:val="19"/>
                <w:szCs w:val="19"/>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00" w:type="dxa"/>
            <w:vAlign w:val="bottom"/>
          </w:tcPr>
          <w:p>
            <w:pPr>
              <w:spacing w:after="0"/>
              <w:rPr>
                <w:sz w:val="19"/>
                <w:szCs w:val="19"/>
                <w:color w:val="auto"/>
              </w:rPr>
            </w:pPr>
          </w:p>
        </w:tc>
      </w:tr>
      <w:tr>
        <w:trPr>
          <w:trHeight w:val="427"/>
        </w:trPr>
        <w:tc>
          <w:tcPr>
            <w:tcW w:w="33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(208) 368-4000</w:t>
            </w:r>
          </w:p>
        </w:tc>
        <w:tc>
          <w:tcPr>
            <w:tcW w:w="3100" w:type="dxa"/>
            <w:vAlign w:val="bottom"/>
            <w:tcBorders>
              <w:bottom w:val="single" w:sz="8" w:color="auto"/>
            </w:tcBorders>
          </w:tcPr>
          <w:p>
            <w:pPr>
              <w:spacing w:after="0"/>
              <w:rPr>
                <w:sz w:val="24"/>
                <w:szCs w:val="24"/>
                <w:color w:val="auto"/>
              </w:rPr>
            </w:pPr>
          </w:p>
        </w:tc>
      </w:tr>
      <w:tr>
        <w:trPr>
          <w:trHeight w:val="228"/>
        </w:trPr>
        <w:tc>
          <w:tcPr>
            <w:tcW w:w="3300" w:type="dxa"/>
            <w:vAlign w:val="bottom"/>
          </w:tcPr>
          <w:p>
            <w:pPr>
              <w:spacing w:after="0"/>
              <w:rPr>
                <w:sz w:val="19"/>
                <w:szCs w:val="19"/>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100" w:type="dxa"/>
            <w:vAlign w:val="bottom"/>
          </w:tcPr>
          <w:p>
            <w:pPr>
              <w:spacing w:after="0"/>
              <w:rPr>
                <w:sz w:val="19"/>
                <w:szCs w:val="19"/>
                <w:color w:val="auto"/>
              </w:rPr>
            </w:pPr>
          </w:p>
        </w:tc>
      </w:tr>
    </w:tbl>
    <w:p>
      <w:pPr>
        <w:spacing w:after="0" w:line="1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symbol</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MU</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Changes in Fiscal Year</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On July 18, 2024,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Micron Technology,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approved the Company’s Amended and Restated Bylaws (the “</w:t>
      </w:r>
      <w:r>
        <w:rPr>
          <w:rFonts w:ascii="Times New Roman" w:cs="Times New Roman" w:eastAsia="Times New Roman" w:hAnsi="Times New Roman"/>
          <w:sz w:val="18"/>
          <w:szCs w:val="18"/>
          <w:b w:val="1"/>
          <w:bCs w:val="1"/>
          <w:color w:val="auto"/>
        </w:rPr>
        <w:t>Amended Bylaws</w:t>
      </w:r>
      <w:r>
        <w:rPr>
          <w:rFonts w:ascii="Times New Roman" w:cs="Times New Roman" w:eastAsia="Times New Roman" w:hAnsi="Times New Roman"/>
          <w:sz w:val="18"/>
          <w:szCs w:val="18"/>
          <w:color w:val="auto"/>
        </w:rPr>
        <w:t>”), effective as of such date.</w:t>
      </w:r>
    </w:p>
    <w:p>
      <w:pPr>
        <w:spacing w:after="0" w:line="15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Among other things, the Amended Bylaws include amendments to reflect changes to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the laws of the state of Delaware, including:</w:t>
      </w:r>
    </w:p>
    <w:p>
      <w:pPr>
        <w:spacing w:after="0" w:line="15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provisions to permit meetings of stockholders to be held by remote communications;</w:t>
      </w:r>
    </w:p>
    <w:p>
      <w:pPr>
        <w:spacing w:after="0" w:line="27"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provisions relating to delivery of notices of stockholder meetings and adjourned stockholder meetings to take advantage of increased flexibility with regard to electronic notices;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requirements related to notice of adjourned stockholder meetings;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notices of special meetings of the Board;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for action by written consent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Bylaws also incorporate certain other amendments, including:</w:t>
      </w:r>
    </w:p>
    <w:p>
      <w:pPr>
        <w:spacing w:after="0" w:line="225" w:lineRule="exact"/>
        <w:rPr>
          <w:sz w:val="20"/>
          <w:szCs w:val="20"/>
          <w:color w:val="auto"/>
        </w:rPr>
      </w:pPr>
    </w:p>
    <w:p>
      <w:pPr>
        <w:ind w:left="660" w:right="440" w:hanging="328"/>
        <w:spacing w:after="0" w:line="25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procedural mechanics and disclosure requirements in connection with stockholder nominations of directors and submissions of proposals regarding other business at the Company’s annual meeting of stockholders (except for proposals properly made in accordance with Rule 14a-8 under the Securities Exchange Act of 1934, as amended), including by clarifying the period during which such nominations or proposals can be submitted, and requiring additional background information and disclosures regarding proposing stockholders, proposed nominees and business, and other persons related to a stockholder’s solicitation of proxies;</w:t>
      </w:r>
    </w:p>
    <w:p>
      <w:pPr>
        <w:spacing w:after="0" w:line="3" w:lineRule="exact"/>
        <w:rPr>
          <w:rFonts w:ascii="Times New Roman" w:cs="Times New Roman" w:eastAsia="Times New Roman" w:hAnsi="Times New Roman"/>
          <w:sz w:val="18"/>
          <w:szCs w:val="18"/>
          <w:color w:val="auto"/>
        </w:rPr>
      </w:pPr>
    </w:p>
    <w:p>
      <w:pPr>
        <w:ind w:left="660" w:right="7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certain provisions relating to stockholder nominees for election as a director to address the universal proxy rules adopted by the Securities and Exchange Commission;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provisions regarding resignation of directors and filling of vacancies;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clarifying and updating certain provisions relating to directors, and Board committees;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clarifying certain matters related to (but not eliminating or materially amending), the proxy access bylaw;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clarifying the Company’s existing Delaware exclusive forum provision;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and clarifying certain procedures related to advancement of expenses in the context of indemnification of directors and officers.</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Amended and Restated Bylaws also incorporate other ministerial, clarifying and conforming changes, including changes to align with the language used in certain provisions of the DGCL.</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description of the amendment to the Company’s bylaws is qualified in its entirety by reference to the text of the Amended and Restated Bylaws filed as Exhibit 3.1 to this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1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 Exhibits.</w:t>
            </w:r>
          </w:p>
        </w:tc>
      </w:tr>
      <w:tr>
        <w:trPr>
          <w:trHeight w:val="432"/>
        </w:trPr>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4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Amended and Restated Bylaws as of July 18, 2024</w:t>
            </w:r>
          </w:p>
        </w:tc>
        <w:tc>
          <w:tcPr>
            <w:tcW w:w="6000" w:type="dxa"/>
            <w:vAlign w:val="bottom"/>
          </w:tcPr>
          <w:p>
            <w:pPr>
              <w:spacing w:after="0"/>
              <w:rPr>
                <w:sz w:val="14"/>
                <w:szCs w:val="14"/>
                <w:color w:val="auto"/>
              </w:rPr>
            </w:pPr>
          </w:p>
        </w:tc>
      </w:tr>
      <w:tr>
        <w:trPr>
          <w:trHeight w:val="23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July 19, 2024</w:t>
      </w:r>
      <w:r>
        <w:rPr>
          <w:sz w:val="20"/>
          <w:szCs w:val="20"/>
          <w:color w:val="auto"/>
        </w:rPr>
        <w:tab/>
      </w:r>
      <w:r>
        <w:rPr>
          <w:rFonts w:ascii="Times New Roman" w:cs="Times New Roman" w:eastAsia="Times New Roman" w:hAnsi="Times New Roman"/>
          <w:sz w:val="17"/>
          <w:szCs w:val="17"/>
          <w:b w:val="1"/>
          <w:bCs w:val="1"/>
          <w:color w:val="auto"/>
        </w:rPr>
        <w:t>MICRON TECHNOLOGY,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Ray</w:t>
      </w:r>
    </w:p>
    <w:p>
      <w:pPr>
        <w:spacing w:after="0" w:line="23" w:lineRule="exact"/>
        <w:rPr>
          <w:sz w:val="20"/>
          <w:szCs w:val="20"/>
          <w:color w:val="auto"/>
        </w:rPr>
      </w:pPr>
    </w:p>
    <w:p>
      <w:pPr>
        <w:jc w:val="right"/>
        <w:spacing w:after="0"/>
        <w:tabs>
          <w:tab w:leader="none" w:pos="4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00" w:right="5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as of July 18,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Registered Office.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office shall be fixed in the corporation’s Certificate of Incorporation, as the same may be amended from time to time.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 Other Offices.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Place of Meetings.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Meetings of the stockholders shall be held at the principal office of the corporation in the City of Boise, State of Idaho, or at such other, if any, place either within or without the State of Delaware as shall be designated by the Board of Directors in the notice of the meeting. The Board of Directors may, in its sole discretion, determine that a meeting of stockholders shall not be held at any place, but may instead be held solely by means of remote communication as authorized by Section 211(a)(2) of the Delaware General Corporation Law or any successor legislation (the “DGCL”).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 Annual Meeting.</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Annual meetings of stockholders shall be held on such date and such hour as shall be designated from time to time by the Board of Directors and stated in the notice of the meeting. At such meeting, the stockholders shall elect a Board of Directors and transact such other business as may properly be brought before the meeting in accordance with Article II, Section 11 of these Bylaws.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 Notice of Stockholder Meeting.</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by the DGCL, the Certificate of Incorporation or these Bylaws, the notice of any meeting of stockholders shall be given not less than ten (10) nor more than sixty (60) days before the date of the meeting to each stockholder entitled to vote at such meeting as of the record date for determining the stockholders entitled to notice of the meeting. The Board of Directors acting pursuant to a resolution adopted by a majority of the Whole Board may cancel, postpone, or reschedule any previously scheduled meeting of stockholders at any time, before or after the notice for such meeting has been sent to the stockholders. For the purposes of these Bylaws, the term “Whole Board” shall mean the total number of authorized directorships whether or not there exist any vacancies or other unfilled seats in previously authorized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b w:val="1"/>
          <w:bCs w:val="1"/>
          <w:color w:val="auto"/>
        </w:rPr>
        <w:t>Section 4. List of Stockholders Entitled to Vote.</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corporation shall prepare, no later than the tenth day before every meeting of stockholders, a complete list of the stockholders entitled to vote at the meeting (provided, however, if the record date for determining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(a)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Article II, Section 4 or to vote in person or by proxy at any meeting of stockholders.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 Special Meetings.</w:t>
      </w:r>
    </w:p>
    <w:p>
      <w:pPr>
        <w:spacing w:after="0" w:line="229" w:lineRule="exact"/>
        <w:rPr>
          <w:sz w:val="20"/>
          <w:szCs w:val="20"/>
          <w:color w:val="auto"/>
        </w:rPr>
      </w:pPr>
    </w:p>
    <w:p>
      <w:pPr>
        <w:ind w:firstLine="656"/>
        <w:spacing w:after="0" w:line="253" w:lineRule="auto"/>
        <w:tabs>
          <w:tab w:leader="none" w:pos="89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for any purpose or purposes, unless otherwise prescribed by law or by the Certificate of Incorporation, may be called at any time by (i) the Board of Directors acting pursuant to a resolution adopted by a majority of the Whole Board, (ii) the Chair of the Board, (iii) the Chief Executive Officer, or (iv) the Secretary at the request of holders of shares entitled to cast not less than twenty percent (20%) of the votes at the meeting. A request to the Secretary shall be signed by each stockholder, or a duly authorized agent of such stockholder, requesting the special meeting and shall set forth, for each stockholder requesting the meeting, the information required to be in a stockholder’s notice pursuant to Section 11(b), Section 11(c) or Section 11(e) of this Article II, as applicable, if the actions proposed to be taken were taken at an annual meeting of stockholders. Such request shall state the purpose or purposes of the proposed meeting. Any special meeting shall be held not more than ninety (90) days after a proper request to call the special meeting is received by the Secretary. Notwithstanding the foregoing, a special meeting requested by stockholders shall not be held if</w:t>
      </w: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proposed to be brought before the special meeting by stockholders is not a proper subject for stockholder action under applicable law or</w:t>
      </w:r>
    </w:p>
    <w:p>
      <w:pPr>
        <w:spacing w:after="0" w:line="9" w:lineRule="exact"/>
        <w:rPr>
          <w:rFonts w:ascii="Times New Roman" w:cs="Times New Roman" w:eastAsia="Times New Roman" w:hAnsi="Times New Roman"/>
          <w:sz w:val="18"/>
          <w:szCs w:val="18"/>
          <w:color w:val="auto"/>
        </w:rPr>
      </w:pPr>
    </w:p>
    <w:p>
      <w:pPr>
        <w:ind w:right="80" w:firstLine="8"/>
        <w:spacing w:after="0" w:line="25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has called or calls for an annual meeting of stockholders to be held within ninety (90) days after the Secretary receives the request for the special meeting and the Board of Directors determines in good faith that the business of such annual meeting includes (among any other matters properly brought before the annual meeting) the business specified in the request. A stockholder may revoke a request for a special meeting at any time by written revocation delivered to the Secretary, and if, following such revocation, there are un-revoked requests from stockholders holding in the aggregate less than the requisite number of shares entitling the stockholders to request the calling of a special meeting, the Board of Directors, in its discretion, may cancel the special meeting.</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a special meeting shall include the purpose for which the meeting is called. Business transacted at a special meeting requested by stockholders shall be limited to the matters described in the request for the special meeting; provided, however, that nothing herein shall prohibit the Board of Directors from submitting additional matters to stockholders at any such special meeting. Nothing contained in this Article II, Section 5(b) shall be construed as limiting, fixing, or affecting the time when a meeting of stockholders called by action of the Board of Directors may be held.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 Quorum.</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holders of a majority of the voting power of the stock issued and outstanding and entitled to vote thereat, present in person or represented by proxy, shall constitute a quorum at all meetings of the stockholders for the transaction of business except as otherwise required by law, the Certificate of Incorporation, these Bylaws or the rules of any applicable stock exchange on which the corporation’s securities are listed.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however, such quorum shall not be present or represented at any meeting of the stockholders, then either (a) the Chair of the meeting, or (b) the stockholders entitled to vote at the meeting, present in person or represented by proxy thereat, shall have the power to adjourn the meeting from time to time without notice other than announcement at the meeting, until a quorum shall be present or represented. At such adjourned meeting at which a quorum is present or represented, any business may be transacted that might have been transacted at the original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 Adjourned Meeting Notice.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Any meeting of stockholders, annual or special, may adjourn from time to time (including an adjournment taken to address a technical failure to convene or continue a meeting using remote communication) to reconvene at the same or some other place, and notice need not be given of any such reconvened meeting if the time, place, if any, and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reconvened meeting, the corporation may transact any business which might have been transacted at the original meeting. If the adjournment is for more than thirty (30) days, a notice of the reconvened meeting shall be given to each stockholder of record entitled to vote at the meeting. If after the adjournment a new record date for determination of stockholders entitled to vote is fixed for the reconvened meeting, the Board of Directors shall fix a new record date for determining stockholders entitled to notice of such reconvened meeting in accordance with Section 213(a) of the DGCL and Article VI, Section 5 of these Bylaws, and shall give notice of the reconvened meeting to each stockholder of record entitled to vote at such reconvened meeting as of the record date so fixed for notice of such reconvened meeting.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 Proxies; Voting.</w:t>
      </w:r>
    </w:p>
    <w:p>
      <w:pPr>
        <w:spacing w:after="0" w:line="22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 xml:space="preserve">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authorization shall set forth, or be delivered with information enabling the corporation to determine, the identity of the stockholder granting such authorization. The revocability of a proxy that states on its face that it is irrevocable shall be governed by the provisions of Section 212 of the DGCL.</w:t>
      </w:r>
    </w:p>
    <w:p>
      <w:pPr>
        <w:spacing w:after="0" w:line="17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stockholders entitled to vote at any meeting of stockholders shall be determined in accordance with the provisions of Article VI, Section 5 of these Bylaws, subject to Section 217 (relating to voting rights of fiduciaries, pledgors and joint owners of stock) and Section 218 (relating to voting trusts and other voting agreements) of the DGCL.</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each stockholder shall be entitled to one vote for each share of capital stock held by such stockholder as of the applicable record date that has voting power upon the matter in question.</w:t>
      </w:r>
    </w:p>
    <w:p>
      <w:pPr>
        <w:spacing w:after="0" w:line="162" w:lineRule="exact"/>
        <w:rPr>
          <w:sz w:val="20"/>
          <w:szCs w:val="20"/>
          <w:color w:val="auto"/>
        </w:rPr>
      </w:pPr>
    </w:p>
    <w:p>
      <w:pPr>
        <w:jc w:val="both"/>
        <w:ind w:right="220" w:firstLine="648"/>
        <w:spacing w:after="0" w:line="257" w:lineRule="auto"/>
        <w:rPr>
          <w:sz w:val="20"/>
          <w:szCs w:val="20"/>
          <w:color w:val="auto"/>
        </w:rPr>
      </w:pPr>
      <w:r>
        <w:rPr>
          <w:rFonts w:ascii="Times New Roman" w:cs="Times New Roman" w:eastAsia="Times New Roman" w:hAnsi="Times New Roman"/>
          <w:sz w:val="18"/>
          <w:szCs w:val="18"/>
          <w:color w:val="auto"/>
        </w:rPr>
        <w:t>When a quorum is present at any meeting, the affirmative vote of the holders of a majority of the voting power of the stock present in person or represented by proxy and entitled to vote on the subject matter shall decide any issue brought before such meeting, except as otherwise provided by the Certificate of Incorporation, these Bylaws, the rules of any applicable stock exchange on which the corporation’s securities are listed or applicable law.</w:t>
      </w:r>
    </w:p>
    <w:p>
      <w:pPr>
        <w:spacing w:after="0" w:line="1"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Except as otherwise required by applicable law, the Certificate of Incorporation or these Bylaws, directors shall be elected in accordance with the provisions of Article III, Section 3.</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b w:val="1"/>
          <w:bCs w:val="1"/>
          <w:color w:val="auto"/>
        </w:rPr>
        <w:t>Section 9.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 Action by Written Consent.</w:t>
      </w:r>
    </w:p>
    <w:p>
      <w:pPr>
        <w:spacing w:after="0" w:line="227" w:lineRule="exact"/>
        <w:rPr>
          <w:sz w:val="20"/>
          <w:szCs w:val="20"/>
          <w:color w:val="auto"/>
        </w:rPr>
      </w:pPr>
    </w:p>
    <w:p>
      <w:pPr>
        <w:ind w:right="60" w:firstLine="656"/>
        <w:spacing w:after="0" w:line="254" w:lineRule="auto"/>
        <w:tabs>
          <w:tab w:leader="none" w:pos="8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w:t>
      </w:r>
      <w:r>
        <w:rPr>
          <w:rFonts w:ascii="Times New Roman" w:cs="Times New Roman" w:eastAsia="Times New Roman" w:hAnsi="Times New Roman"/>
          <w:sz w:val="18"/>
          <w:szCs w:val="18"/>
          <w:color w:val="auto"/>
        </w:rPr>
        <w:t>Unless otherwise restricted by the Certificate of Incorporation, any action required to be taken at any annual or special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the corporation, or any action which may be taken at any annual or special meeting of the stockholders, may be taken without a meeting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85" w:lineRule="exact"/>
        <w:rPr>
          <w:rFonts w:ascii="Times New Roman" w:cs="Times New Roman" w:eastAsia="Times New Roman" w:hAnsi="Times New Roman"/>
          <w:sz w:val="18"/>
          <w:szCs w:val="18"/>
          <w:color w:val="auto"/>
        </w:rPr>
      </w:pPr>
    </w:p>
    <w:p>
      <w:pPr>
        <w:ind w:right="60" w:firstLine="656"/>
        <w:spacing w:after="0" w:line="253"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Record Date. </w:t>
      </w:r>
      <w:r>
        <w:rPr>
          <w:rFonts w:ascii="Times New Roman" w:cs="Times New Roman" w:eastAsia="Times New Roman" w:hAnsi="Times New Roman"/>
          <w:sz w:val="18"/>
          <w:szCs w:val="18"/>
          <w:color w:val="auto"/>
        </w:rPr>
        <w:t>Unless otherwise restricted by the Certificate of Incorporation, in order that the corporation may determine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Any stockholder seeking to have the stockholders authorize or take corporate action by written consent shall, by written notice to the Secretary, request that the Board of Directors fix a record date for such purpose. The Board of Directors shall promptly, but in all events within ten (10) days after the date on which such written notice is received, adopt a resolution fixing the record date (unless a record date has previously been fixed by the Board of Directors pursuant to the first sentence of this Article II,</w:t>
      </w:r>
    </w:p>
    <w:p>
      <w:pPr>
        <w:spacing w:after="0" w:line="4"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10(b)). If no record date has been fixed by the Board of Directors pursuant to the first sentence of this Article II, Section 10(b) or otherwise within ten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ten (10) day time period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minutes of proceedings of stockholders are recorded.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spacing w:after="0" w:line="191" w:lineRule="exact"/>
        <w:rPr>
          <w:rFonts w:ascii="Times New Roman" w:cs="Times New Roman" w:eastAsia="Times New Roman" w:hAnsi="Times New Roman"/>
          <w:sz w:val="18"/>
          <w:szCs w:val="18"/>
          <w:color w:val="auto"/>
        </w:rPr>
      </w:pPr>
    </w:p>
    <w:p>
      <w:pPr>
        <w:ind w:firstLine="656"/>
        <w:spacing w:after="0" w:line="254" w:lineRule="auto"/>
        <w:tabs>
          <w:tab w:leader="none" w:pos="8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Inspector of Elections. </w:t>
      </w:r>
      <w:r>
        <w:rPr>
          <w:rFonts w:ascii="Times New Roman" w:cs="Times New Roman" w:eastAsia="Times New Roman" w:hAnsi="Times New Roman"/>
          <w:sz w:val="18"/>
          <w:szCs w:val="18"/>
          <w:color w:val="auto"/>
        </w:rPr>
        <w:t>In the event of the delivery, in the manner provided by this Article II, Section 10 and applicable law, to the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written consent or consents to take corporate action and/or any related revocation or revocations, the corporation shall engage independent inspectors of elections for the purpose of performing promptly a ministerial review of the validity of such consents and/or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Article II, Section 10 and applicable law have been obtained to authorize or take the action specified in the consents, and certified such determination for entry in the records of the corporation kept for the purpose of recording the proceedings of meetings of stockholders. Nothing contained in this Article II, Section 10(c)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ind w:firstLine="656"/>
        <w:spacing w:after="0" w:line="261" w:lineRule="auto"/>
        <w:tabs>
          <w:tab w:leader="none" w:pos="9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Every written consent shall bear the date of signature of each stockholder who signs the consent and no written consent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to take the corporate action referred to therein unless, within sixty (60) days after the earliest dated written consent delivered in the manner prescribed in this Article II, Section 10 to the corporation, written consents signed by a sufficient number of holders to take such action are delivered to the corporation in the manner prescribed in this Article II, Section 10 and applicable law, and not revoked.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 Advance Notice Procedures; Proxy Access.</w:t>
      </w:r>
    </w:p>
    <w:p>
      <w:pPr>
        <w:spacing w:after="0" w:line="227" w:lineRule="exact"/>
        <w:rPr>
          <w:sz w:val="20"/>
          <w:szCs w:val="20"/>
          <w:color w:val="auto"/>
        </w:rPr>
      </w:pPr>
    </w:p>
    <w:p>
      <w:pPr>
        <w:ind w:right="460" w:firstLine="656"/>
        <w:spacing w:after="0" w:line="267" w:lineRule="auto"/>
        <w:tabs>
          <w:tab w:leader="none" w:pos="8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Meetings of Stockholders; Timely Notice</w:t>
      </w:r>
      <w:r>
        <w:rPr>
          <w:rFonts w:ascii="Times New Roman" w:cs="Times New Roman" w:eastAsia="Times New Roman" w:hAnsi="Times New Roman"/>
          <w:sz w:val="18"/>
          <w:szCs w:val="18"/>
          <w:color w:val="auto"/>
        </w:rPr>
        <w:t>. At a meeting of the stockholders, only such nominations of persons for the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such other business shall be conducted as shall have been properly brought before the meeting. To be properly brought before an annual meeting, nominations or such other business must be:</w:t>
      </w:r>
    </w:p>
    <w:p>
      <w:pPr>
        <w:spacing w:after="0" w:line="175" w:lineRule="exact"/>
        <w:rPr>
          <w:rFonts w:ascii="Times New Roman" w:cs="Times New Roman" w:eastAsia="Times New Roman" w:hAnsi="Times New Roman"/>
          <w:sz w:val="18"/>
          <w:szCs w:val="18"/>
          <w:color w:val="auto"/>
        </w:rPr>
      </w:pPr>
    </w:p>
    <w:p>
      <w:pPr>
        <w:ind w:left="660" w:right="120" w:firstLine="644"/>
        <w:spacing w:after="0" w:line="266" w:lineRule="auto"/>
        <w:tabs>
          <w:tab w:leader="none" w:pos="152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in the notice of meeting (or any supplement thereto) given by or at the direction of the Board of Directors or any committee thereof that has been formally delegated authority to nominate such persons or propose such business pursuant to a resolution adopted by a majority of the Whole Board,</w:t>
      </w:r>
    </w:p>
    <w:p>
      <w:pPr>
        <w:spacing w:after="0" w:line="175" w:lineRule="exact"/>
        <w:rPr>
          <w:rFonts w:ascii="Times New Roman" w:cs="Times New Roman" w:eastAsia="Times New Roman" w:hAnsi="Times New Roman"/>
          <w:sz w:val="18"/>
          <w:szCs w:val="18"/>
          <w:color w:val="auto"/>
        </w:rPr>
      </w:pPr>
    </w:p>
    <w:p>
      <w:pPr>
        <w:ind w:left="660" w:right="60" w:firstLine="644"/>
        <w:spacing w:after="0" w:line="266" w:lineRule="auto"/>
        <w:tabs>
          <w:tab w:leader="none" w:pos="157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the meeting by or at the direction of the Board of Directors or any committee thereof that has been formally delegated authority to nominate such persons or propose such business pursuant to a resolution adopted by a majority of the Whole Board, or</w:t>
      </w:r>
    </w:p>
    <w:p>
      <w:pPr>
        <w:spacing w:after="0" w:line="175" w:lineRule="exact"/>
        <w:rPr>
          <w:rFonts w:ascii="Times New Roman" w:cs="Times New Roman" w:eastAsia="Times New Roman" w:hAnsi="Times New Roman"/>
          <w:sz w:val="18"/>
          <w:szCs w:val="18"/>
          <w:color w:val="auto"/>
        </w:rPr>
      </w:pPr>
    </w:p>
    <w:p>
      <w:pPr>
        <w:ind w:left="660" w:right="100" w:firstLine="644"/>
        <w:spacing w:after="0" w:line="258" w:lineRule="auto"/>
        <w:tabs>
          <w:tab w:leader="none" w:pos="162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an annual meeting by a stockholder who: (A) is a stockholder of record on the record date for the determination of stockholders entitled to notice of the annual meeting; (B) is a stockholder of record at the time the notice required hereunder is delivered to the Secretary; (C) is a stockholder of record on the record date for the determination of stockholders entitled to vote at the annual meeting; (D) is a stockholder of record at the time of the annual meeting; and (E) complies with the procedures set forth in this Article II, Section 11.</w:t>
      </w:r>
    </w:p>
    <w:p>
      <w:pPr>
        <w:spacing w:after="0" w:line="183"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In addition, any proposal of business (other than the nomination of persons for election to the Board of Directors) must be a proper matter for stockholder action. For business (including, but not limited to, director nominations) to be properly brought before an annual meeting by a stockholder, the stockholder or stockholders of record intending to propose the business must have given timely notice thereof pursuant to this Article II, Section 11(a) or</w:t>
      </w:r>
    </w:p>
    <w:p>
      <w:pPr>
        <w:spacing w:after="0" w:line="1"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Section 11(c) below, as applicable, in writing to the Secretary even if such matter is already the subject of any notice to the stockholders or public disclosure by the corporation.</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8" w:name="page9"/>
    <w:bookmarkEnd w:id="8"/>
    <w:p>
      <w:pPr>
        <w:ind w:right="40"/>
        <w:spacing w:after="0" w:line="247" w:lineRule="auto"/>
        <w:rPr>
          <w:sz w:val="20"/>
          <w:szCs w:val="20"/>
          <w:color w:val="auto"/>
        </w:rPr>
      </w:pPr>
      <w:r>
        <w:rPr>
          <w:rFonts w:ascii="Times New Roman" w:cs="Times New Roman" w:eastAsia="Times New Roman" w:hAnsi="Times New Roman"/>
          <w:sz w:val="18"/>
          <w:szCs w:val="18"/>
          <w:color w:val="auto"/>
        </w:rPr>
        <w:t>To be timely, a stockholder's notice must be received by the Secretary at the principal executive office of the corporation no earlier than 8:00 a.m., Mountain time, on the 120th calendar day and no later than 5:00 p.m., Mountain time,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prior to the day of the first anniversary of the date on which the corporation first mailed its proxy materials or a notice of availability of proxy materials (whichever is earlier) to stockholders in connection with the previous year’s annual meeting of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no annual meeting of stockholders was held in the previous year, or if the date of the annual meeting for the current year has been changed by more than thirty (30) days from the first anniversary of the previous year’s annual meeting, then for notice by the stockholder to be timely such notice must be received by the Secretary at the principal executive offices of the corporation no earlier than 8:00 a.m., Mountain time, on the 120th calendar day prior to the day of the annual meeting and no later than 5:00 p.m., Mountain time, on the later of the 90th calendar day prior to the day of the annual meeting or, if the first public announcement of the date of such annual meeting is less than 100 calendar days prior to the date of such annual meeting, the 10th calendar day following the day on which public announcement of the date of the annual meeting was first made by the corporation. In no event will the adjournment, rescheduling, postponement or other delay of any annual meeting, or any announcement thereof, commence a new time period (or extend any time period) for the giving of a stockholder’s notice as described above. In no event may a stockholder provide notice with respect to a greater number of director candidates than there are director seats subject to election by stockholders at the annual meeting. If the number of directors to be elected to the Board of Directors is increased and there is no public announcement naming all of the nominees for director or specifying the size of the increased Board of Directors at least 10 calendar days before the last day that a stockholder may deliver a notice of nomination pursuant to the foregoing provisions, then a stockholder’s notice required by this Article II, Section 11(a) will also be considered timely, but only with respect to any nominees for any new positions created by such increase, if it is received by the Secretary at the principal executive offices of the corporation no later than 5:00 p.m., Mountain time, on the 10th calendar day following the day on which such public announcement is first made. “Public announcement” means disclosure in a press release reported by a national news service or in a document publicly filed by the corporation with the Securities and Exchange Commission (the “SEC”) pursuant to Section 13, Section 14 or Section 15(d) of the Securities Exchange Act of 1934 (as amended and inclusive of rules and regulations thereunder, the “Exchange Act”) or by such other means as is reasonably designed to inform the public or stockholders of the corporation in general of such information, including, without limitation, posting on the corporation’s investor relations website.</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Only persons who are nominated in accordance with the procedures set forth in Article II, Section 11(b), Section 11(c), or Section 11(e) shall be eligible for election as directors.</w:t>
      </w:r>
    </w:p>
    <w:p>
      <w:pPr>
        <w:spacing w:after="0" w:line="160" w:lineRule="exact"/>
        <w:rPr>
          <w:sz w:val="20"/>
          <w:szCs w:val="20"/>
          <w:color w:val="auto"/>
        </w:rPr>
      </w:pPr>
    </w:p>
    <w:p>
      <w:pPr>
        <w:ind w:right="40" w:firstLine="656"/>
        <w:spacing w:after="0" w:line="257" w:lineRule="auto"/>
        <w:tabs>
          <w:tab w:leader="none" w:pos="9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Meetings of Stockholders; Notice Procedures</w:t>
      </w:r>
      <w:r>
        <w:rPr>
          <w:rFonts w:ascii="Times New Roman" w:cs="Times New Roman" w:eastAsia="Times New Roman" w:hAnsi="Times New Roman"/>
          <w:sz w:val="18"/>
          <w:szCs w:val="18"/>
          <w:color w:val="auto"/>
        </w:rPr>
        <w:t>. Nominations of persons for election to the Board of Directors or the proposal of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to be transacted by the stockholders at an annual meeting of stockholders may be made by or at the direction of the Board of Directors or any committee thereof as set forth in clauses (i) and (ii) of Article II, Section 11(a) or by any stockholder of the corporation as set forth in clause (iii) of Article II, Section 11(a) who complies with the notice procedures set forth in this Article II, Section 11(b). Such nominations and other business, other than those made by or at the direction of the Board of Directors or any committee thereof, shall be made pursuant to timely notice in writing to the Secretary in accordance with the provisions of Article II, Section 11(a). A stockholder's notice to the Secretary shall set forth:</w:t>
      </w:r>
    </w:p>
    <w:p>
      <w:pPr>
        <w:spacing w:after="0" w:line="184"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as a director:</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of each nominee proposed in such notice,</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each such nominee,</w:t>
      </w:r>
    </w:p>
    <w:p>
      <w:pPr>
        <w:spacing w:after="0" w:line="225" w:lineRule="exact"/>
        <w:rPr>
          <w:rFonts w:ascii="Times New Roman" w:cs="Times New Roman" w:eastAsia="Times New Roman" w:hAnsi="Times New Roman"/>
          <w:sz w:val="18"/>
          <w:szCs w:val="18"/>
          <w:color w:val="auto"/>
        </w:rPr>
      </w:pPr>
    </w:p>
    <w:p>
      <w:pPr>
        <w:ind w:left="1300" w:right="340" w:firstLine="652"/>
        <w:spacing w:after="0" w:line="258" w:lineRule="auto"/>
        <w:tabs>
          <w:tab w:leader="none" w:pos="2233"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capital stock of the corporation which are held of record or are beneficially owned by each such nominee and any (i) Derivative Instruments (as defined below) held or beneficially owned by such person, including the full notional amount of any securities that, directly or indirectly, underlie any Derivative Instrument; and (ii) other agreement, arrangement or understanding that has been made the effect or intent of which is to create or mitigate loss to, manage risk or benefit of share price changes for, or increase or decrease the voting power of such person with respect to the corporation’s securities,</w:t>
      </w:r>
    </w:p>
    <w:p>
      <w:pPr>
        <w:spacing w:after="0" w:line="183" w:lineRule="exact"/>
        <w:rPr>
          <w:rFonts w:ascii="Times New Roman" w:cs="Times New Roman" w:eastAsia="Times New Roman" w:hAnsi="Times New Roman"/>
          <w:sz w:val="18"/>
          <w:szCs w:val="18"/>
          <w:color w:val="auto"/>
        </w:rPr>
      </w:pPr>
    </w:p>
    <w:p>
      <w:pPr>
        <w:ind w:left="1300" w:right="60" w:firstLine="652"/>
        <w:spacing w:after="0" w:line="258" w:lineRule="auto"/>
        <w:tabs>
          <w:tab w:leader="none" w:pos="2243"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compensatory, reimbursement, indemnification, payment or other financial agreement, arrangement or understanding that such nominee has, or has had within the past three years, with any person or entity other than the corporation (including, without limitation, the amount of any payment or payments received or receivable thereunder), in each case in connection with candidacy or service as a director of the corporation, (such agreement, arrangement or understanding, a “Compensation Arrangement”),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ind w:left="640" w:right="220" w:firstLine="652"/>
        <w:spacing w:after="0" w:line="266" w:lineRule="auto"/>
        <w:tabs>
          <w:tab w:leader="none" w:pos="156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concerning each such nominee as would be required to be disclosed in a proxy statement soliciting proxies for the election of such nominee as a director in an election contest (even if an election contest is not involved) or that is otherwise required to be disclosed, in each case pursuant to Section 14 of the Exchange Act,</w:t>
      </w:r>
    </w:p>
    <w:p>
      <w:pPr>
        <w:spacing w:after="0" w:line="175" w:lineRule="exact"/>
        <w:rPr>
          <w:rFonts w:ascii="Times New Roman" w:cs="Times New Roman" w:eastAsia="Times New Roman" w:hAnsi="Times New Roman"/>
          <w:sz w:val="18"/>
          <w:szCs w:val="18"/>
          <w:color w:val="auto"/>
        </w:rPr>
      </w:pPr>
    </w:p>
    <w:p>
      <w:pPr>
        <w:ind w:left="640" w:right="40" w:firstLine="652"/>
        <w:spacing w:after="0" w:line="282" w:lineRule="auto"/>
        <w:tabs>
          <w:tab w:leader="none" w:pos="155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nominee (x) to being named in the proxy statement as a nominee of such stockholder, (y) to being named in the corporation’s form of proxy pursuant to Rule 14a-19 under the Exchange Act and (z) to serving as a director if elected, and</w:t>
      </w:r>
    </w:p>
    <w:p>
      <w:pPr>
        <w:spacing w:after="0" w:line="161" w:lineRule="exact"/>
        <w:rPr>
          <w:rFonts w:ascii="Times New Roman" w:cs="Times New Roman" w:eastAsia="Times New Roman" w:hAnsi="Times New Roman"/>
          <w:sz w:val="18"/>
          <w:szCs w:val="18"/>
          <w:color w:val="auto"/>
        </w:rPr>
      </w:pPr>
    </w:p>
    <w:p>
      <w:pPr>
        <w:ind w:left="640" w:firstLine="652"/>
        <w:spacing w:after="0" w:line="256" w:lineRule="auto"/>
        <w:tabs>
          <w:tab w:leader="none" w:pos="158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other material relationships between such nominee and such nominee’s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 including, without limitation, all information that would be required to be disclosed pursuant to Item 404 under Regulation S-K if such stockholder, beneficial owner, affiliate or associate were the “registrant” for purposes of such rule and such person were a director or executive officer of such registrant, and</w:t>
      </w:r>
    </w:p>
    <w:p>
      <w:pPr>
        <w:spacing w:after="0" w:line="187"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annual meeting:</w:t>
      </w:r>
    </w:p>
    <w:p>
      <w:pPr>
        <w:spacing w:after="0" w:line="225" w:lineRule="exact"/>
        <w:rPr>
          <w:rFonts w:ascii="Times New Roman" w:cs="Times New Roman" w:eastAsia="Times New Roman" w:hAnsi="Times New Roman"/>
          <w:sz w:val="18"/>
          <w:szCs w:val="18"/>
          <w:color w:val="auto"/>
        </w:rPr>
      </w:pPr>
    </w:p>
    <w:p>
      <w:pPr>
        <w:ind w:left="1580" w:hanging="288"/>
        <w:spacing w:after="0"/>
        <w:tabs>
          <w:tab w:leader="none" w:pos="15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annual meeting,</w:t>
      </w:r>
    </w:p>
    <w:p>
      <w:pPr>
        <w:spacing w:after="0" w:line="225" w:lineRule="exact"/>
        <w:rPr>
          <w:rFonts w:ascii="Times New Roman" w:cs="Times New Roman" w:eastAsia="Times New Roman" w:hAnsi="Times New Roman"/>
          <w:sz w:val="18"/>
          <w:szCs w:val="18"/>
          <w:color w:val="auto"/>
        </w:rPr>
      </w:pPr>
    </w:p>
    <w:p>
      <w:pPr>
        <w:ind w:left="640" w:right="220" w:firstLine="652"/>
        <w:spacing w:after="0" w:line="282" w:lineRule="auto"/>
        <w:tabs>
          <w:tab w:leader="none" w:pos="157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proposal or business (including the text of any resolutions proposed for consideration and, if applicable, the text of any proposed amendment to these Bylaws),</w:t>
      </w:r>
    </w:p>
    <w:p>
      <w:pPr>
        <w:spacing w:after="0" w:line="161" w:lineRule="exact"/>
        <w:rPr>
          <w:rFonts w:ascii="Times New Roman" w:cs="Times New Roman" w:eastAsia="Times New Roman" w:hAnsi="Times New Roman"/>
          <w:sz w:val="18"/>
          <w:szCs w:val="18"/>
          <w:color w:val="auto"/>
        </w:rPr>
      </w:pPr>
    </w:p>
    <w:p>
      <w:pPr>
        <w:ind w:left="1580" w:hanging="288"/>
        <w:spacing w:after="0"/>
        <w:tabs>
          <w:tab w:leader="none" w:pos="15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conducting such business at the annual meeting,</w:t>
      </w:r>
    </w:p>
    <w:p>
      <w:pPr>
        <w:spacing w:after="0" w:line="225"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8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161" w:lineRule="exact"/>
        <w:rPr>
          <w:rFonts w:ascii="Times New Roman" w:cs="Times New Roman" w:eastAsia="Times New Roman" w:hAnsi="Times New Roman"/>
          <w:sz w:val="18"/>
          <w:szCs w:val="18"/>
          <w:color w:val="auto"/>
        </w:rPr>
      </w:pPr>
    </w:p>
    <w:p>
      <w:pPr>
        <w:jc w:val="both"/>
        <w:ind w:left="640" w:right="480" w:firstLine="652"/>
        <w:spacing w:after="0" w:line="266" w:lineRule="auto"/>
        <w:tabs>
          <w:tab w:leader="none" w:pos="15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arrangements and understandings between such stockholder and the beneficial owner, if any, on whose behalf the proposal is made, and their respective affiliates or associates or others acting in concert with them, and any other persons (including their names) in connection with the proposal of such business by such stockholder, and</w:t>
      </w:r>
    </w:p>
    <w:p>
      <w:pPr>
        <w:spacing w:after="0" w:line="175"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proposing stockholder giving the notice and the beneficial owner, if any, on whose behalf the nomination or proposal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207" w:lineRule="exact"/>
        <w:rPr>
          <w:sz w:val="20"/>
          <w:szCs w:val="20"/>
          <w:color w:val="auto"/>
        </w:rPr>
      </w:pPr>
    </w:p>
    <w:p>
      <w:pPr>
        <w:ind w:left="640" w:right="420" w:firstLine="652"/>
        <w:spacing w:after="0" w:line="282" w:lineRule="auto"/>
        <w:tabs>
          <w:tab w:leader="none" w:pos="15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stockholder as they appear on the corporation's books, of the beneficial owner, and of their respective affiliates or associates or others acting in concert with them,</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ind w:left="180" w:right="20" w:firstLine="652"/>
        <w:spacing w:after="0" w:line="266" w:lineRule="auto"/>
        <w:tabs>
          <w:tab w:leader="none" w:pos="11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of stock of the corporation that are, directly or indirectly, held of record or are beneficially owned by the proposing stockholder, the beneficial owner, or their respective affiliates or associates or others acting in concert with them, as of the date of the proposing stockholder's notice,</w:t>
      </w:r>
    </w:p>
    <w:p>
      <w:pPr>
        <w:spacing w:after="0" w:line="175" w:lineRule="exact"/>
        <w:rPr>
          <w:rFonts w:ascii="Times New Roman" w:cs="Times New Roman" w:eastAsia="Times New Roman" w:hAnsi="Times New Roman"/>
          <w:sz w:val="18"/>
          <w:szCs w:val="18"/>
          <w:color w:val="auto"/>
        </w:rPr>
      </w:pPr>
    </w:p>
    <w:p>
      <w:pPr>
        <w:ind w:left="180" w:right="40" w:firstLine="652"/>
        <w:spacing w:after="0" w:line="266" w:lineRule="auto"/>
        <w:tabs>
          <w:tab w:leader="none" w:pos="11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arrangement or understanding with respect to such nomination or other proposal between or among the proposing stockholder, the beneficial owner or their respective affiliates or associates or others acting in concert with them, and any other person or persons (including, in each case, their names) in connection with the proposal of each such nomination or other business,</w:t>
      </w:r>
    </w:p>
    <w:p>
      <w:pPr>
        <w:spacing w:after="0" w:line="175" w:lineRule="exact"/>
        <w:rPr>
          <w:rFonts w:ascii="Times New Roman" w:cs="Times New Roman" w:eastAsia="Times New Roman" w:hAnsi="Times New Roman"/>
          <w:sz w:val="18"/>
          <w:szCs w:val="18"/>
          <w:color w:val="auto"/>
        </w:rPr>
      </w:pPr>
    </w:p>
    <w:p>
      <w:pPr>
        <w:ind w:left="180" w:firstLine="652"/>
        <w:spacing w:after="0" w:line="254" w:lineRule="auto"/>
        <w:tabs>
          <w:tab w:leader="none" w:pos="11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(x) agreement, arrangement or understanding (including, without limitation and regardless of the form of settlement, any derivative, long or short positions, profit interests, forwards, futures, swaps, options, warrants, convertible securities, stock appreciation or similar rights, hedging transactions, and borrowed or loaned shares) that has been entered into as of the date of the proposing stockholder's notice by, or on behalf of, the proposing stockholder, the beneficial owner or their affiliates or associates or others acting in concert with them with respect to the corporation’s securities (any of the foregoing, a “Derivative Instrument”, including the full notional amount of any securities that, directly or indirectly, underlie any Derivative Instrument, and (y) other agreement, arrangement or understanding that has been made the effect or intent of which is to create or mitigate loss to, manage risk or benefit of share price changes for, or increase or decrease the voting power of, the proposing stockholder, the beneficial owner or their respective affiliates or associates or others acting in concert with them with respect to shares of stock of the corporation,</w:t>
      </w:r>
    </w:p>
    <w:p>
      <w:pPr>
        <w:spacing w:after="0" w:line="188" w:lineRule="exact"/>
        <w:rPr>
          <w:rFonts w:ascii="Times New Roman" w:cs="Times New Roman" w:eastAsia="Times New Roman" w:hAnsi="Times New Roman"/>
          <w:sz w:val="18"/>
          <w:szCs w:val="18"/>
          <w:color w:val="auto"/>
        </w:rPr>
      </w:pPr>
    </w:p>
    <w:p>
      <w:pPr>
        <w:jc w:val="both"/>
        <w:ind w:left="180" w:right="100" w:firstLine="652"/>
        <w:spacing w:after="0" w:line="266" w:lineRule="auto"/>
        <w:tabs>
          <w:tab w:leader="none" w:pos="11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proxy, contract, arrangement, understanding or relationship pursuant to which the proposing stockholder, the beneficial owner or their respective affiliates or associates or others acting in concert with them has a right to vote any shares of any security of the corporation,</w:t>
      </w:r>
    </w:p>
    <w:p>
      <w:pPr>
        <w:spacing w:after="0" w:line="175" w:lineRule="exact"/>
        <w:rPr>
          <w:rFonts w:ascii="Times New Roman" w:cs="Times New Roman" w:eastAsia="Times New Roman" w:hAnsi="Times New Roman"/>
          <w:sz w:val="18"/>
          <w:szCs w:val="18"/>
          <w:color w:val="auto"/>
        </w:rPr>
      </w:pPr>
    </w:p>
    <w:p>
      <w:pPr>
        <w:ind w:left="180" w:right="120" w:firstLine="652"/>
        <w:spacing w:after="0" w:line="266" w:lineRule="auto"/>
        <w:tabs>
          <w:tab w:leader="none" w:pos="10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dividends on the corporation’s securities owned beneficially by the proposed stockholder, the beneficial owner or their respective affiliates or associates or others acting in concert with them that are separated or separable from the underlying security,</w:t>
      </w:r>
    </w:p>
    <w:p>
      <w:pPr>
        <w:spacing w:after="0" w:line="175" w:lineRule="exact"/>
        <w:rPr>
          <w:rFonts w:ascii="Times New Roman" w:cs="Times New Roman" w:eastAsia="Times New Roman" w:hAnsi="Times New Roman"/>
          <w:sz w:val="18"/>
          <w:szCs w:val="18"/>
          <w:color w:val="auto"/>
        </w:rPr>
      </w:pPr>
    </w:p>
    <w:p>
      <w:pPr>
        <w:ind w:left="180" w:firstLine="652"/>
        <w:spacing w:after="0" w:line="261" w:lineRule="auto"/>
        <w:tabs>
          <w:tab w:leader="none" w:pos="11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the corporation’s securities or Derivative Instruments held, directly or indirectly, by a general or limited partnership in which the proposing stockholder, the beneficial owner or their respective affiliates or associates or others acting in concert with them is a general partner or, directly or indirectly, beneficially owns an interest in a general partner of such general or limited partnership,</w:t>
      </w:r>
    </w:p>
    <w:p>
      <w:pPr>
        <w:spacing w:after="0" w:line="179" w:lineRule="exact"/>
        <w:rPr>
          <w:rFonts w:ascii="Times New Roman" w:cs="Times New Roman" w:eastAsia="Times New Roman" w:hAnsi="Times New Roman"/>
          <w:sz w:val="18"/>
          <w:szCs w:val="18"/>
          <w:color w:val="auto"/>
        </w:rPr>
      </w:pPr>
    </w:p>
    <w:p>
      <w:pPr>
        <w:ind w:left="180" w:right="120" w:firstLine="652"/>
        <w:spacing w:after="0" w:line="261" w:lineRule="auto"/>
        <w:tabs>
          <w:tab w:leader="none" w:pos="11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performance-related fees (other than an asset-based fee) that the proposing stockholder, the beneficial owner or their respective affiliates or associates or others acting in concert with them is entitled to based on any increase or decrease in the value of the corporation’s securities or Derivative Instruments, including, without limitation, any such interests held by members of the immediate family of such persons sharing the same household,</w:t>
      </w:r>
    </w:p>
    <w:p>
      <w:pPr>
        <w:spacing w:after="0" w:line="179" w:lineRule="exact"/>
        <w:rPr>
          <w:rFonts w:ascii="Times New Roman" w:cs="Times New Roman" w:eastAsia="Times New Roman" w:hAnsi="Times New Roman"/>
          <w:sz w:val="18"/>
          <w:szCs w:val="18"/>
          <w:color w:val="auto"/>
        </w:rPr>
      </w:pPr>
    </w:p>
    <w:p>
      <w:pPr>
        <w:ind w:left="180" w:right="160" w:firstLine="652"/>
        <w:spacing w:after="0" w:line="282" w:lineRule="auto"/>
        <w:tabs>
          <w:tab w:leader="none" w:pos="10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equity interests or any Derivative Instruments in any principal competitor of the corporation that are held by the proposing stockholder, the beneficial owner or their respective affiliates or associates or others acting in concert with them,</w:t>
      </w:r>
    </w:p>
    <w:p>
      <w:pPr>
        <w:spacing w:after="0" w:line="161" w:lineRule="exact"/>
        <w:rPr>
          <w:rFonts w:ascii="Times New Roman" w:cs="Times New Roman" w:eastAsia="Times New Roman" w:hAnsi="Times New Roman"/>
          <w:sz w:val="18"/>
          <w:szCs w:val="18"/>
          <w:color w:val="auto"/>
        </w:rPr>
      </w:pPr>
    </w:p>
    <w:p>
      <w:pPr>
        <w:jc w:val="both"/>
        <w:ind w:left="180" w:right="120" w:firstLine="652"/>
        <w:spacing w:after="0" w:line="261" w:lineRule="auto"/>
        <w:tabs>
          <w:tab w:leader="none" w:pos="10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interest of the proposing stockholder, the beneficial owner or their respective affiliates or associates or others acting in concert with them in any contract with the corporation, any affiliate of the corporation or any principal competitor of the corporation (in each case, including, without limitation, any employment agreement, collective bargaining agreement or consulting agreement),</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ind w:left="1300" w:right="140" w:firstLine="652"/>
        <w:spacing w:after="0" w:line="266" w:lineRule="auto"/>
        <w:tabs>
          <w:tab w:leader="none" w:pos="22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pending or threatened legal proceeding in which the proposing stockholder, the beneficial owner or their respective affiliates or associates or others acting in concert with them is a party or material participant involving the corporation or any of its officers, directors, or affiliates,</w:t>
      </w:r>
    </w:p>
    <w:p>
      <w:pPr>
        <w:spacing w:after="0" w:line="175" w:lineRule="exact"/>
        <w:rPr>
          <w:rFonts w:ascii="Times New Roman" w:cs="Times New Roman" w:eastAsia="Times New Roman" w:hAnsi="Times New Roman"/>
          <w:sz w:val="18"/>
          <w:szCs w:val="18"/>
          <w:color w:val="auto"/>
        </w:rPr>
      </w:pPr>
    </w:p>
    <w:p>
      <w:pPr>
        <w:ind w:left="1300" w:right="20" w:firstLine="652"/>
        <w:spacing w:after="0" w:line="312" w:lineRule="auto"/>
        <w:tabs>
          <w:tab w:leader="none" w:pos="222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relationship between the proposing stockholder, the beneficial owner or their respective affiliates or associates or others acting in concert with them, on the one hand, and the corporation or any of its officers, directors, or affiliates, on the other hand,</w:t>
      </w:r>
    </w:p>
    <w:p>
      <w:pPr>
        <w:spacing w:after="0" w:line="139" w:lineRule="exact"/>
        <w:rPr>
          <w:rFonts w:ascii="Times New Roman" w:cs="Times New Roman" w:eastAsia="Times New Roman" w:hAnsi="Times New Roman"/>
          <w:sz w:val="17"/>
          <w:szCs w:val="17"/>
          <w:color w:val="auto"/>
        </w:rPr>
      </w:pPr>
    </w:p>
    <w:p>
      <w:pPr>
        <w:ind w:left="1300" w:firstLine="652"/>
        <w:spacing w:after="0" w:line="266" w:lineRule="auto"/>
        <w:tabs>
          <w:tab w:leader="none" w:pos="22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undertaking that the proposing stockholder is a holder of record of shares of the corporation as of the date of submission of the stockholder’s notice and intends to appear in person or by proxy at the annual meeting to bring such nomination or other business before the annual meeting,</w:t>
      </w:r>
    </w:p>
    <w:p>
      <w:pPr>
        <w:spacing w:after="0" w:line="175" w:lineRule="exact"/>
        <w:rPr>
          <w:rFonts w:ascii="Times New Roman" w:cs="Times New Roman" w:eastAsia="Times New Roman" w:hAnsi="Times New Roman"/>
          <w:sz w:val="18"/>
          <w:szCs w:val="18"/>
          <w:color w:val="auto"/>
        </w:rPr>
      </w:pPr>
    </w:p>
    <w:p>
      <w:pPr>
        <w:ind w:left="1300" w:right="40" w:firstLine="652"/>
        <w:spacing w:after="0" w:line="255" w:lineRule="auto"/>
        <w:tabs>
          <w:tab w:leader="none" w:pos="22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undertaking as to whether the proposing stockholder, the beneficial owner or their respective affiliates, associates or others acting in concert with them intends, or is part of a group that intends, to (x) deliver a proxy statement or form of proxy to holders of at least the percentage of the voting power of the corporation's then-outstanding capital stock required to approve or adopt the proposal or elect each such nominee (which, in the case of the election of a nominee, such representation and undertaking must include a statement as to whether the proposing stockholder, the beneficial owner or their respective affiliates or associates or others acting in concert with them intends to solicit the requisite percentage of the voting power of the corporation’s stock under Rule 14a-19 of the Exchange Act) or (y) otherwise solicit proxies from stockholders in support of such proposal or nomination,</w:t>
      </w:r>
    </w:p>
    <w:p>
      <w:pPr>
        <w:spacing w:after="0" w:line="188" w:lineRule="exact"/>
        <w:rPr>
          <w:rFonts w:ascii="Times New Roman" w:cs="Times New Roman" w:eastAsia="Times New Roman" w:hAnsi="Times New Roman"/>
          <w:sz w:val="18"/>
          <w:szCs w:val="18"/>
          <w:color w:val="auto"/>
        </w:rPr>
      </w:pPr>
    </w:p>
    <w:p>
      <w:pPr>
        <w:ind w:left="1300" w:firstLine="652"/>
        <w:spacing w:after="0" w:line="261" w:lineRule="auto"/>
        <w:tabs>
          <w:tab w:leader="none" w:pos="22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proposing stockholder, the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Exchange Act, and</w:t>
      </w:r>
    </w:p>
    <w:p>
      <w:pPr>
        <w:spacing w:after="0" w:line="179" w:lineRule="exact"/>
        <w:rPr>
          <w:rFonts w:ascii="Times New Roman" w:cs="Times New Roman" w:eastAsia="Times New Roman" w:hAnsi="Times New Roman"/>
          <w:sz w:val="18"/>
          <w:szCs w:val="18"/>
          <w:color w:val="auto"/>
        </w:rPr>
      </w:pPr>
    </w:p>
    <w:p>
      <w:pPr>
        <w:ind w:left="1300" w:right="340" w:firstLine="652"/>
        <w:spacing w:after="0" w:line="282" w:lineRule="auto"/>
        <w:tabs>
          <w:tab w:leader="none" w:pos="22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relating to any proposed item of business as the corporation may reasonably require to determine whether such proposed item of business is a proper matter for stockholder action.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the requirements of this Article II, Section 11, to be timely, a stockholder’s notice (and any additional information submitted to the corporation in connection therewith) must further be updated and supplemented (x) if necessary, so that the information provided or required to be provided in such notice is true and correct as of the record date(s) for determining the stockholders entitled to notice of, and to vote at, the annual meeting and as of the date that is 10 business days prior to the annual meeting or any adjournment, rescheduling, postponement or other delay thereof; and (y) to provide any additional information that the corporation may reasonably request.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ind w:right="100"/>
        <w:spacing w:after="0" w:line="268" w:lineRule="auto"/>
        <w:rPr>
          <w:sz w:val="20"/>
          <w:szCs w:val="20"/>
          <w:color w:val="auto"/>
        </w:rPr>
      </w:pPr>
      <w:r>
        <w:rPr>
          <w:rFonts w:ascii="Times New Roman" w:cs="Times New Roman" w:eastAsia="Times New Roman" w:hAnsi="Times New Roman"/>
          <w:sz w:val="17"/>
          <w:szCs w:val="17"/>
          <w:color w:val="auto"/>
        </w:rPr>
        <w:t>Any such update and supplement or additional information (including, if requested pursuant to Article II, Section 11(b)(iii)(P)) must be received by the Secretary at the principal executive offices of the corporation (A) in the case of a request for additional information, promptly following a request therefor, which response must be received by the Secretary not later than such reasonable time as is specified in any such request from the corporation; or (B) in the case of any other update or supplement of any information, not later than five (5) business days after the record date(s) for the annual meeting (in the case of any update and supplement required to be made as of the record date(s)), and not later than eight (8) business days prior to the date for the annual meeting or any adjournment, rescheduling, postponement or other delay thereof (in the case of any update or supplement required to be made as of ten</w:t>
      </w:r>
    </w:p>
    <w:p>
      <w:pPr>
        <w:spacing w:after="0" w:line="5" w:lineRule="exact"/>
        <w:rPr>
          <w:sz w:val="20"/>
          <w:szCs w:val="20"/>
          <w:color w:val="auto"/>
        </w:rPr>
      </w:pPr>
    </w:p>
    <w:p>
      <w:pPr>
        <w:ind w:firstLine="8"/>
        <w:spacing w:after="0" w:line="251" w:lineRule="auto"/>
        <w:tabs>
          <w:tab w:leader="none" w:pos="3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annual meeting or any adjournment, rescheduling, postponement or other delay thereof). No later than five (5) business days prior to the annual meeting or any adjournment, rescheduling, postponement, or other delay thereof, a stockholder nominating individuals for election as a director will provide the corporation with reasonable evidence that such stockholder has met the requirements of Rule 14a-19. The failure to timely provide such update, supplement, evidence, or additional information shall result in the nomination or proposal no longer being eligible for consideration at the annual meeting. If the stockholder fails to comply with the requirements of Rule 14a-19 (including because the stockholder fails to provide the corporation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corporation and counted for the purposes of determining quorum. For the avoidance of doubt, the obligation to update and supplement, or provide additional information or evidence, as set forth in these Bylaws shall not limit the corporation’s rights with respect to any deficiencies in any notice provided by a stockholder, extend any applicable deadlines pursuant to these Bylaws or enable or be deemed to permit a stockholder who has previously submitted notice pursuant to these Bylaws to amend or update any nomination or to submit any new nomination. No disclosure pursuant to these Bylaws will be required with respect to the ordinary course business activities of any broker, dealer, commercial bank, trust company, or other nominee who is the stockholder submitting a notice pursuant to this Article II, Section 11 solely because such broker, dealer, commercial bank, trust company, or other nominee has been directed to prepare and submit the notice required by these Bylaws on behalf of a beneficial owner.</w:t>
      </w:r>
    </w:p>
    <w:p>
      <w:pPr>
        <w:spacing w:after="0" w:line="18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Proxy Access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40" w:firstLine="644"/>
        <w:spacing w:after="0" w:line="253" w:lineRule="auto"/>
        <w:tabs>
          <w:tab w:leader="none" w:pos="1523"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Inclusion of Proxy Access Nominees in Proxy Materials</w:t>
      </w:r>
      <w:r>
        <w:rPr>
          <w:rFonts w:ascii="Times New Roman" w:cs="Times New Roman" w:eastAsia="Times New Roman" w:hAnsi="Times New Roman"/>
          <w:sz w:val="18"/>
          <w:szCs w:val="18"/>
          <w:color w:val="auto"/>
        </w:rPr>
        <w:t>. Subject to the requirements of Article II, Section 11, the corporation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in its proxy statement and on its proxy card for any annual meeting of stockholders, the name of any director nominee, together with the Required Information (defined below), proposed by a stockholder for election to the Board of Directors who is properly submitted pursuant to this Article II, Section 11(c) (each a “Proxy Access Nominee”) provided that (A) timely written notice of such Proxy Access Nominee satisfying this Article II, Section 11(c) (“Proxy Access Nomination Notice”) is delivered to the corporation by or on behalf of a stockholder or group of stockholders that, at the time the Proxy Access Nomination Notice is delivered, satisfy the ownership and other requirements of this Article II, Section 11(c) (such stockholder or stockholders, and any person on whose behalf they are acting, the “Eligible Stockholder”), (B) the Eligible Stockholder expressly elects in writing at the time of providing the Proxy Access Nomination Notice to have its nominee included in the corporation’s proxy statement pursuant to this Article II, Section 11(c), and (C) the Eligible Stockholder and the Proxy Access Nominee otherwise satisfy the requirements of this Article II, Section 11(c) and the criteria for membership on the Board of Directors set forth in the Corporate Governance Guidelines for the corporation or other document(s) setting forth qualifications for directors (the “Board Qualifications”).</w:t>
      </w:r>
    </w:p>
    <w:p>
      <w:pPr>
        <w:spacing w:after="0" w:line="191" w:lineRule="exact"/>
        <w:rPr>
          <w:rFonts w:ascii="Times New Roman" w:cs="Times New Roman" w:eastAsia="Times New Roman" w:hAnsi="Times New Roman"/>
          <w:sz w:val="18"/>
          <w:szCs w:val="18"/>
          <w:color w:val="auto"/>
        </w:rPr>
      </w:pPr>
    </w:p>
    <w:p>
      <w:pPr>
        <w:ind w:left="660" w:right="40" w:firstLine="644"/>
        <w:spacing w:after="0" w:line="253" w:lineRule="auto"/>
        <w:tabs>
          <w:tab w:leader="none" w:pos="1573"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Proxy Access Nomination Notice</w:t>
      </w:r>
      <w:r>
        <w:rPr>
          <w:rFonts w:ascii="Times New Roman" w:cs="Times New Roman" w:eastAsia="Times New Roman" w:hAnsi="Times New Roman"/>
          <w:sz w:val="18"/>
          <w:szCs w:val="18"/>
          <w:color w:val="auto"/>
        </w:rPr>
        <w:t>. To be timely, the Proxy Access Nomination Notice must be received by the Secretary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principal executive office of the corporation no later than 5:00 p.m., Mountain time, on the 120th calendar day and no earlier than 8:00 a.m., Mountain time, on the 150th calendar day prior to the first anniversary of the date on which the corporation first mailed its proxy materials or a notice of availability of proxy materials (whichever is earlier) to stockholders in connection with the previous year’s annual meeting of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no annual meeting was held in the previous year or the date of the annual meeting for the current year has been changed by more than thirty (30) days from the one-year anniversary of the previous year’s annual meeting, notice by the stockholder to be timely it must be so received no earlier than 8:00 a.m., Mountain time, on the 150th calendar day prior to the date of such annual meeting and no later than 5:00 p.m., Mountain time, on the later of: (A) the 120th calendar day prior to the date of such annual meeting or (B) the 10th calendar day following the day on which the public announcement of the date of such annual meeting is first made by the corporation. In no event shall the public announcement of an adjournment, rescheduling, postponement, or other delay of an annual meeting of stockholders commence a new time period (or extend any time period) for the submission of such Proxy Access Nomination.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right="200" w:firstLine="644"/>
        <w:spacing w:after="0" w:line="275" w:lineRule="auto"/>
        <w:tabs>
          <w:tab w:leader="none" w:pos="96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Required information</w:t>
      </w:r>
      <w:r>
        <w:rPr>
          <w:rFonts w:ascii="Times New Roman" w:cs="Times New Roman" w:eastAsia="Times New Roman" w:hAnsi="Times New Roman"/>
          <w:sz w:val="17"/>
          <w:szCs w:val="17"/>
          <w:color w:val="auto"/>
        </w:rPr>
        <w:t>. In addition to including the name of the Proxy Access Nominee in the corporation’s proxy statement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meeting of stockholders, the corporation also shall include (A) the information concerning the Proxy Access Nominee and the Eligible Stockholder that is required to be disclosed in the corporation’s proxy statement pursuant to the proxy rules of the SEC and (B) a Statement (defined below) (collectively, the “Required Information”). To be timely, the Required Information must be received by the Secretary at the principal office of the corporation within the time period specified in Article II, Section 11(c)(ii). Nothing in this Article II, Section 11(c) shall limit the corporation’s ability to solicit against and include in its proxy statement its own statements relating to any Proxy Access Nominee.</w:t>
      </w:r>
    </w:p>
    <w:p>
      <w:pPr>
        <w:spacing w:after="0" w:line="168" w:lineRule="exact"/>
        <w:rPr>
          <w:rFonts w:ascii="Times New Roman" w:cs="Times New Roman" w:eastAsia="Times New Roman" w:hAnsi="Times New Roman"/>
          <w:sz w:val="17"/>
          <w:szCs w:val="17"/>
          <w:color w:val="auto"/>
        </w:rPr>
      </w:pPr>
    </w:p>
    <w:p>
      <w:pPr>
        <w:ind w:right="160" w:firstLine="644"/>
        <w:spacing w:after="0" w:line="258" w:lineRule="auto"/>
        <w:tabs>
          <w:tab w:leader="none" w:pos="9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Number of Proxy Access Nominees</w:t>
      </w:r>
      <w:r>
        <w:rPr>
          <w:rFonts w:ascii="Times New Roman" w:cs="Times New Roman" w:eastAsia="Times New Roman" w:hAnsi="Times New Roman"/>
          <w:sz w:val="18"/>
          <w:szCs w:val="18"/>
          <w:color w:val="auto"/>
        </w:rPr>
        <w:t>. The maximum number of Proxy Access Nominees nominated by all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that will be included in the corporation’s proxy materials with respect to an annual meeting of stockholders pursuant to this Article II, Section 11(c) shall not exceed the greater of (A) two (2) and (B) 20 % of the total number of directors in office (rounded down to the nearest whole number), as of the last day on which a Proxy Access Nomination Notice may be delivered pursuant to and in accordance with this Article II, Section 11(c) (the “Permitted Number”); provided, however, the Permitted Number shall be reduced (but not below one) by:</w:t>
      </w:r>
    </w:p>
    <w:p>
      <w:pPr>
        <w:spacing w:after="0" w:line="185" w:lineRule="exact"/>
        <w:rPr>
          <w:rFonts w:ascii="Times New Roman" w:cs="Times New Roman" w:eastAsia="Times New Roman" w:hAnsi="Times New Roman"/>
          <w:sz w:val="18"/>
          <w:szCs w:val="18"/>
          <w:color w:val="auto"/>
        </w:rPr>
      </w:pPr>
    </w:p>
    <w:p>
      <w:pPr>
        <w:ind w:left="640" w:firstLine="652"/>
        <w:spacing w:after="0" w:line="256" w:lineRule="auto"/>
        <w:tabs>
          <w:tab w:leader="none" w:pos="158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individuals serving as directors or nominees for director who, in either case, were elected or appointed to the Board of Directors or will be included in the corporation’s proxy materials as nominees of the Board of Directors pursuant to an agreement, arrangement or other understanding with a stockholder or group of stockholders (other than any such agreement, arrangement or understanding entered into in connection with an acquisition of stock of the corporation by such stockholder or group of stockholders from the corporation), other than any such director who at the time of such annual meeting will have served as a director continuously, as a nominee of the Board of Directors, for at least two (2) annual terms;</w:t>
      </w:r>
    </w:p>
    <w:p>
      <w:pPr>
        <w:spacing w:after="0" w:line="187" w:lineRule="exact"/>
        <w:rPr>
          <w:rFonts w:ascii="Times New Roman" w:cs="Times New Roman" w:eastAsia="Times New Roman" w:hAnsi="Times New Roman"/>
          <w:sz w:val="18"/>
          <w:szCs w:val="18"/>
          <w:color w:val="auto"/>
        </w:rPr>
      </w:pPr>
    </w:p>
    <w:p>
      <w:pPr>
        <w:ind w:left="640" w:right="420" w:firstLine="652"/>
        <w:spacing w:after="0" w:line="261" w:lineRule="auto"/>
        <w:tabs>
          <w:tab w:leader="none" w:pos="157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currently in office that will be included in the corporation’s proxy materials as nominees of the Board of Directors who were previously Proxy Access Nominees elected to the Board of Directors pursuant to this Article II, Section 11(c), other than any such director who at the time of such annual meeting will have served as a director continuously, as a nominee of the Board of Directors, for at least two (2) annual terms.</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For purposes of determining when the Permitted Number has been reached, any individual nominated by an Eligible Stockholder for inclusion in the Corporation’s proxy materials pursuant to this Article II, Section 11(c) whose nomination is subsequently withdrawn or whom the Board of Directors decides to nominate for election to the Board of Directors shall be counted as one of the Proxy Access Nominees. In the event that one or more vacancies or other unfilled seats in previously authorized directorships for any reason occurs on the Board of Directors after the deadline for delivery of Proxy Access Nomination Notice but before the date of the annual meeting and the Board of Directors resolves to reduce the size of the Board of Directors in connection therewith, the Permitted Number shall be calculated based on the number of directors in office as so reduced.</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2" w:right="379" w:bottom="1440" w:gutter="0" w:footer="0" w:header="0"/>
        </w:sectPr>
      </w:pPr>
    </w:p>
    <w:bookmarkStart w:id="14" w:name="page15"/>
    <w:bookmarkEnd w:id="14"/>
    <w:p>
      <w:pPr>
        <w:spacing w:after="0" w:line="253" w:lineRule="auto"/>
        <w:rPr>
          <w:sz w:val="20"/>
          <w:szCs w:val="20"/>
          <w:color w:val="auto"/>
        </w:rPr>
      </w:pPr>
      <w:r>
        <w:rPr>
          <w:rFonts w:ascii="Times New Roman" w:cs="Times New Roman" w:eastAsia="Times New Roman" w:hAnsi="Times New Roman"/>
          <w:sz w:val="18"/>
          <w:szCs w:val="18"/>
          <w:color w:val="auto"/>
        </w:rPr>
        <w:t>Any Eligible Stockholder submitting more than one Proxy Access Nominee for inclusion in the corporation’s proxy materials pursuant to this Article II, Section 11(c) shall rank such Proxy Access Nominees in its Proxy Access Nomination Notice based on the order that the Eligible Stockholder desires such Proxy Access Nominees to be selected for inclusion in the corporation’s proxy materials. In the event that the number of Proxy Access Nominees submitted by Eligible Stockholders pursuant to this Article II, Section 11(c) exceeds the Permitted Number, the highest ranking Proxy Access Nominee who meets the requirements of this Article II, Section 11(c) of each Eligible Stockholder will be selected for inclusion in the corporation’s proxy materials until the Permitted Number is reached, going in order of the amount (largest to smallest) of shares of the Corporation’s outstanding common stock each Eligible Stockholder disclosed as owned (as defined below) in its respective Proxy Access Nomination Notice submitted to the Corporation. If the Permitted Number is not reached after the highest ranking Proxy Access Nominee who meets the requirements of this Article II, Section 11(c) from each Eligible Stockholder has been selected, this process will continue with the next highest ranked nominees as many times as necessary, following the same order each time, until the Permitted Number is reached.</w:t>
      </w:r>
    </w:p>
    <w:p>
      <w:pPr>
        <w:spacing w:after="0" w:line="192" w:lineRule="exact"/>
        <w:rPr>
          <w:sz w:val="20"/>
          <w:szCs w:val="20"/>
          <w:color w:val="auto"/>
        </w:rPr>
      </w:pPr>
    </w:p>
    <w:p>
      <w:pPr>
        <w:ind w:firstLine="644"/>
        <w:spacing w:after="0" w:line="252" w:lineRule="auto"/>
        <w:tabs>
          <w:tab w:leader="none" w:pos="9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 Requirement</w:t>
      </w:r>
      <w:r>
        <w:rPr>
          <w:rFonts w:ascii="Times New Roman" w:cs="Times New Roman" w:eastAsia="Times New Roman" w:hAnsi="Times New Roman"/>
          <w:sz w:val="18"/>
          <w:szCs w:val="18"/>
          <w:color w:val="auto"/>
        </w:rPr>
        <w:t>. An Eligible Stockholder must have owned (as defined below) continuously for at least three years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 Period”) a number of shares that represents three percent (3%) or more of the total voting power of the corporation’s outstanding shares entitled to vote in the election of directors (such required number of shares, the “Required Shares”). For purposes of determining whether the Eligible Stockholder owned the Required Shares for the Holding Period, the number of shares of capital stock will be determined by reference to the corporation’s periodic filings with the SEC during the Holding Period. The Requires Shares must be owned continuously as of (A) the date the Proxy Access Nomination Notice is received by the corporation in accordance with this Article II, Section 11(c), (B) the record date for determining stockholders entitled to vote at the annual meeting of stockholders and (C) the annual meeting date. For purposes of satisfying the ownership requirement under this Article II, Section 11(c), the voting power represented by the shares of the corporation owned by one or more stockholders, or by the person or persons who own shares of the corporation and on whose behalf any stockholder is acting, may be aggregated, provided that the number of stockholders and other persons whose ownership of shares is aggregated for such purpose shall not exceed twenty (20), and a group of two or more funds that are (X) under common management and investment control, (Y) under common management and funded primarily by the same employer (or by a group of related employers that are under common control), or (Z) a “group of investment companies,” as such term is defined in Section 12(d)(1)(G)(ii) of the Investment Company Act of 1940, as amended, shall be treated as one stockholder or person for this purpose. With respect to any annual meeting of stockholders, no person may be a member of more than one group of persons constituting an Eligible Stockholder under this Article II, Section 11(c).</w:t>
      </w:r>
    </w:p>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15" w:name="page16"/>
    <w:bookmarkEnd w:id="15"/>
    <w:p>
      <w:pPr>
        <w:ind w:left="4"/>
        <w:spacing w:after="0" w:line="252" w:lineRule="auto"/>
        <w:rPr>
          <w:sz w:val="20"/>
          <w:szCs w:val="20"/>
          <w:color w:val="auto"/>
        </w:rPr>
      </w:pPr>
      <w:r>
        <w:rPr>
          <w:rFonts w:ascii="Times New Roman" w:cs="Times New Roman" w:eastAsia="Times New Roman" w:hAnsi="Times New Roman"/>
          <w:sz w:val="18"/>
          <w:szCs w:val="18"/>
          <w:color w:val="auto"/>
        </w:rPr>
        <w:t>For purposes of this Article II, Section 11(c), an Eligible Stockholder shall be deemed to “own” only those outstanding shares of the corporation as to which the Eligible Stockholder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Eligible Stockholder or any of its affiliates in any transaction that has not been settled or closed, including any short sale, (2) borrowed by such Eligible Stockholder or any of its affiliates for any purposes or purchased by such person or any of its affiliates pursuant to an agreement to resell, or (3) subject to any option, warrant, forward contract, swap, contract of sale, other Derivative Instrument or similar agreement entered into by such Eligible Stockholder or any of its affiliates, whether any such instrument or agreement is to be settled with shares or with cash based on the notional amount or value of the corporation’s outstanding shares, in any such case which instrument or agreement has, or is intended to have, the purpose or effect of reducing in any manner, to any extent or at any time in the future, such Eligible Stockholders’ or affiliates’ full right to vote or direct the voting of any such shares and/or hedging, offsetting or altering to any degree gain or loss arising from the full economic ownership of such shares by such Eligible Stockholder or affiliate. A person shall “own” shares held in the name of a nominee or other intermediary so long as the person retains the right to instruct how the shares are voted with respect to the election of directors and possesses the full economic interest in the shares. A person will “own"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the person has loaned such shares, provided that the person has the power to recall such loaned shares on five business days’ notice and provides a representation that it will promptly recall such loaned shares upon being notified that any of its Proxy Access Nominees will be included in the corporation’s proxy statement, or the person has delegated any voting power by means of a proxy, power of attorney or other instrument or arrangement that is revocable at any time by the person. The terms “owned,” “owning,” and other variations of the word “own” shall have correlative meanings. For purposes of this Article II, Section 11(c), the term “affiliate” shall have the meaning ascribed thereto pursuant to the proxy rules of the Exchange Act.</w:t>
      </w:r>
    </w:p>
    <w:p>
      <w:pPr>
        <w:spacing w:after="0" w:line="186" w:lineRule="exact"/>
        <w:rPr>
          <w:sz w:val="20"/>
          <w:szCs w:val="20"/>
          <w:color w:val="auto"/>
        </w:rPr>
      </w:pPr>
    </w:p>
    <w:p>
      <w:pPr>
        <w:ind w:left="4" w:right="80" w:firstLine="644"/>
        <w:spacing w:after="0" w:line="269" w:lineRule="auto"/>
        <w:tabs>
          <w:tab w:leader="none" w:pos="95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Representations and Agreement of any Proxy Access Nominee</w:t>
      </w:r>
      <w:r>
        <w:rPr>
          <w:rFonts w:ascii="Times New Roman" w:cs="Times New Roman" w:eastAsia="Times New Roman" w:hAnsi="Times New Roman"/>
          <w:sz w:val="17"/>
          <w:szCs w:val="17"/>
          <w:color w:val="auto"/>
        </w:rPr>
        <w:t>. Within the time period specified in Article II, Section 11(c)(ii)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Proxy Access Nomination Notice, an Eligible Stockholder must provide in writing to the Secretary, with respect to the Proxy Access Nominee, in addition to the information and representations required to be provided in the stockholder’s notice pursuant to Article II, Section 11(b) and as required by Article II, Section 11(e), representations and agreements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w:t>
      </w:r>
    </w:p>
    <w:p>
      <w:pPr>
        <w:spacing w:after="0" w:line="1" w:lineRule="exact"/>
        <w:rPr>
          <w:rFonts w:ascii="Times New Roman" w:cs="Times New Roman" w:eastAsia="Times New Roman" w:hAnsi="Times New Roman"/>
          <w:sz w:val="17"/>
          <w:szCs w:val="17"/>
          <w:color w:val="auto"/>
        </w:rPr>
      </w:pPr>
    </w:p>
    <w:p>
      <w:pPr>
        <w:ind w:left="4" w:right="80" w:hanging="4"/>
        <w:spacing w:after="0" w:line="250" w:lineRule="auto"/>
        <w:tabs>
          <w:tab w:leader="none" w:pos="2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a Compensation Arrangement in connection with such person’s nomination for director and/or service as a director, that has not been disclosed to the corporation. At the request of the corporation, the Proxy Access Nominee must complete, sign and submit all questionnaires required of the Board of Directors within five business days of receipt of each such questionnaire from the corporation and provide within five business days of the corporation’s request such additional information as the corporation determines may be necessary to permit the Board of Directors to determine whether such Proxy Access Nominee meets the requirements of this Article II, Section 11(c) and/or satisfies the Board Qualifications, including whether: (1) such Proxy Access Nominee is independent under the listing standards of each principal U.S. exchange upon which the corporation’s shares are listed, any applicable rules of the SEC, and any publicly disclosed standards used by the Board of Directors in determining and disclosing the independence of members of the Board of Directors (the “Independence Standards”),</w:t>
      </w:r>
    </w:p>
    <w:p>
      <w:pPr>
        <w:spacing w:after="0" w:line="3" w:lineRule="exact"/>
        <w:rPr>
          <w:rFonts w:ascii="Times New Roman" w:cs="Times New Roman" w:eastAsia="Times New Roman" w:hAnsi="Times New Roman"/>
          <w:sz w:val="18"/>
          <w:szCs w:val="18"/>
          <w:color w:val="auto"/>
        </w:rPr>
      </w:pPr>
    </w:p>
    <w:p>
      <w:pPr>
        <w:ind w:left="4"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such Proxy Access Nominee has any direct or indirect relationship with the corporation, and (3) such Proxy Access Nominee is not and has not been subject to any event specified in Item 401(f) of Regulation S-K under the Securities Act, or any order of the type specified in Rule 506(d) of Regulation D under the Securities Act.</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6" w:name="page17"/>
    <w:bookmarkEnd w:id="16"/>
    <w:p>
      <w:pPr>
        <w:ind w:left="4" w:firstLine="644"/>
        <w:spacing w:after="0" w:line="252" w:lineRule="auto"/>
        <w:tabs>
          <w:tab w:leader="none" w:pos="100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to be Provided by an Eligible Stockholder</w:t>
      </w:r>
      <w:r>
        <w:rPr>
          <w:rFonts w:ascii="Times New Roman" w:cs="Times New Roman" w:eastAsia="Times New Roman" w:hAnsi="Times New Roman"/>
          <w:sz w:val="18"/>
          <w:szCs w:val="18"/>
          <w:color w:val="auto"/>
        </w:rPr>
        <w:t>. Within the time period specified in Article II, Section 11(c)(ii) for the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Nomination Notice, an Eligible Stockholder (which for purposes of this Article II, Section 11(c)(vii), will be deemed to include any beneficial owner on whose behalf the nomination is made) making a nomination pursuant to this Article II, Section 11(c) must provide the following information, representations and agreements: (A) the information and representations that would be required to be set forth in stockholder’s notice of a nomination pursuant to Article II, Section 11(b); (B) one or more written statements from the record holder of the shares (and from each intermediary through which the shares are or have been held during the Holding Period) verifying that, as of a date within seven calendar days prior to the date the Proxy Access Nomination Notice is received by the Secretary of the corporation, the Eligible Stockholder owns, and has owned continuously for the Holding Period, the Required Shares, and the Eligible Stockholder’s agreement to provide (1) written statements from the record holder and intermediaries verifying the Eligible Stockholder’s continuous ownership of the Required Shares through the record date by not later than the close of business on the fifth business day after (x) the record date (if, prior to the record date, the corporation</w:t>
      </w:r>
    </w:p>
    <w:p>
      <w:pPr>
        <w:spacing w:after="0" w:line="7" w:lineRule="exact"/>
        <w:rPr>
          <w:rFonts w:ascii="Times New Roman" w:cs="Times New Roman" w:eastAsia="Times New Roman" w:hAnsi="Times New Roman"/>
          <w:sz w:val="18"/>
          <w:szCs w:val="18"/>
          <w:color w:val="auto"/>
        </w:rPr>
      </w:pPr>
    </w:p>
    <w:p>
      <w:pPr>
        <w:ind w:left="4" w:hanging="4"/>
        <w:spacing w:after="0" w:line="265" w:lineRule="auto"/>
        <w:tabs>
          <w:tab w:leader="none" w:pos="24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 a public announcement of such date or (b) delivered a written notice of the record date (including by electronic mail) to the Eligible Stockholder) or (y) the date on which the corporation delivered to the Eligible Stockholder written notice (including by electronic mail) of the record date (if such notice is provided after the record date); and (2) immediate notice if the Eligible Stockholder ceases to own any of the Required Shares prior to the date of the annual meeting of stockholders; (C) documentation satisfactory to the corporation demonstrating that a group of funds are entitled to be treated as one stockholder or person for purposes of this Article II, Section 11(c); (D) a representation that the Eligible Stockholder (including each member of any group of stockholders that together is an Eligible Stockholder hereunder): (1) acquired the Required Shares in the ordinary course of business and not with the intent to change or influence control of the corporation, and does not presently have such intent, (2) has not nominated and will not nominate for election to the Board of Directors at the meeting any person other than the Proxy Access Nominee(s) being nominated pursuant to this Article II, Section 11(c), (3) has not engaged and will not engage in, and has not and will not be, a “participant” in another person’s “solicitation” within the meaning of Rule 14a-1(l) under the Exchange Act in support of the election of any individual as a director at the annual meeting of stockholders other than its Proxy Access Nominee(s) or a nominee of the Board of Directors,</w:t>
      </w:r>
    </w:p>
    <w:p>
      <w:pPr>
        <w:spacing w:after="0" w:line="1" w:lineRule="exact"/>
        <w:rPr>
          <w:rFonts w:ascii="Times New Roman" w:cs="Times New Roman" w:eastAsia="Times New Roman" w:hAnsi="Times New Roman"/>
          <w:sz w:val="17"/>
          <w:szCs w:val="17"/>
          <w:color w:val="auto"/>
        </w:rPr>
      </w:pPr>
    </w:p>
    <w:p>
      <w:pPr>
        <w:ind w:left="4" w:right="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has not and will not distribute to any stockholder any form of proxy for the annual meeting of stockholders other than the form distributed by the corporation, (5) consents to the public disclosure of the information provided pursuant to this Article II, Section 11(c), and (6)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(E) a description of all agreements, arrangements or understandings between the Eligible Stockholder and each Proxy Access Nominee and any other person or persons, including the Proxy Access Nominee, such beneficial owners and control persons (naming such person or persons) pursuant to which the nomination or nominations are to be made by the Eligible Stockholder or that would be required to be disclosed pursuant to Rule 404 promulgated under Regulation S-K of the Exchange Act if the Eligible Stockholder making the nomination and any beneficial owner or control person on whose behalf the nomination is made, if any, or any affiliate or associate thereof or person acting in concert therewith, were the “registrant” for purposes of such rule and the Proxy Access Nominee were a director or executive officer of such registrant (the “Related Person Agreements”); (F) the written consent of each Proxy Access Nominee to be named in the corporation’s proxy statement as a nominee and to serve as a director if elected; (G) a copy of the Schedule 14N that has been filed with the SEC as required by Rule 14a-18 under the Exchange Act; (H) in the case of a nomination by a group of stockholders that together is an Eligible Stockholder, the designation by all group members of one group member that is authorized to act on behalf of all members of the nominating stockholder group with respect to the nominations and matters related thereto, including withdrawal of the nomination; and (I) an undertaking that the Eligible Stockholder agrees to: (1) assume all liability stemming from any legal or regulatory violation arising out of the Eligible Stockholder’s communications with the corporation’s stockholders or out of the information that the Eligible Stockholder provides to the corporation, (2)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solicitation or other activity by the Eligible Stockholder in connection with its efforts to elect the Proxy Access Nominee pursuant to this Article II, Section 11(c), (3) file with the SEC any solicitation with the corporation’s stockholders relating to the meeting at which the Proxy Access Nominee will be nominated, regardless of whether any such filing is required pursuant to the proxy rules of the SEC or whether any exemption from filing is available for such solicitation pursuant to the proxy rules of the SEC, and (4) comply with all other applicable laws, rules, regulations and listing standards with respect to any solicitation in connection with the meeting.</w:t>
      </w:r>
    </w:p>
    <w:p>
      <w:pPr>
        <w:spacing w:after="0" w:line="200" w:lineRule="exact"/>
        <w:rPr>
          <w:sz w:val="20"/>
          <w:szCs w:val="20"/>
          <w:color w:val="auto"/>
        </w:rPr>
      </w:pPr>
    </w:p>
    <w:p>
      <w:pPr>
        <w:spacing w:after="0" w:line="22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2" w:right="359" w:bottom="1440" w:gutter="0" w:footer="0" w:header="0"/>
        </w:sectPr>
      </w:pPr>
    </w:p>
    <w:bookmarkStart w:id="17" w:name="page18"/>
    <w:bookmarkEnd w:id="17"/>
    <w:p>
      <w:pPr>
        <w:ind w:right="20" w:firstLine="644"/>
        <w:spacing w:after="0" w:line="258" w:lineRule="auto"/>
        <w:tabs>
          <w:tab w:leader="none" w:pos="10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Supporting Statement</w:t>
      </w:r>
      <w:r>
        <w:rPr>
          <w:rFonts w:ascii="Times New Roman" w:cs="Times New Roman" w:eastAsia="Times New Roman" w:hAnsi="Times New Roman"/>
          <w:sz w:val="18"/>
          <w:szCs w:val="18"/>
          <w:color w:val="auto"/>
        </w:rPr>
        <w:t>. The Eligible Stockholder may with its Proxy Access Nomination Notice, provide to the Secretary, a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for inclusion in the corporation’s proxy statement for the annual meeting of stockholders, not to exceed 500 words per Proxy Access Nominee, in support of each Proxy Access Nominee it names in its Proxy Access Nomination Notice (the “Statement”). Notwithstanding anything to the contrary contained in this Article II, Section 11(c) the corporation may omit from its proxy statement any information or Statement that it believes would violate any applicable law, rule, regulation, or listing standard.</w:t>
      </w:r>
    </w:p>
    <w:p>
      <w:pPr>
        <w:spacing w:after="0" w:line="183" w:lineRule="exact"/>
        <w:rPr>
          <w:rFonts w:ascii="Times New Roman" w:cs="Times New Roman" w:eastAsia="Times New Roman" w:hAnsi="Times New Roman"/>
          <w:sz w:val="18"/>
          <w:szCs w:val="18"/>
          <w:color w:val="auto"/>
        </w:rPr>
      </w:pPr>
    </w:p>
    <w:p>
      <w:pPr>
        <w:ind w:right="60" w:firstLine="644"/>
        <w:spacing w:after="0" w:line="252" w:lineRule="auto"/>
        <w:tabs>
          <w:tab w:leader="none" w:pos="9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True, Correct and Complete Information</w:t>
      </w:r>
      <w:r>
        <w:rPr>
          <w:rFonts w:ascii="Times New Roman" w:cs="Times New Roman" w:eastAsia="Times New Roman" w:hAnsi="Times New Roman"/>
          <w:sz w:val="18"/>
          <w:szCs w:val="18"/>
          <w:color w:val="auto"/>
        </w:rPr>
        <w:t>. In the event that any information or communications provided by the Eligible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Proxy Access Nominee to the corporation or its stockholders ceases to be true and correct in any respect or omits a fact necessary to make the statements made, in light of the circumstances under which they were made, not misleading, each Eligible Stockholder or Proxy Access Nominee, as the case may be, shall promptly notify the Secretary of any such inaccuracy or omission in such previously provided information and of the information that is required to make such information or communication true and correct and not misleading. In addition, any person or entity providing any information to the corporation pursuant to this Article II, Section 11(c) must further update and supplement such information, if necessary, so that all such information is true and correct as of the record date for the annual meeting and as of the date that is ten business days prior to the annual meeting or any adjournment, rescheduling, postponement or other delay thereof. Any update or supplement (or a written certification that no such updates or supplements are necessary and that the information previously provided remains true and correct as of the applicable date) pursuant to this Article II, Section 11(c) must be received by the Secretary of the corporation at the principal executive offices of the corporation no later than (i) five business days after the record date for the annual meeting (in the case of any update and supplement required to be made as of the record date); and (ii) seven business days prior to the date of the annual meeting or any adjournment, rescheduling, postponement or other thereof (in the case of any update and supplement required to be made as of ten business days prior to the annual meeting). No notification, update or supplement provided pursuant to this Article II, Section 11(c) or otherwise will be deemed to cure any defect in any previously provided information or communications or limit the remedies available to the corporation relating to any such defect (including the right to omit a Proxy Access Nominee from its proxy materials).</w:t>
      </w:r>
    </w:p>
    <w:p>
      <w:pPr>
        <w:spacing w:after="0" w:line="194"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Disqualifications and Exclusions of Proxy Access Nominees</w:t>
      </w:r>
      <w:r>
        <w:rPr>
          <w:rFonts w:ascii="Times New Roman" w:cs="Times New Roman" w:eastAsia="Times New Roman" w:hAnsi="Times New Roman"/>
          <w:sz w:val="18"/>
          <w:szCs w:val="18"/>
          <w:color w:val="auto"/>
        </w:rPr>
        <w:t>. The corporation shall not be required to include pursuant to this</w:t>
      </w:r>
    </w:p>
    <w:p>
      <w:pPr>
        <w:spacing w:after="0" w:line="2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Article II, Section 11(c) any Proxy Access Nominee in its proxy materials (or, if the proxy materials have already been filed, to allow the nomination of a Proxy Access Nominee pursuant to this Article II, Section 11(c), notwithstanding that proxies in respect of such vote may have been received by the corporation) if (A) the Secretary receives a notice that any stockholder has nominated any person for election to the Board of Directors at such meeting pursuant to the advance notice requirements set forth in Article II, Section 11(b); (B) the Eligible Stockholder has or is engaged in, or has been or is a “participant” in another person’s, “solicitation” within the meaning of Rule 14a-1(l) under the Exchange Act in support of the election of any individual as a director at the annual meeting of stockholders other than its Proxy Access Nominee(s) or any other nominee of the Board of Directors, (C) the Proxy Access Nominee is determined by the Board of Directors not to be independent under the Independence Standards, (D) the Proxy Access Nominee’s election as a director would cause the corporation to be in violation of these Bylaws, the Certificate of Incorporation, the Board Qualifications, the listing standards of the principal exchange upon which the corporation’s shares are traded, or any applicable state or federal law, rule or regulation, (E) the Proxy Access Nominee is or becomes a party to any undisclosed Voting Commitment or Compensation Arrangement, (F) the Proxy Access Nominee is or has been, within the past three years, an officer or director of a competitor, as contemplated by Section 8 of the Clayton Antitrust Act of 1914, (G) the Proxy Access Nominee is a named subject of a pending criminal proceeding (excluding traffic violations and other minor offenses) or has been convicted in such a criminal proceeding within the past ten years, (H) the Proxy Access Nominee is subject to any order of the type specified in Rule 506(d) of Regulation D under the Securities Act, (I) such Proxy Access Nominee dies, becomes disabled or otherwise becomes ineligible for inclusion in the corporation’s proxy materials pursuant to this Article II, Section 11(c) or otherwise becomes unavailable for election at the annual meeting (including because such Proxy Access Nominee is no longer willing to serve on the Board of Directors), (J) the Proxy Access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or shall have breached its or their agreements, representations, undertakings, and/or obligations pursuant to this Article II, Section 11(c), or (K) the Eligible Stockholder who has nominated such Proxy Access Nominee ceases to be an Eligible Stockholder for any reason, including but not limited to not owning the Required Shares through the date of the applicable annual meeting.</w:t>
      </w:r>
    </w:p>
    <w:p>
      <w:pPr>
        <w:spacing w:after="0" w:line="200" w:lineRule="exact"/>
        <w:rPr>
          <w:sz w:val="20"/>
          <w:szCs w:val="20"/>
          <w:color w:val="auto"/>
        </w:rPr>
      </w:pPr>
    </w:p>
    <w:p>
      <w:pPr>
        <w:spacing w:after="0" w:line="2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8" w:name="page19"/>
    <w:bookmarkEnd w:id="18"/>
    <w:p>
      <w:pPr>
        <w:jc w:val="both"/>
        <w:ind w:left="640" w:right="100" w:firstLine="644"/>
        <w:spacing w:after="0" w:line="256" w:lineRule="auto"/>
        <w:tabs>
          <w:tab w:leader="none" w:pos="159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Process Following Disqualification or Exclusion</w:t>
      </w:r>
      <w:r>
        <w:rPr>
          <w:rFonts w:ascii="Times New Roman" w:cs="Times New Roman" w:eastAsia="Times New Roman" w:hAnsi="Times New Roman"/>
          <w:sz w:val="18"/>
          <w:szCs w:val="18"/>
          <w:color w:val="auto"/>
        </w:rPr>
        <w:t>. Notwithstanding anything to the contrary set forth herein, if (A) the Proxy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 and/or the applicable Eligible Stockholder shall have breached its or their agreements, representations, undertakings and/or obligations pursuant to this Article II, Section 11(c) as determined by the Board of Directors or the person presiding at the meeting, or (B) the Eligible Stockholder (or a qualified representative thereof) does not appear at the meeting to present any nomination pursuant to this Article II,</w:t>
      </w:r>
    </w:p>
    <w:p>
      <w:pPr>
        <w:spacing w:after="0" w:line="1" w:lineRule="exact"/>
        <w:rPr>
          <w:rFonts w:ascii="Times New Roman" w:cs="Times New Roman" w:eastAsia="Times New Roman" w:hAnsi="Times New Roman"/>
          <w:sz w:val="18"/>
          <w:szCs w:val="18"/>
          <w:color w:val="auto"/>
        </w:rPr>
      </w:pPr>
    </w:p>
    <w:p>
      <w:pPr>
        <w:ind w:left="6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11(c), (i)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(ii) to the extent feasible, the corporation may remove the information concerning a Proxy Access Nominee and any related Statement (or portion thereof) from its proxy materials or otherwise communicate to its stockholders that such Proxy Access Nominee will not be eligible for election at the annual meeting, and (iii) the corporation shall not be required to include in its proxy statement any successor or replacement nominee proposed by the applicable Eligible Stockholder or any other Eligible Stockholder pursuant to this Article II, Section 11(c).</w:t>
      </w:r>
    </w:p>
    <w:p>
      <w:pPr>
        <w:spacing w:after="0" w:line="187" w:lineRule="exact"/>
        <w:rPr>
          <w:rFonts w:ascii="Times New Roman" w:cs="Times New Roman" w:eastAsia="Times New Roman" w:hAnsi="Times New Roman"/>
          <w:sz w:val="18"/>
          <w:szCs w:val="18"/>
          <w:color w:val="auto"/>
        </w:rPr>
      </w:pPr>
    </w:p>
    <w:p>
      <w:pPr>
        <w:ind w:left="640" w:right="20" w:firstLine="644"/>
        <w:spacing w:after="0" w:line="258" w:lineRule="auto"/>
        <w:tabs>
          <w:tab w:leader="none" w:pos="164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Status of Withdrawn or Ineligible Proxy Access Nominees</w:t>
      </w:r>
      <w:r>
        <w:rPr>
          <w:rFonts w:ascii="Times New Roman" w:cs="Times New Roman" w:eastAsia="Times New Roman" w:hAnsi="Times New Roman"/>
          <w:sz w:val="18"/>
          <w:szCs w:val="18"/>
          <w:color w:val="auto"/>
        </w:rPr>
        <w:t>. Any Proxy Access Nominee who is included in the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materials for a particular annual meeting of stockholders as Proxy Access Nominee but either (A) withdraws from or becomes ineligible or unavailable for election at the meeting, or (B) does not receive at least twenty percent (20%) of the votes cast in favor of the Proxy Access Nominee’s election, shall be ineligible to be a Proxy Access Nominee pursuant to this Article II, Section 11(c) for the next two annual meetings of stockholders following the meeting for which the Proxy Access Nominee has been nominated for election.</w:t>
      </w:r>
    </w:p>
    <w:p>
      <w:pPr>
        <w:spacing w:after="0" w:line="183" w:lineRule="exact"/>
        <w:rPr>
          <w:rFonts w:ascii="Times New Roman" w:cs="Times New Roman" w:eastAsia="Times New Roman" w:hAnsi="Times New Roman"/>
          <w:sz w:val="18"/>
          <w:szCs w:val="18"/>
          <w:color w:val="auto"/>
        </w:rPr>
      </w:pPr>
    </w:p>
    <w:p>
      <w:pPr>
        <w:jc w:val="both"/>
        <w:ind w:left="640" w:right="420" w:firstLine="644"/>
        <w:spacing w:after="0" w:line="267" w:lineRule="auto"/>
        <w:tabs>
          <w:tab w:leader="none" w:pos="169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Method for Proxy Access</w:t>
      </w:r>
      <w:r>
        <w:rPr>
          <w:rFonts w:ascii="Times New Roman" w:cs="Times New Roman" w:eastAsia="Times New Roman" w:hAnsi="Times New Roman"/>
          <w:sz w:val="18"/>
          <w:szCs w:val="18"/>
          <w:color w:val="auto"/>
        </w:rPr>
        <w:t>. Subject to Rule 14a-19 under the Exchange Act, this Article II, Section 11(c) provides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method for stockholders to include nominees for director in the corporation’s proxy materials with respect to an annual meeting of stockholders.</w:t>
      </w:r>
    </w:p>
    <w:p>
      <w:pPr>
        <w:spacing w:after="0" w:line="173" w:lineRule="exact"/>
        <w:rPr>
          <w:rFonts w:ascii="Times New Roman" w:cs="Times New Roman" w:eastAsia="Times New Roman" w:hAnsi="Times New Roman"/>
          <w:sz w:val="18"/>
          <w:szCs w:val="18"/>
          <w:color w:val="auto"/>
        </w:rPr>
      </w:pPr>
    </w:p>
    <w:p>
      <w:pPr>
        <w:ind w:left="-20" w:right="20" w:firstLine="656"/>
        <w:spacing w:after="0" w:line="254" w:lineRule="auto"/>
        <w:tabs>
          <w:tab w:leader="none" w:pos="8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Except to the extent required by the DGCL, and subject to Article II, Section 5 of these Bylaws,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of stockholders may be called only in accordance with the Certificate of Incorporation and these Bylaws. Only such business shall be conducted at a special meeting of stockholders as shall have been brought before the special meeting pursuant to the corporation's notice of meeting. If the election of directors is included as business to be brought before a special meeting of stockholders pursuant to the corporation's notice of meeting, then nominations of persons for election to the Board of Directors at such special meeting may be made by any stockholder of the corporation who (i) is a stockholder of record at the time the notice provided for in this Article II, Section 11 is delivered to the Secretary,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Article II, Section 11 (with such procedures that the corporation deems to be applicable to such special meeting).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2" w:right="359" w:bottom="1440" w:gutter="0" w:footer="0" w:header="0"/>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18"/>
          <w:szCs w:val="18"/>
          <w:color w:val="auto"/>
        </w:rPr>
        <w:t>In the event a special meeting of stockholders is called for the purpose of electing one or more directors to the Board of Directors, then for nominations or any proposed business to be properly brought by a stockholder before a special meeting pursuant to this Article II, Section 11(d), the stockholder's notice required by this Article II, Section 11 must be received by the Secretary at the principal executive offices of the corporation no earlier than 8:00 a.m., Mountain time, on the 120th calendar day prior to the day of the special meeting and no later than 5:00 p.m., Mountain time, on the 10th calendar day following the day on which public announcement of the date of the special meeting was first made. In no event shall any adjournment, rescheduling, postponement or other delay of a special meeting or any announcement thereof commence a new time period (or extend any time period) for the giving of a stockholder’s notice as described above. A stockholder’s notice to the Secretary must comply with the applicable notice requirements of Article II, Section 11(b), with references therein to “annual meeting” deemed to mean “special meeting” for the purposes of this final sentence of this Article II, Section 11(d).</w:t>
      </w:r>
    </w:p>
    <w:p>
      <w:pPr>
        <w:spacing w:after="0" w:line="186" w:lineRule="exact"/>
        <w:rPr>
          <w:sz w:val="20"/>
          <w:szCs w:val="20"/>
          <w:color w:val="auto"/>
        </w:rPr>
      </w:pPr>
    </w:p>
    <w:p>
      <w:pPr>
        <w:ind w:left="900" w:hanging="2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Requirements and Procedures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right="500" w:firstLine="644"/>
        <w:spacing w:after="0" w:line="282" w:lineRule="auto"/>
        <w:tabs>
          <w:tab w:leader="none" w:pos="196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nominee of any stockholder for election as a director of the corporation, the proposed nominee must provide to the Secretary, in accordance with the applicable time periods prescribed for delivery of notice under Article II, Section 11:</w:t>
      </w:r>
    </w:p>
    <w:p>
      <w:pPr>
        <w:spacing w:after="0" w:line="161" w:lineRule="exact"/>
        <w:rPr>
          <w:rFonts w:ascii="Times New Roman" w:cs="Times New Roman" w:eastAsia="Times New Roman" w:hAnsi="Times New Roman"/>
          <w:sz w:val="18"/>
          <w:szCs w:val="18"/>
          <w:color w:val="auto"/>
        </w:rPr>
      </w:pPr>
    </w:p>
    <w:p>
      <w:pPr>
        <w:ind w:left="1300" w:right="40" w:firstLine="652"/>
        <w:spacing w:after="0" w:line="281" w:lineRule="auto"/>
        <w:tabs>
          <w:tab w:leader="none" w:pos="2243" w:val="left"/>
        </w:tabs>
        <w:numPr>
          <w:ilvl w:val="2"/>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signed and completed written questionnaire (in the form provided by the Secretary at the written request of the proposing stockholder, which form will be provided by the Secretary within 10 days of receiving such request) containing information regarding such nominee’s background and qualifications and such other information as may reasonably be required by the corporation to determine the eligibility of such nominee to serve as a director of the corporation or to serve as an independent director of the corporation,</w:t>
      </w:r>
    </w:p>
    <w:p>
      <w:pPr>
        <w:spacing w:after="0" w:line="164" w:lineRule="exact"/>
        <w:rPr>
          <w:rFonts w:ascii="Times New Roman" w:cs="Times New Roman" w:eastAsia="Times New Roman" w:hAnsi="Times New Roman"/>
          <w:sz w:val="17"/>
          <w:szCs w:val="17"/>
          <w:color w:val="auto"/>
        </w:rPr>
      </w:pPr>
    </w:p>
    <w:p>
      <w:pPr>
        <w:ind w:left="1300" w:right="100" w:firstLine="652"/>
        <w:spacing w:after="0" w:line="266" w:lineRule="auto"/>
        <w:tabs>
          <w:tab w:leader="none" w:pos="2233"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unless previously disclosed to the corporation, such nominee is not, and will not become, a party to any voting agreement, arrangement, commitment, assurance or understanding with any person or entity as to how such nominee, if elected as a director, will vote on any issue,</w:t>
      </w:r>
    </w:p>
    <w:p>
      <w:pPr>
        <w:spacing w:after="0" w:line="175" w:lineRule="exact"/>
        <w:rPr>
          <w:rFonts w:ascii="Times New Roman" w:cs="Times New Roman" w:eastAsia="Times New Roman" w:hAnsi="Times New Roman"/>
          <w:sz w:val="18"/>
          <w:szCs w:val="18"/>
          <w:color w:val="auto"/>
        </w:rPr>
      </w:pPr>
    </w:p>
    <w:p>
      <w:pPr>
        <w:ind w:left="1300" w:right="180" w:firstLine="652"/>
        <w:spacing w:after="0" w:line="282" w:lineRule="auto"/>
        <w:tabs>
          <w:tab w:leader="none" w:pos="2233"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unless previously disclosed to the corporation, such nominee is not, and will not become, a party to any Compensation Arrangement,</w:t>
      </w:r>
    </w:p>
    <w:p>
      <w:pPr>
        <w:spacing w:after="0" w:line="161" w:lineRule="exact"/>
        <w:rPr>
          <w:rFonts w:ascii="Times New Roman" w:cs="Times New Roman" w:eastAsia="Times New Roman" w:hAnsi="Times New Roman"/>
          <w:sz w:val="18"/>
          <w:szCs w:val="18"/>
          <w:color w:val="auto"/>
        </w:rPr>
      </w:pPr>
    </w:p>
    <w:p>
      <w:pPr>
        <w:ind w:left="1300" w:right="60" w:firstLine="652"/>
        <w:spacing w:after="0" w:line="256" w:lineRule="auto"/>
        <w:tabs>
          <w:tab w:leader="none" w:pos="2243"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if elected as a director, such nominee would be in compliance, and will continue to comply, with the corporation’s corporate governance, conflict of interest, confidentiality, stock ownership and trading guidelines, and other policies and guidelines applicable to directors and in effect during such person’s term in office as a director, including, without limitation, the corporation’s Code of Business Conduct and Ethics and the corporation’s Corporate Governance Guidelines (and, if requested by any candidate for nomination, the Secretary will provide to such proposed nominee all such policies and guidelines then in effect within 5 business days of receiving such request), and</w:t>
      </w:r>
    </w:p>
    <w:p>
      <w:pPr>
        <w:spacing w:after="0" w:line="187"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as to whether such nominee, if elected, intends to serve a full term on the Board of</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ind w:right="20" w:firstLine="644"/>
        <w:spacing w:after="0" w:line="282" w:lineRule="auto"/>
        <w:tabs>
          <w:tab w:leader="none" w:pos="13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Board of Directors, any person nominated by the Board of Directors for election as a director must furnish to the Secretary the information that is required to be set forth in a stockholder’s notice of nomination pertaining to such nominee.</w:t>
      </w:r>
    </w:p>
    <w:p>
      <w:pPr>
        <w:spacing w:after="0" w:line="161" w:lineRule="exact"/>
        <w:rPr>
          <w:rFonts w:ascii="Times New Roman" w:cs="Times New Roman" w:eastAsia="Times New Roman" w:hAnsi="Times New Roman"/>
          <w:sz w:val="18"/>
          <w:szCs w:val="18"/>
          <w:color w:val="auto"/>
        </w:rPr>
      </w:pPr>
    </w:p>
    <w:p>
      <w:pPr>
        <w:jc w:val="both"/>
        <w:ind w:right="200" w:firstLine="644"/>
        <w:spacing w:after="0" w:line="289" w:lineRule="auto"/>
        <w:tabs>
          <w:tab w:leader="none" w:pos="141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will be eligible to be nominated by a stockholder for election as a director of the corporation, or to be seated as a director of the corporation, unless nominated and elected in accordance with the procedures set forth in this Article II, Section 11. No business shall be conducted at any annual meeting or special meeting except in accordance with the procedures set forth in this Article II, Section 11, and</w:t>
      </w:r>
    </w:p>
    <w:p>
      <w:pPr>
        <w:spacing w:after="0" w:line="157" w:lineRule="exact"/>
        <w:rPr>
          <w:rFonts w:ascii="Times New Roman" w:cs="Times New Roman" w:eastAsia="Times New Roman" w:hAnsi="Times New Roman"/>
          <w:sz w:val="17"/>
          <w:szCs w:val="17"/>
          <w:color w:val="auto"/>
        </w:rPr>
      </w:pPr>
    </w:p>
    <w:p>
      <w:pPr>
        <w:ind w:right="20" w:firstLine="644"/>
        <w:spacing w:after="0" w:line="253" w:lineRule="auto"/>
        <w:tabs>
          <w:tab w:leader="none" w:pos="14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II, Section 11, unless otherwise required by law, if a stockholder intending to propose business or make nominations at an annual meeting or special meeting pursuant to this Article II, Section 11 does not provide the information required under this Article II, Section 11 to the corporation in accordance with the applicable timing requirements set forth in these Bylaws, or the stockholder (or a qualified representative of the stockholder) does not appear in person at the meeting to present the proposed business or nominations, such business or nominations shall not be considered, notwithstanding that proxies in respect of such business or nominations may have been received by the corporation and counted for purposes of determining a quorum. For purposes of this Article II, Section 11,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94" w:lineRule="exact"/>
        <w:rPr>
          <w:rFonts w:ascii="Times New Roman" w:cs="Times New Roman" w:eastAsia="Times New Roman" w:hAnsi="Times New Roman"/>
          <w:sz w:val="18"/>
          <w:szCs w:val="18"/>
          <w:color w:val="auto"/>
        </w:rPr>
      </w:pPr>
    </w:p>
    <w:p>
      <w:pPr>
        <w:ind w:right="60" w:firstLine="644"/>
        <w:spacing w:after="0" w:line="261" w:lineRule="auto"/>
        <w:tabs>
          <w:tab w:leader="none" w:pos="13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meeting shall, if the facts warrant, determine and declare at the meeting that any nomination or business, as the case may be, was not properly brought before the meeting and in accordance with the provisions of this Article II, Section 11, and, if the Chair should so determine, the Chair shall so declare at the meeting that any such nomination or business, as the case may be, not properly brought before the meeting shall be disregarded or not be transacted, as the case may be.</w:t>
      </w:r>
    </w:p>
    <w:p>
      <w:pPr>
        <w:spacing w:after="0" w:line="179" w:lineRule="exact"/>
        <w:rPr>
          <w:rFonts w:ascii="Times New Roman" w:cs="Times New Roman" w:eastAsia="Times New Roman" w:hAnsi="Times New Roman"/>
          <w:sz w:val="18"/>
          <w:szCs w:val="18"/>
          <w:color w:val="auto"/>
        </w:rPr>
      </w:pPr>
    </w:p>
    <w:p>
      <w:pPr>
        <w:ind w:left="1360" w:hanging="716"/>
        <w:spacing w:after="0"/>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this Article II, Section 11, a stockholder must also comply with all applicable requirements of the</w:t>
      </w:r>
    </w:p>
    <w:p>
      <w:pPr>
        <w:spacing w:after="0" w:line="2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Exchange Act with respect to the matters set forth in this Article II, Section 11, it being understood that (1) any references in these Bylaws to the Exchange Act are not intended to, and will not, limit any requirements applicable to nominations or proposals as to any other business to be considered pursuant to this Article II, Section 11; and (2) compliance with clause (iii) of Article II, Section 11(a) and with Article II,</w:t>
      </w:r>
    </w:p>
    <w:p>
      <w:pPr>
        <w:spacing w:after="0" w:line="1"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Section 11(d) are the exclusive means for a stockholder to make nominations or submit other business (other than as provided in Article II, Section 11(e)(vii)).</w:t>
      </w:r>
    </w:p>
    <w:p>
      <w:pPr>
        <w:spacing w:after="0" w:line="181" w:lineRule="exact"/>
        <w:rPr>
          <w:sz w:val="20"/>
          <w:szCs w:val="20"/>
          <w:color w:val="auto"/>
        </w:rPr>
      </w:pPr>
    </w:p>
    <w:p>
      <w:pPr>
        <w:ind w:firstLine="644"/>
        <w:spacing w:after="0" w:line="255" w:lineRule="auto"/>
        <w:tabs>
          <w:tab w:leader="none" w:pos="13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II, Section 11, the notice requirements set forth in these Bylaws with respect to the proposal of any business pursuant to this Article II, Section 11 will be deemed to be satisfied by a stockholder if (1) such stockholder has submitted a proposal to the corporation in compliance with Rule 14a-8 under the Exchange Act; and (2) such stockholder’s proposal has been included in a proxy statement that has been prepared by the corporation to solicit proxies for the meeting of stockholders. Subject to Rule 14a-8 and other applicable rules and regulations under the Exchange Act, nothing in these Bylaws will be construed to permit any stockholder, or give any stockholder the right, to include or have disseminated or described in the corporation’s proxy statement any nomination of a director or any other business proposal.</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b w:val="1"/>
          <w:bCs w:val="1"/>
          <w:color w:val="auto"/>
        </w:rPr>
        <w:t>Section 12. Conduct of Meetings.</w:t>
      </w:r>
    </w:p>
    <w:p>
      <w:pPr>
        <w:spacing w:after="0" w:line="229" w:lineRule="exact"/>
        <w:rPr>
          <w:sz w:val="20"/>
          <w:szCs w:val="20"/>
          <w:color w:val="auto"/>
        </w:rPr>
      </w:pPr>
    </w:p>
    <w:p>
      <w:pPr>
        <w:ind w:right="80" w:firstLine="656"/>
        <w:spacing w:after="0" w:line="261" w:lineRule="auto"/>
        <w:tabs>
          <w:tab w:leader="none" w:pos="89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stockholders shall be presided over by the Chair of the Board of Directors, if any, or in his or her absence, the Chief Executive Officer, if any, or in his or her absence by the President, if any, or in the absence of the foregoing persons by a Chair designated by the Board of Directors, or in the absence of such designation by any other executive officer of the corporation. The Secretary shall act as secretary of the meeting, but in his or her absence the Chair of the meeting may appoint any person to act as secretary of the meeting.</w:t>
      </w:r>
    </w:p>
    <w:p>
      <w:pPr>
        <w:spacing w:after="0" w:line="179" w:lineRule="exact"/>
        <w:rPr>
          <w:rFonts w:ascii="Times New Roman" w:cs="Times New Roman" w:eastAsia="Times New Roman" w:hAnsi="Times New Roman"/>
          <w:sz w:val="18"/>
          <w:szCs w:val="18"/>
          <w:color w:val="auto"/>
        </w:rPr>
      </w:pPr>
    </w:p>
    <w:p>
      <w:pPr>
        <w:ind w:right="20" w:firstLine="656"/>
        <w:spacing w:after="0" w:line="252" w:lineRule="auto"/>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another place, if any, date or time,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w:t>
      </w:r>
    </w:p>
    <w:p>
      <w:pPr>
        <w:spacing w:after="0" w:line="5" w:lineRule="exact"/>
        <w:rPr>
          <w:rFonts w:ascii="Times New Roman" w:cs="Times New Roman" w:eastAsia="Times New Roman" w:hAnsi="Times New Roman"/>
          <w:sz w:val="18"/>
          <w:szCs w:val="18"/>
          <w:color w:val="auto"/>
        </w:rPr>
      </w:pPr>
    </w:p>
    <w:p>
      <w:pPr>
        <w:ind w:firstLine="8"/>
        <w:spacing w:after="0" w:line="252"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 Inspector of Elections.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9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Number of Directors.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authorized number of directors of the corporation shall be eight. The number of directors provided in this Article III, Section 1 may be changed from time to time by a Bylaw duly adopted by the affirmative vote of a majority in voting power of the outstanding shares entitled to vote or by a resolution of the Board of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 Election of Directors.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directors shall be elected at each annual meeting of stockholders, but if any such annual meeting is not held, or the directors are not elected thereat, the directors may be elected at any special meeting of the stockholders held for that purpose. Each director shall hold office until the expiration of the term for which elected and qualified and until such director’s successor is elected and qualified or until such director’s earlier death, resignation, or removal. A director need not be a stockholder unless so required by the Certificate of Incorporation or these Bylaws. The Certificate of Incorporation or these Bylaws may prescribe other qualifications for directors.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 Majority Voting.</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Except as provided in Section 6 of this Article III, each director shall be elected by the vote of the majority of the votes cast with respect to that director’s election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 the number of nominees exceeds the number of directors to be elected (a “Contested Election”), the directors shall be elected by the vote of a plurality of the shares present in person or represented by proxy at any such meeting and entitled to vote on the election of directors. For purposes of this Section, a majority of the votes cast means that the number of votes cast "for" a director’s election must exceed the number of votes cast “against” that director’s election (with “abstentions” and “broker non-votes” considered for purposes of establishing a quorum at the meeting but not counted as a vote cast either “for” or “against” that director’s election).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 Resignation of Directors.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director may resign effective upon giving notice in writing or by electronic transmission to the Chair of the Board, the Chief Executive Officer, the President, the Secretary or the Board of Directors, unless the notice specifies a later time for the effectiveness of such resignation or an effective time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time, a majority of the directors then in office, including those who have so resigned, shall have the power to fill such vacancy or vacancies, the vote thereon to take effect when such resignation or resignations shall become effective.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 Removal of Directors.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entire Board of Directors or any individual director may be removed from office, with or without cause, prior to the expiration of their or his or her term of office by the holders of a majority in voting power of all issued and outstanding stock entitled to vote at an election of directors. No reduction of the authorized number of directors shall have the effect of removing any director prior to the expiration of such director's term of office.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b w:val="1"/>
          <w:bCs w:val="1"/>
          <w:color w:val="auto"/>
        </w:rPr>
        <w:t>Section 6. Vacancies and Newly Created Directorships.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or permitted in the specific case by resolution of the Board of Directors, any newly created directorship resulting from any increase in the authorized number of directors elected by all the stockholders having the right to vote as a single class or any vacancy occurring in the Board of Directors for any reason shall be filled by a majority of the directors then in office, whether or not less than a quorum, or by a sole remaining director, and not by stockholders. Each director so elected shall hold office until the expiration of the term for which he or she was elected and qualified and until his or her successor is elected and qualified at an annual or a special meeting of the stockholders, or until his or her earlier death, resignation, or removal.</w:t>
      </w:r>
    </w:p>
    <w:p>
      <w:pPr>
        <w:spacing w:after="0" w:line="18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stockholders may elect a director or directors at any time to fill any vacancy or vacancies not filled by the directors. Any such election by written consent shall require the consent of a majority of the outstanding voting power of the shares entitled to vote. Each director so elected shall hold office until the expiration of the term for which he or she was elected and qualified and until his or her successor is elected and qualified at an annual or a special meeting of the stockholders, or until his or her earlier death, resignation, or removal.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 Powers.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business of the corporation shall be managed by or under the direction of its Board of Directors which may exercise all such powers of the corporation and do all such lawful acts and things as are not by law or by the Certificate of Incorporation directed or required to be exercised or done by the stockholders.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 Place of Meetings.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of the corporation may hold meetings, both regular and special, either within or without the State of Delaware.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 Regular Meetings; Notice.</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time and at such place as shall from time to time be determined by the Board of Directors.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 Special Meetings; Notice.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Special meetings of the Board of Directors for any purpose or purposes may be called at any time by the Chair of the Board of Directors or the Chief Executive Officer; special meetings shall be called by the Chief Executive Officer or Secretary in like manner and on like notice on the request of the Chair of the Board of Directors or two (2)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person(s) authorized to call a special meeting of the Board of Directors may authorize another person or persons to send notice of such meeting.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25" w:lineRule="exact"/>
        <w:rPr>
          <w:sz w:val="20"/>
          <w:szCs w:val="20"/>
          <w:color w:val="auto"/>
        </w:rPr>
      </w:pPr>
    </w:p>
    <w:p>
      <w:pPr>
        <w:ind w:left="900" w:hanging="244"/>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electronic mail; or</w:t>
      </w:r>
    </w:p>
    <w:p>
      <w:pPr>
        <w:spacing w:after="0" w:line="225" w:lineRule="exact"/>
        <w:rPr>
          <w:rFonts w:ascii="Times New Roman" w:cs="Times New Roman" w:eastAsia="Times New Roman" w:hAnsi="Times New Roman"/>
          <w:sz w:val="18"/>
          <w:szCs w:val="18"/>
          <w:color w:val="auto"/>
        </w:rPr>
      </w:pPr>
    </w:p>
    <w:p>
      <w:pPr>
        <w:ind w:right="340" w:firstLine="656"/>
        <w:spacing w:after="0" w:line="266" w:lineRule="auto"/>
        <w:tabs>
          <w:tab w:leader="none" w:pos="8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given by electronic transmission (as defined in Section 232 of the DGCL), directed to each director at that director’s address, telephone number, facsimile number, electronic mail address or other contact for notice by electronic transmission, as the case may be, as shown on the corporation’s records.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and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notice is communicated at least 24 hours before the time of the holding of the meeting. The notice need not specify the place of the meeting (if the meeting is to be held at the corporation’s principal executive office) nor the purpose of the meeting, unless required by statute.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 Quorum.</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Whole Board shall constitute a quorum for the transaction of business and the affirmative vote of a majority of the directors present at any meeting at which there is a quorum shall be the act of the Board of Directors, except as may be otherwise specifically provided by law or by the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12. Written Consent.</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Article III, Section 12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proceedings of the Board of Directors, or the committee thereof, in the same paper or electronic form as the minutes are maintained in accordance with applicable law.</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 Meeting by Remote Communication.</w:t>
      </w:r>
    </w:p>
    <w:p>
      <w:pPr>
        <w:spacing w:after="0" w:line="22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of Directors, or any committee designated by the Board of Directors, may participate in a meeting of the Board of Directors, or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b w:val="1"/>
          <w:bCs w:val="1"/>
          <w:color w:val="auto"/>
        </w:rPr>
        <w:t>Section 14. Board Committees.</w:t>
      </w:r>
    </w:p>
    <w:p>
      <w:pPr>
        <w:spacing w:after="0" w:line="227" w:lineRule="exact"/>
        <w:rPr>
          <w:sz w:val="20"/>
          <w:szCs w:val="20"/>
          <w:color w:val="auto"/>
        </w:rPr>
      </w:pPr>
    </w:p>
    <w:p>
      <w:pPr>
        <w:ind w:firstLine="656"/>
        <w:spacing w:after="0" w:line="254" w:lineRule="auto"/>
        <w:tabs>
          <w:tab w:leader="none" w:pos="8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Committee. </w:t>
      </w:r>
      <w:r>
        <w:rPr>
          <w:rFonts w:ascii="Times New Roman" w:cs="Times New Roman" w:eastAsia="Times New Roman" w:hAnsi="Times New Roman"/>
          <w:sz w:val="18"/>
          <w:szCs w:val="18"/>
          <w:color w:val="auto"/>
        </w:rPr>
        <w:t>The Board of Directors may designate an executive committee consisting of one or more of the directors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The Board of Directors may designate one or more directors as alternate members of the executive committee, who may replace any absent or disqualified member at any meeting of the committee. In the absence or disqualification of a member of the executive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The executive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the executive committee shall not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85" w:lineRule="exact"/>
        <w:rPr>
          <w:rFonts w:ascii="Times New Roman" w:cs="Times New Roman" w:eastAsia="Times New Roman" w:hAnsi="Times New Roman"/>
          <w:sz w:val="18"/>
          <w:szCs w:val="18"/>
          <w:color w:val="auto"/>
        </w:rPr>
      </w:pPr>
    </w:p>
    <w:p>
      <w:pPr>
        <w:ind w:right="20" w:firstLine="656"/>
        <w:spacing w:after="0" w:line="253" w:lineRule="auto"/>
        <w:tabs>
          <w:tab w:leader="none" w:pos="9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Committees. </w:t>
      </w:r>
      <w:r>
        <w:rPr>
          <w:rFonts w:ascii="Times New Roman" w:cs="Times New Roman" w:eastAsia="Times New Roman" w:hAnsi="Times New Roman"/>
          <w:sz w:val="18"/>
          <w:szCs w:val="18"/>
          <w:color w:val="auto"/>
        </w:rPr>
        <w:t>The Board of Directors may designate such other committees, each consisting of one or more directors, as it may from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time deem advisable to perform such general or special duties as may from time to time be delegated to any such committee by the Board of Directors, subject to the limitations imposed by law, the Certificate of Incorporation or by these Bylaws. The Board of Directors may designate one or more directors as alternate members of any committee, who may replace any absent or disqualified member at any meeting of the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committee, to the extent provided in the resolution of the Board of Directors or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91" w:lineRule="exact"/>
        <w:rPr>
          <w:rFonts w:ascii="Times New Roman" w:cs="Times New Roman" w:eastAsia="Times New Roman" w:hAnsi="Times New Roman"/>
          <w:sz w:val="18"/>
          <w:szCs w:val="18"/>
          <w:color w:val="auto"/>
        </w:rPr>
      </w:pPr>
    </w:p>
    <w:p>
      <w:pPr>
        <w:ind w:right="120" w:firstLine="656"/>
        <w:spacing w:after="0" w:line="258" w:lineRule="auto"/>
        <w:tabs>
          <w:tab w:leader="none" w:pos="8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Conduct of Committee Meetings. </w:t>
      </w:r>
      <w:r>
        <w:rPr>
          <w:rFonts w:ascii="Times New Roman" w:cs="Times New Roman" w:eastAsia="Times New Roman" w:hAnsi="Times New Roman"/>
          <w:sz w:val="18"/>
          <w:szCs w:val="18"/>
          <w:color w:val="auto"/>
        </w:rPr>
        <w:t>Unless the Board of Directors otherwise provides, each committee and subcommittee may make, alter,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repeal rules for the conduct of its business. In the absence of such rules, each committee shall conduct its business in the same manner as the Board of Directors conducts its business and each committee, and meeting thereof, shall be governed by the provisions of these Bylaws that govern meetings of the Board of Directors with such changes in the context of the Bylaws as a necessary to substitute the committee or subcommittee and its members for the Board of Directors and its members.</w:t>
      </w:r>
    </w:p>
    <w:p>
      <w:pPr>
        <w:spacing w:after="0" w:line="183" w:lineRule="exact"/>
        <w:rPr>
          <w:rFonts w:ascii="Times New Roman" w:cs="Times New Roman" w:eastAsia="Times New Roman" w:hAnsi="Times New Roman"/>
          <w:sz w:val="18"/>
          <w:szCs w:val="18"/>
          <w:color w:val="auto"/>
        </w:rPr>
      </w:pPr>
    </w:p>
    <w:p>
      <w:pPr>
        <w:ind w:right="140" w:firstLine="656"/>
        <w:spacing w:after="0" w:line="267" w:lineRule="auto"/>
        <w:tabs>
          <w:tab w:leader="none" w:pos="9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Subcommittees. </w:t>
      </w:r>
      <w:r>
        <w:rPr>
          <w:rFonts w:ascii="Times New Roman" w:cs="Times New Roman" w:eastAsia="Times New Roman" w:hAnsi="Times New Roman"/>
          <w:sz w:val="18"/>
          <w:szCs w:val="18"/>
          <w:color w:val="auto"/>
        </w:rPr>
        <w:t>Unless otherwise provided in the Certificate of Incorporation, these Bylaws or the resolutions of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designating the committee, a committee may create one or more subcommittees, each subcommittee to consist of one or more members of the committee, and delegate to a subcommittee any or all of the powers and authority of the committee.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15. Compensation of Directors.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 - NOTICES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Notice of Stockholders’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of any meeting of stockholders shall be given in the manner set forth in the DGCL.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b w:val="1"/>
          <w:bCs w:val="1"/>
          <w:color w:val="auto"/>
        </w:rPr>
        <w:t>Section 2. Waiver of Notice.</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Whenever any notice is required to be given under any provision of the DGCL, the Certificate of Incorporation or these Bylaws, a waiver thereof in writing, signed by the person entitled to notice, or a waiver thereof by electronic transmission by the person entitled to such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Officers.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officers of the corporation shall be a Chief Executive Officer and a Secretary. The corporation may also have, at the discretion of the Board of Directors, a Chair of the Board of Directors, a Vice Chair of the Board of Directors, a President, a Chief Financial Officer, a Treasurer, one or more Vice Presidents, one or more Assistant Treasurers, one or more Assistant Secretaries, and any such other officers as may be appointed in accordance with the provisions of these Bylaws. Any number of offices may be held by the same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 Appointment of Officers.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shall appoint the officers of the corporation, except such officers as may be appointed in accordance with the provisions of Article V, Section 3 of these Bylaws, subject to the rights, if any, of an officer under any contract of employment.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 Subordinate Officers.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may appoint, or empower any officer to appoint, such other officers as the business of the corporation may require. Each of such officers shall hold office for such period, have such authority, and perform such duties as are provided in these Bylaws or as determined from time to time by the Board of Directors or, for the avoidance of doubt, any duly authorized committee or subcommittee thereof or by any officer who has been conferred such power of determination.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 Removal and Resignation of Officers.</w:t>
      </w:r>
    </w:p>
    <w:p>
      <w:pPr>
        <w:spacing w:after="0" w:line="227" w:lineRule="exact"/>
        <w:rPr>
          <w:sz w:val="20"/>
          <w:szCs w:val="20"/>
          <w:color w:val="auto"/>
        </w:rPr>
      </w:pPr>
    </w:p>
    <w:p>
      <w:pPr>
        <w:ind w:right="40" w:firstLine="656"/>
        <w:spacing w:after="0" w:line="267" w:lineRule="auto"/>
        <w:tabs>
          <w:tab w:leader="none" w:pos="8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Removal</w:t>
      </w:r>
      <w:r>
        <w:rPr>
          <w:rFonts w:ascii="Times New Roman" w:cs="Times New Roman" w:eastAsia="Times New Roman" w:hAnsi="Times New Roman"/>
          <w:sz w:val="18"/>
          <w:szCs w:val="18"/>
          <w:color w:val="auto"/>
        </w:rPr>
        <w:t>. Subject to the rights, if any, of an officer under any contract of employment, any officer may be removed, either with or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by the Board of Directors or, for the avoidance of doubt, any duly authorized committee or subcommittee thereof or by any officer upon whom such power of removal has be conferred by the Board of Directors.</w:t>
      </w:r>
    </w:p>
    <w:p>
      <w:pPr>
        <w:spacing w:after="0" w:line="173" w:lineRule="exact"/>
        <w:rPr>
          <w:rFonts w:ascii="Times New Roman" w:cs="Times New Roman" w:eastAsia="Times New Roman" w:hAnsi="Times New Roman"/>
          <w:sz w:val="18"/>
          <w:szCs w:val="18"/>
          <w:color w:val="auto"/>
        </w:rPr>
      </w:pPr>
    </w:p>
    <w:p>
      <w:pPr>
        <w:ind w:right="80" w:firstLine="656"/>
        <w:spacing w:after="0" w:line="261" w:lineRule="auto"/>
        <w:tabs>
          <w:tab w:leader="none" w:pos="9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Resignation. </w:t>
      </w:r>
      <w:r>
        <w:rPr>
          <w:rFonts w:ascii="Times New Roman" w:cs="Times New Roman" w:eastAsia="Times New Roman" w:hAnsi="Times New Roman"/>
          <w:sz w:val="18"/>
          <w:szCs w:val="18"/>
          <w:color w:val="auto"/>
        </w:rPr>
        <w:t>Any officer may resign at any time by giving notice, in writing or by electronic transmission, to the corporation. Any resignation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 Vacancies in Office.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of Directors or as provided in Article V, Section 3.</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b w:val="1"/>
          <w:bCs w:val="1"/>
          <w:color w:val="auto"/>
        </w:rPr>
        <w:t>Section 6. Representation of Securities of Other Entities.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Chair of the Board of Directors, the Chief Executive Officer, the President, any Vice President, the Treasurer, the Secretary or Assistant Secretary of this corporation, or any other person authorized by the Board of Directors or the Chief Executive Officer, the President or a Vice President, is authorized to vote, represent, and exercise on behalf of this corporation all rights incident to any and all shares or other securities of, or interests in, or issued by, any other entity or entities, and all rights incident to any management authority conferred on the corporation in accordance with the governing documents of any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 Authority and Duties of Officers.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designated from time to time by the Board of Directors or, for the avoidance of doubt, any duly authorized committee or subcommittee thereof or by any officer who has been conferred such power of designation and, to the extent not so provided, as generally pertain to such offices, subject to the control of the Board of Directors.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 - CERTIFICATES OF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Certificates.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officers of the corporation certifying the number of shares owned by such holder in the corporation.</w:t>
      </w:r>
    </w:p>
    <w:p>
      <w:pPr>
        <w:spacing w:after="0" w:line="18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however,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Article VI, Section 1 or Sections 151, 156, 202(a), 218(a) or 364 of the DGCL or with respect to this Article VI, Section 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b w:val="1"/>
          <w:bCs w:val="1"/>
          <w:color w:val="auto"/>
        </w:rPr>
        <w:t>Section 2. Signatures on Certificates.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Any or all of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 Lost Certificates.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Except as provided in this Article VI, Section 3, no new certificates for shares shall be issued to replace a previously issued certificate unless the latter is surrendered to the corporation and cancelled at the same time. The corporation may issue a new certificate or certificates of stock or uncertificated shares in place of any certificate or certificates theretofore issued by the corporation, alleged to have been lost, stolen, or destroyed, upon the making of an affidavit to that fact by the person claiming the certificate of stock to be lost, stolen, or destroyed. When issuing a new certificate or certificates of stock or uncertificated shares, the corporation may require the owner of such lost, stolen or destroyed certificate or certificates, or such owner’s legal representative, to give the corporation a bond in such sum as it may direct as indemnity against any claim that may be made against the corporation with respect to the certificate alleged to have been lost, stolen or destroyed or the issuance of such new certificates of stock or uncertificated shares.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 Transfer of Stock.</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Transfers of record of shares of stock of the corporation shall be made only on the transfer books of the corporation upon authorization by the registered holder thereof, in person or by such holder’s attorney duly authorized, and, subject to Article VI, Section 3, if such shares are represented by a certificate, upon surrender of the certificate or certificates for such shares, properly endorsed or accompanied by proper evidence of succession, assignation or authority to transfer and payment of applicable taxes, if any; provided however, that the corporation shall be entitled to recognize any lawful restriction on transfer.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 Record Date.</w:t>
      </w:r>
    </w:p>
    <w:p>
      <w:pPr>
        <w:spacing w:after="0" w:line="229" w:lineRule="exact"/>
        <w:rPr>
          <w:sz w:val="20"/>
          <w:szCs w:val="20"/>
          <w:color w:val="auto"/>
        </w:rPr>
      </w:pPr>
    </w:p>
    <w:p>
      <w:pPr>
        <w:ind w:firstLine="656"/>
        <w:spacing w:after="0" w:line="253" w:lineRule="auto"/>
        <w:tabs>
          <w:tab w:leader="none" w:pos="8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reconvened meeting, and in such case shall also fix as the record date for stockholders entitled to notice of such reconvened meeting the same or an earlier date as that fixed for determination of stockholders entitled to vote in accordance with the provisions of Section 213 of the DGCL and this Article VI, Section 5 at the reconvened meeting.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9" w:name="page30"/>
    <w:bookmarkEnd w:id="29"/>
    <w:p>
      <w:pPr>
        <w:ind w:firstLine="656"/>
        <w:spacing w:after="0" w:line="256" w:lineRule="auto"/>
        <w:tabs>
          <w:tab w:leader="none" w:pos="9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record date shall not precede the date upon which the resolution fixing the record date is adopted, and which record date shall not be more than sixty (60) days prior to such other action. If no such record date is fixed, the record date for determining stockholders for any such purpose (other than action by consent in writing without a meeting) shall be at the close of business on the day on which the Board of Directors adopts the resolution relating thereto.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 Registered Stockholders.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corporation shall be entitled to recognize the exclusive right of a person registered on its books as the owner of shares to receive dividends and notices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 Stock Transfer Agreements.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the corporation to restrict the transfer of shares of stock of the corporation owned by such stockholders in any manner not prohibited by the DGCL.</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 - FORUM FOR DISPUTES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Forum for Disputes.</w:t>
      </w:r>
    </w:p>
    <w:p>
      <w:pPr>
        <w:spacing w:after="0" w:line="229" w:lineRule="exact"/>
        <w:rPr>
          <w:sz w:val="20"/>
          <w:szCs w:val="20"/>
          <w:color w:val="auto"/>
        </w:rPr>
      </w:pPr>
    </w:p>
    <w:p>
      <w:pPr>
        <w:ind w:right="60" w:firstLine="656"/>
        <w:spacing w:after="0" w:line="269" w:lineRule="auto"/>
        <w:tabs>
          <w:tab w:leader="none" w:pos="893"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director, stockholder, officer or other employee of the corporation to the corporation or the corporation’s stockholders, (iii) any action arising pursuant to any provision of the DGCL or the Certificate of Incorporation or these Bylaws (as either may be amended from time to time) or (iv) any action asserting a claim governed by the internal affairs doctrine, except for, as to each of (i) through</w:t>
      </w:r>
    </w:p>
    <w:p>
      <w:pPr>
        <w:spacing w:after="0" w:line="2" w:lineRule="exact"/>
        <w:rPr>
          <w:rFonts w:ascii="Times New Roman" w:cs="Times New Roman" w:eastAsia="Times New Roman" w:hAnsi="Times New Roman"/>
          <w:sz w:val="17"/>
          <w:szCs w:val="17"/>
          <w:color w:val="auto"/>
        </w:rPr>
      </w:pPr>
    </w:p>
    <w:p>
      <w:pPr>
        <w:ind w:right="560" w:firstLine="8"/>
        <w:spacing w:after="0" w:line="260" w:lineRule="auto"/>
        <w:tabs>
          <w:tab w:leader="none" w:pos="3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any complaint as to which such court determines that there is an indispensable party not subject to the jurisdiction of such court (and the indispensable party does not consent to the personal jurisdiction of such court within 10 days following such determination).</w:t>
      </w:r>
    </w:p>
    <w:p>
      <w:pPr>
        <w:spacing w:after="0" w:line="181" w:lineRule="exact"/>
        <w:rPr>
          <w:rFonts w:ascii="Times New Roman" w:cs="Times New Roman" w:eastAsia="Times New Roman" w:hAnsi="Times New Roman"/>
          <w:sz w:val="18"/>
          <w:szCs w:val="18"/>
          <w:color w:val="auto"/>
        </w:rPr>
      </w:pPr>
    </w:p>
    <w:p>
      <w:pPr>
        <w:jc w:val="both"/>
        <w:ind w:right="140" w:firstLine="656"/>
        <w:spacing w:after="0" w:line="266" w:lineRule="auto"/>
        <w:tabs>
          <w:tab w:leader="none" w:pos="89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purchasing, holding, or otherwise acquiring any interest in security of the corporation shall be deemed to have notice of and consented to the provisions of this Article VII Section 1. This provision shall be enforceable by any party to a complaint covered by the provisions of this Article VII, Section 1.</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VIII - GENERAL PROVISIONS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Dividends.</w:t>
      </w:r>
    </w:p>
    <w:p>
      <w:pPr>
        <w:spacing w:after="0" w:line="227" w:lineRule="exact"/>
        <w:rPr>
          <w:sz w:val="20"/>
          <w:szCs w:val="20"/>
          <w:color w:val="auto"/>
        </w:rPr>
      </w:pPr>
    </w:p>
    <w:p>
      <w:pPr>
        <w:ind w:right="100" w:firstLine="656"/>
        <w:spacing w:after="0" w:line="267" w:lineRule="auto"/>
        <w:tabs>
          <w:tab w:leader="none" w:pos="8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Declaration of Dividends</w:t>
      </w:r>
      <w:r>
        <w:rPr>
          <w:rFonts w:ascii="Times New Roman" w:cs="Times New Roman" w:eastAsia="Times New Roman" w:hAnsi="Times New Roman"/>
          <w:sz w:val="18"/>
          <w:szCs w:val="18"/>
          <w:color w:val="auto"/>
        </w:rPr>
        <w:t>. Dividends upon the capital stock of the corporation, subject to the provision of the Certificate of Incorporation,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may be declared by the Board of Directors at any regular or special meeting, pursuant to law. Dividends may be paid in cash, in property, or in shares of the capital stock, subject to the provisions of the Certificate of Incorporation.</w:t>
      </w:r>
    </w:p>
    <w:p>
      <w:pPr>
        <w:spacing w:after="0" w:line="173" w:lineRule="exact"/>
        <w:rPr>
          <w:rFonts w:ascii="Times New Roman" w:cs="Times New Roman" w:eastAsia="Times New Roman" w:hAnsi="Times New Roman"/>
          <w:sz w:val="18"/>
          <w:szCs w:val="18"/>
          <w:color w:val="auto"/>
        </w:rPr>
      </w:pPr>
    </w:p>
    <w:p>
      <w:pPr>
        <w:jc w:val="both"/>
        <w:ind w:right="120" w:firstLine="656"/>
        <w:spacing w:after="0" w:line="261" w:lineRule="auto"/>
        <w:tabs>
          <w:tab w:leader="none" w:pos="9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of Dividends. </w:t>
      </w:r>
      <w:r>
        <w:rPr>
          <w:rFonts w:ascii="Times New Roman" w:cs="Times New Roman" w:eastAsia="Times New Roman" w:hAnsi="Times New Roman"/>
          <w:sz w:val="18"/>
          <w:szCs w:val="18"/>
          <w:color w:val="auto"/>
        </w:rPr>
        <w:t>Before payment of any dividend, there may be set aside out of funds of the corporation available for dividends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 or sums as the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 of the corporation, and the Board of Directors may modify or abolish any such reserve in the manner in which it was created.</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b w:val="1"/>
          <w:bCs w:val="1"/>
          <w:color w:val="auto"/>
        </w:rPr>
        <w:t>Section 2. Checks.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All checks or demands for money and notes of the corporation shall be signed by such officer or officers or such other person or persons as the Board of Directors may from time to time designate.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 Fiscal Year.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of Directors.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 Corporate Seal.</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corporation may adopt a corporate seal.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 Indemnification.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shall indemnify its officers, directors, employees and agents to the extent set forth in the Certificate of Incorporation.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 Advancement of Expenses.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corporation shall, to the fullest extent not prohibited by applicable law, pay the expenses (including attorneys’ fees) actually and reasonably incurred by a director or officer in defending any action, suit or proceeding, whether civil, criminal, administrative or investigative (a “proceeding”) in advance of its final disposition upon receipt of a written request therefor (together with documentation reasonably evidencing such expenses), provided, however, that, to the extent required by law, such payment of expenses in advance of the final disposition of the proceeding shall only be made upon receipt of an undertaking by such director or officer to repay all amounts advanced if it should be ultimately determined that such officer or director is not entitled to be indemnified under the provisions of the Certificate of Incorporation or the DGCL. Such expenses (including attorneys’ fees) actually and reasonably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proceeding (or any part of any proceeding) for which indemnity is excluded pursuant to the Certificate of Incorporation or the DGCL.</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 Execution of Corporate Contracts and Instruments.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corporation; such authority may be general or confined to specific instances. Unless so authorized or ratified by the Board of Directors or within the agency power of an officer, agent or employee, no officer, agent, or employee shall have any power or authority to bind the corporation by any contract or engagement or to pledge its credit or to render it liable for any purpose or for any amount.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b w:val="1"/>
          <w:bCs w:val="1"/>
          <w:color w:val="auto"/>
        </w:rPr>
        <w:t>Section 8. Construction; Definitions.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 Severability.</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If any provision of these Bylaws becomes or is declared on any ground by a court of competent jurisdiction to be illegal, unenforceable or void, portions of such provision, or such provision in its entirety, to the extent necessary, shall be severed from these Bylaws, and the court will replace such illegal, void or unenforceable provision of these Bylaws with a valid and enforceable provision that most accurately reflects the corporation’s intent, in order to achieve, to the maximum extent possible, the same economic, business and other purposes of the illegal, void or unenforceable provision. In the event the court declines to replace such illegal, void, or unenforceable provision of these Bylaws, these Bylaws should be construed to give effect to all remaining terms. The balance of these Bylaws shall be enforceable in accordance with its terms.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 Amendment.</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These Bylaws may be adopted, amended, or repealed by the stockholders entitled to vote. The Board of Directors shall also have the power to adopt, amend or repeal these Bylaws; provided, however, that a bylaw amendment adopted by stockholders which specifies the votes that shall be necessary for the election of directors shall not be further amended or repealed by the Board of Directors.</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80"/>
      </w:cols>
      <w:pgMar w:left="320" w:top="90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lowerLetter"/>
      <w:start w:val="1"/>
    </w:lvl>
    <w:lvl w:ilvl="1">
      <w:lvlJc w:val="left"/>
      <w:lvlText w:val="(%2)"/>
      <w:numFmt w:val="lowerLetter"/>
      <w:start w:val="1"/>
    </w:lvl>
  </w:abstractNum>
  <w:abstractNum w:abstractNumId="4">
    <w:nsid w:val="628C895D"/>
    <w:multiLevelType w:val="hybridMultilevel"/>
    <w:lvl w:ilvl="0">
      <w:lvlJc w:val="left"/>
      <w:lvlText w:val="(%1)"/>
      <w:numFmt w:val="lowerLetter"/>
      <w:start w:val="1"/>
    </w:lvl>
    <w:lvl w:ilvl="1">
      <w:lvlJc w:val="left"/>
      <w:lvlText w:val="(%2)"/>
      <w:numFmt w:val="lowerLetter"/>
      <w:start w:val="2"/>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lowerLetter"/>
      <w:start w:val="4"/>
    </w:lvl>
  </w:abstractNum>
  <w:abstractNum w:abstractNumId="7">
    <w:nsid w:val="2443A858"/>
    <w:multiLevelType w:val="hybridMultilevel"/>
    <w:lvl w:ilvl="0">
      <w:lvlJc w:val="left"/>
      <w:lvlText w:val="(%1)"/>
      <w:numFmt w:val="lowerLetter"/>
      <w:start w:val="1"/>
    </w:lvl>
    <w:lvl w:ilvl="1">
      <w:lvlJc w:val="left"/>
      <w:lvlText w:val="(%2)"/>
      <w:numFmt w:val="lowerRoman"/>
      <w:start w:val="1"/>
    </w:lvl>
  </w:abstractNum>
  <w:abstractNum w:abstractNumId="8">
    <w:nsid w:val="2D1D5AE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
    <w:nsid w:val="6763845E"/>
    <w:multiLevelType w:val="hybridMultilevel"/>
    <w:lvl w:ilvl="0">
      <w:lvlJc w:val="left"/>
      <w:lvlText w:val="%1"/>
      <w:numFmt w:val="lowerRoman"/>
      <w:start w:val="1"/>
    </w:lvl>
    <w:lvl w:ilvl="1">
      <w:lvlJc w:val="left"/>
      <w:lvlText w:val="(%2)"/>
      <w:numFmt w:val="upperLetter"/>
      <w:start w:val="5"/>
    </w:lvl>
  </w:abstractNum>
  <w:abstractNum w:abstractNumId="10">
    <w:nsid w:val="75A2A8D4"/>
    <w:multiLevelType w:val="hybridMultilevel"/>
    <w:lvl w:ilvl="0">
      <w:lvlJc w:val="left"/>
      <w:lvlText w:val="(%1)"/>
      <w:numFmt w:val="lowerRoman"/>
      <w:start w:val="2"/>
    </w:lvl>
    <w:lvl w:ilvl="1">
      <w:lvlJc w:val="left"/>
      <w:lvlText w:val="(%2)"/>
      <w:numFmt w:val="upperLetter"/>
      <w:start w:val="1"/>
    </w:lvl>
  </w:abstractNum>
  <w:abstractNum w:abstractNumId="11">
    <w:nsid w:val="8EDBDAB"/>
    <w:multiLevelType w:val="hybridMultilevel"/>
    <w:lvl w:ilvl="0">
      <w:lvlJc w:val="left"/>
      <w:lvlText w:val="(%1)"/>
      <w:numFmt w:val="upperLetter"/>
      <w:start w:val="1"/>
    </w:lvl>
  </w:abstractNum>
  <w:abstractNum w:abstractNumId="12">
    <w:nsid w:val="79838CB2"/>
    <w:multiLevelType w:val="hybridMultilevel"/>
    <w:lvl w:ilvl="0">
      <w:lvlJc w:val="left"/>
      <w:lvlText w:val="(%1)"/>
      <w:numFmt w:val="upperLetter"/>
      <w:start w:val="2"/>
    </w:lvl>
  </w:abstractNum>
  <w:abstractNum w:abstractNumId="13">
    <w:nsid w:val="4353D0CD"/>
    <w:multiLevelType w:val="hybridMultilevel"/>
    <w:lvl w:ilvl="0">
      <w:lvlJc w:val="left"/>
      <w:lvlText w:val="(%1)"/>
      <w:numFmt w:val="upperLetter"/>
      <w:start w:val="11"/>
    </w:lvl>
  </w:abstractNum>
  <w:abstractNum w:abstractNumId="14">
    <w:nsid w:val="B03E0C6"/>
    <w:multiLevelType w:val="hybridMultilevel"/>
    <w:lvl w:ilvl="0">
      <w:lvlJc w:val="left"/>
      <w:lvlText w:val="(%1)"/>
      <w:numFmt w:val="decimal"/>
      <w:start w:val="10"/>
    </w:lvl>
    <w:lvl w:ilvl="1">
      <w:lvlJc w:val="left"/>
      <w:lvlText w:val="(%2)"/>
      <w:numFmt w:val="lowerLetter"/>
      <w:start w:val="3"/>
    </w:lvl>
    <w:lvl w:ilvl="2">
      <w:lvlJc w:val="left"/>
      <w:lvlText w:val="(%3)"/>
      <w:numFmt w:val="lowerRoman"/>
      <w:start w:val="1"/>
    </w:lvl>
  </w:abstractNum>
  <w:abstractNum w:abstractNumId="15">
    <w:nsid w:val="189A769B"/>
    <w:multiLevelType w:val="hybridMultilevel"/>
    <w:lvl w:ilvl="0">
      <w:lvlJc w:val="left"/>
      <w:lvlText w:val="(%1)"/>
      <w:numFmt w:val="lowerRoman"/>
      <w:start w:val="3"/>
    </w:lvl>
    <w:lvl w:ilvl="1">
      <w:lvlJc w:val="left"/>
      <w:lvlText w:val="(%2)"/>
      <w:numFmt w:val="upperLetter"/>
      <w:start w:val="1"/>
    </w:lvl>
  </w:abstractNum>
  <w:abstractNum w:abstractNumId="16">
    <w:nsid w:val="54E49EB4"/>
    <w:multiLevelType w:val="hybridMultilevel"/>
    <w:lvl w:ilvl="0">
      <w:lvlJc w:val="left"/>
      <w:lvlText w:val="(%1)"/>
      <w:numFmt w:val="lowerRoman"/>
      <w:start w:val="5"/>
    </w:lvl>
  </w:abstractNum>
  <w:abstractNum w:abstractNumId="17">
    <w:nsid w:val="71F32454"/>
    <w:multiLevelType w:val="hybridMultilevel"/>
    <w:lvl w:ilvl="0">
      <w:lvlJc w:val="left"/>
      <w:lvlText w:val="%1"/>
      <w:numFmt w:val="upperLetter"/>
      <w:start w:val="1"/>
    </w:lvl>
    <w:lvl w:ilvl="1">
      <w:lvlJc w:val="left"/>
      <w:lvlText w:val="(%2)"/>
      <w:numFmt w:val="lowerRoman"/>
      <w:start w:val="6"/>
    </w:lvl>
  </w:abstractNum>
  <w:abstractNum w:abstractNumId="18">
    <w:nsid w:val="2CA88611"/>
    <w:multiLevelType w:val="hybridMultilevel"/>
    <w:lvl w:ilvl="0">
      <w:lvlJc w:val="left"/>
      <w:lvlText w:val="(%1)"/>
      <w:numFmt w:val="upperLetter"/>
      <w:start w:val="2"/>
    </w:lvl>
    <w:lvl w:ilvl="1">
      <w:lvlJc w:val="left"/>
      <w:lvlText w:val="%2"/>
      <w:numFmt w:val="lowerRoman"/>
      <w:start w:val="1"/>
    </w:lvl>
  </w:abstractNum>
  <w:abstractNum w:abstractNumId="19">
    <w:nsid w:val="836C40E"/>
    <w:multiLevelType w:val="hybridMultilevel"/>
    <w:lvl w:ilvl="0">
      <w:lvlJc w:val="left"/>
      <w:lvlText w:val="%1"/>
      <w:numFmt w:val="lowerLetter"/>
      <w:start w:val="1"/>
    </w:lvl>
    <w:lvl w:ilvl="1">
      <w:lvlJc w:val="left"/>
      <w:lvlText w:val="(%2)"/>
      <w:numFmt w:val="lowerRoman"/>
      <w:start w:val="7"/>
    </w:lvl>
  </w:abstractNum>
  <w:abstractNum w:abstractNumId="20">
    <w:nsid w:val="2901D82"/>
    <w:multiLevelType w:val="hybridMultilevel"/>
    <w:lvl w:ilvl="0">
      <w:lvlJc w:val="left"/>
      <w:lvlText w:val="(%1)"/>
      <w:numFmt w:val="lowerLetter"/>
      <w:start w:val="1"/>
    </w:lvl>
    <w:lvl w:ilvl="1">
      <w:lvlJc w:val="left"/>
      <w:lvlText w:val="%2"/>
      <w:numFmt w:val="lowerRoman"/>
      <w:start w:val="1"/>
    </w:lvl>
  </w:abstractNum>
  <w:abstractNum w:abstractNumId="21">
    <w:nsid w:val="3A95F874"/>
    <w:multiLevelType w:val="hybridMultilevel"/>
    <w:lvl w:ilvl="0">
      <w:lvlJc w:val="left"/>
      <w:lvlText w:val="(%1)"/>
      <w:numFmt w:val="lowerRoman"/>
      <w:start w:val="8"/>
    </w:lvl>
  </w:abstractNum>
  <w:abstractNum w:abstractNumId="22">
    <w:nsid w:val="8138641"/>
    <w:multiLevelType w:val="hybridMultilevel"/>
    <w:lvl w:ilvl="0">
      <w:lvlJc w:val="left"/>
      <w:lvlText w:val="%1"/>
      <w:numFmt w:val="lowerLetter"/>
      <w:start w:val="1"/>
    </w:lvl>
    <w:lvl w:ilvl="1">
      <w:lvlJc w:val="left"/>
      <w:lvlText w:val="(%2)"/>
      <w:numFmt w:val="lowerRoman"/>
      <w:start w:val="11"/>
    </w:lvl>
  </w:abstractNum>
  <w:abstractNum w:abstractNumId="23">
    <w:nsid w:val="1E7FF521"/>
    <w:multiLevelType w:val="hybridMultilevel"/>
    <w:lvl w:ilvl="0">
      <w:lvlJc w:val="left"/>
      <w:lvlText w:val="(%1)"/>
      <w:numFmt w:val="lowerLetter"/>
      <w:start w:val="4"/>
    </w:lvl>
    <w:lvl w:ilvl="1">
      <w:lvlJc w:val="left"/>
      <w:lvlText w:val="%2"/>
      <w:numFmt w:val="lowerRoman"/>
      <w:start w:val="1"/>
    </w:lvl>
  </w:abstractNum>
  <w:abstractNum w:abstractNumId="24">
    <w:nsid w:val="7C3DBD3D"/>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5">
    <w:nsid w:val="737B8DDC"/>
    <w:multiLevelType w:val="hybridMultilevel"/>
    <w:lvl w:ilvl="0">
      <w:lvlJc w:val="left"/>
      <w:lvlText w:val="(%1)"/>
      <w:numFmt w:val="lowerRoman"/>
      <w:start w:val="2"/>
    </w:lvl>
  </w:abstractNum>
  <w:abstractNum w:abstractNumId="26">
    <w:nsid w:val="6CEAF087"/>
    <w:multiLevelType w:val="hybridMultilevel"/>
    <w:lvl w:ilvl="0">
      <w:lvlJc w:val="left"/>
      <w:lvlText w:val="(%1)"/>
      <w:numFmt w:val="lowerRoman"/>
      <w:start w:val="7"/>
    </w:lvl>
  </w:abstractNum>
  <w:abstractNum w:abstractNumId="27">
    <w:nsid w:val="22221A70"/>
    <w:multiLevelType w:val="hybridMultilevel"/>
    <w:lvl w:ilvl="0">
      <w:lvlJc w:val="left"/>
      <w:lvlText w:val="%1"/>
      <w:numFmt w:val="lowerLetter"/>
      <w:start w:val="1"/>
    </w:lvl>
    <w:lvl w:ilvl="1">
      <w:lvlJc w:val="left"/>
      <w:lvlText w:val="(%2)"/>
      <w:numFmt w:val="lowerLetter"/>
      <w:start w:val="1"/>
    </w:lvl>
  </w:abstractNum>
  <w:abstractNum w:abstractNumId="28">
    <w:nsid w:val="4516DDE9"/>
    <w:multiLevelType w:val="hybridMultilevel"/>
    <w:lvl w:ilvl="0">
      <w:lvlJc w:val="left"/>
      <w:lvlText w:val="(%1)"/>
      <w:numFmt w:val="lowerLetter"/>
      <w:start w:val="5"/>
    </w:lvl>
    <w:lvl w:ilvl="1">
      <w:lvlJc w:val="left"/>
      <w:lvlText w:val="%2"/>
      <w:numFmt w:val="lowerLetter"/>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2"/>
    </w:lvl>
  </w:abstractNum>
  <w:abstractNum w:abstractNumId="34">
    <w:nsid w:val="5072367"/>
    <w:multiLevelType w:val="hybridMultilevel"/>
    <w:lvl w:ilvl="0">
      <w:lvlJc w:val="left"/>
      <w:lvlText w:val="%1"/>
      <w:numFmt w:val="lowerRoman"/>
      <w:start w:val="1"/>
    </w:lvl>
    <w:lvl w:ilvl="1">
      <w:lvlJc w:val="left"/>
      <w:lvlText w:val="(%2)"/>
      <w:numFmt w:val="lowerLetter"/>
      <w:start w:val="1"/>
    </w:lvl>
  </w:abstractNum>
  <w:abstractNum w:abstractNumId="35">
    <w:nsid w:val="3804823E"/>
    <w:multiLevelType w:val="hybridMultilevel"/>
    <w:lvl w:ilvl="0">
      <w:lvlJc w:val="left"/>
      <w:lvlText w:val="(%1)"/>
      <w:numFmt w:val="lowerRoman"/>
      <w:start w:val="4"/>
    </w:lvl>
    <w:lvl w:ilvl="1">
      <w:lvlJc w:val="left"/>
      <w:lvlText w:val="(%2)"/>
      <w:numFmt w:val="lowerLetter"/>
      <w:start w:val="2"/>
    </w:lvl>
  </w:abstractNum>
  <w:abstractNum w:abstractNumId="36">
    <w:nsid w:val="77465F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2024-07-19T15:14:50Z</dcterms:created>
  <dcterms:modified xsi:type="dcterms:W3CDTF">2024-07-19T15:14:50Z</dcterms:modified>
</cp:coreProperties>
</file>