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109855</wp:posOffset>
            </wp:positionV>
            <wp:extent cx="726376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36195"/>
                    </a:xfrm>
                    <a:prstGeom prst="rect">
                      <a:avLst/>
                    </a:prstGeom>
                    <a:noFill/>
                  </pic:spPr>
                </pic:pic>
              </a:graphicData>
            </a:graphic>
          </wp:anchor>
        </w:drawing>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-116205</wp:posOffset>
            </wp:positionV>
            <wp:extent cx="38049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04920" cy="762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15875</wp:posOffset>
            </wp:positionV>
            <wp:extent cx="380492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04920" cy="15875"/>
                    </a:xfrm>
                    <a:prstGeom prst="rect">
                      <a:avLst/>
                    </a:prstGeom>
                    <a:noFill/>
                  </pic:spPr>
                </pic:pic>
              </a:graphicData>
            </a:graphic>
          </wp:anchor>
        </w:drawing>
      </w:r>
    </w:p>
    <w:p>
      <w:pPr>
        <w:spacing w:after="0" w:line="18" w:lineRule="exact"/>
        <w:rPr>
          <w:sz w:val="24"/>
          <w:szCs w:val="24"/>
          <w:color w:val="auto"/>
        </w:rPr>
      </w:pPr>
    </w:p>
    <w:p>
      <w:pPr>
        <w:ind w:left="342"/>
        <w:spacing w:after="0"/>
        <w:rPr>
          <w:sz w:val="20"/>
          <w:szCs w:val="20"/>
          <w:color w:val="auto"/>
        </w:rPr>
      </w:pPr>
      <w:r>
        <w:rPr>
          <w:rFonts w:ascii="Arial" w:cs="Arial" w:eastAsia="Arial" w:hAnsi="Arial"/>
          <w:sz w:val="16"/>
          <w:szCs w:val="16"/>
          <w:color w:val="auto"/>
        </w:rPr>
        <w:t>OMB Number: 3235-0080</w:t>
      </w:r>
    </w:p>
    <w:p>
      <w:pPr>
        <w:spacing w:after="0" w:line="24" w:lineRule="exact"/>
        <w:rPr>
          <w:sz w:val="24"/>
          <w:szCs w:val="24"/>
          <w:color w:val="auto"/>
        </w:rPr>
      </w:pPr>
    </w:p>
    <w:p>
      <w:pPr>
        <w:ind w:left="342"/>
        <w:spacing w:after="0"/>
        <w:rPr>
          <w:sz w:val="20"/>
          <w:szCs w:val="20"/>
          <w:color w:val="auto"/>
        </w:rPr>
      </w:pPr>
      <w:r>
        <w:rPr>
          <w:rFonts w:ascii="Arial" w:cs="Arial" w:eastAsia="Arial" w:hAnsi="Arial"/>
          <w:sz w:val="16"/>
          <w:szCs w:val="16"/>
          <w:color w:val="auto"/>
        </w:rPr>
        <w:t>Expires: January 31, 2012</w:t>
      </w:r>
    </w:p>
    <w:p>
      <w:pPr>
        <w:spacing w:after="0" w:line="13" w:lineRule="exact"/>
        <w:rPr>
          <w:sz w:val="24"/>
          <w:szCs w:val="24"/>
          <w:color w:val="auto"/>
        </w:rPr>
      </w:pPr>
    </w:p>
    <w:p>
      <w:pPr>
        <w:ind w:left="342"/>
        <w:spacing w:after="0"/>
        <w:rPr>
          <w:sz w:val="20"/>
          <w:szCs w:val="20"/>
          <w:color w:val="auto"/>
        </w:rPr>
      </w:pPr>
      <w:r>
        <w:rPr>
          <w:rFonts w:ascii="Arial" w:cs="Arial" w:eastAsia="Arial" w:hAnsi="Arial"/>
          <w:sz w:val="16"/>
          <w:szCs w:val="16"/>
          <w:color w:val="auto"/>
        </w:rPr>
        <w:t>Estimated average burden</w:t>
      </w:r>
    </w:p>
    <w:p>
      <w:pPr>
        <w:spacing w:after="0" w:line="13" w:lineRule="exact"/>
        <w:rPr>
          <w:sz w:val="24"/>
          <w:szCs w:val="24"/>
          <w:color w:val="auto"/>
        </w:rPr>
      </w:pPr>
    </w:p>
    <w:p>
      <w:pPr>
        <w:ind w:left="502"/>
        <w:spacing w:after="0"/>
        <w:rPr>
          <w:sz w:val="20"/>
          <w:szCs w:val="20"/>
          <w:color w:val="auto"/>
        </w:rPr>
      </w:pPr>
      <w:r>
        <w:rPr>
          <w:rFonts w:ascii="Arial" w:cs="Arial" w:eastAsia="Arial" w:hAnsi="Arial"/>
          <w:sz w:val="16"/>
          <w:szCs w:val="16"/>
          <w:color w:val="auto"/>
        </w:rPr>
        <w:t>hours per response. . . . . . .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380492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4920" cy="1587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left="2"/>
        <w:spacing w:after="0"/>
        <w:rPr>
          <w:sz w:val="20"/>
          <w:szCs w:val="20"/>
          <w:color w:val="auto"/>
        </w:rPr>
      </w:pPr>
      <w:r>
        <w:rPr>
          <w:rFonts w:ascii="Arial" w:cs="Arial" w:eastAsia="Arial" w:hAnsi="Arial"/>
          <w:sz w:val="16"/>
          <w:szCs w:val="16"/>
          <w:color w:val="auto"/>
        </w:rPr>
        <w:t>.</w:t>
      </w:r>
    </w:p>
    <w:p>
      <w:pPr>
        <w:spacing w:after="0" w:line="24"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UNITED STATES</w:t>
      </w:r>
    </w:p>
    <w:p>
      <w:pPr>
        <w:spacing w:after="0" w:line="13"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Washington, D.C. 20549</w:t>
      </w:r>
    </w:p>
    <w:p>
      <w:pPr>
        <w:spacing w:after="0" w:line="11" w:lineRule="exact"/>
        <w:rPr>
          <w:sz w:val="24"/>
          <w:szCs w:val="24"/>
          <w:color w:val="auto"/>
        </w:rPr>
      </w:pPr>
    </w:p>
    <w:p>
      <w:pPr>
        <w:jc w:val="center"/>
        <w:ind w:right="-201"/>
        <w:spacing w:after="0"/>
        <w:rPr>
          <w:sz w:val="20"/>
          <w:szCs w:val="20"/>
          <w:color w:val="auto"/>
        </w:rPr>
      </w:pPr>
      <w:r>
        <w:rPr>
          <w:rFonts w:ascii="Arial" w:cs="Arial" w:eastAsia="Arial" w:hAnsi="Arial"/>
          <w:sz w:val="20"/>
          <w:szCs w:val="20"/>
          <w:b w:val="1"/>
          <w:bCs w:val="1"/>
          <w:color w:val="auto"/>
        </w:rPr>
        <w:t>FORM 25</w:t>
      </w:r>
    </w:p>
    <w:p>
      <w:pPr>
        <w:spacing w:after="0" w:line="175"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NOTIFICATION OF REMOVAL FROM LISTING AND/OR</w:t>
      </w:r>
    </w:p>
    <w:p>
      <w:pPr>
        <w:spacing w:after="0" w:line="28"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REGISTRATION UNDER SECTION 12(b) OF THE</w:t>
      </w:r>
    </w:p>
    <w:p>
      <w:pPr>
        <w:spacing w:after="0" w:line="13"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SECURITIES EXCHANGE ACT OF 1934.</w:t>
      </w:r>
    </w:p>
    <w:p>
      <w:pPr>
        <w:spacing w:after="0" w:line="395" w:lineRule="exact"/>
        <w:rPr>
          <w:sz w:val="24"/>
          <w:szCs w:val="24"/>
          <w:color w:val="auto"/>
        </w:rPr>
      </w:pPr>
    </w:p>
    <w:p>
      <w:pPr>
        <w:ind w:left="7362"/>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5779770</wp:posOffset>
            </wp:positionH>
            <wp:positionV relativeFrom="paragraph">
              <wp:posOffset>-6985</wp:posOffset>
            </wp:positionV>
            <wp:extent cx="7188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820" cy="7620"/>
                    </a:xfrm>
                    <a:prstGeom prst="rect">
                      <a:avLst/>
                    </a:prstGeom>
                    <a:noFill/>
                  </pic:spPr>
                </pic:pic>
              </a:graphicData>
            </a:graphic>
          </wp:anchor>
        </w:drawing>
      </w:r>
    </w:p>
    <w:p>
      <w:pPr>
        <w:spacing w:after="0" w:line="186"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Micron Technology, Inc. – 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745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66" w:lineRule="exact"/>
        <w:rPr>
          <w:sz w:val="24"/>
          <w:szCs w:val="24"/>
          <w:color w:val="auto"/>
        </w:rPr>
      </w:pPr>
    </w:p>
    <w:p>
      <w:pPr>
        <w:jc w:val="center"/>
        <w:ind w:right="-81"/>
        <w:spacing w:after="0"/>
        <w:rPr>
          <w:sz w:val="20"/>
          <w:szCs w:val="20"/>
          <w:color w:val="auto"/>
        </w:rPr>
      </w:pPr>
      <w:r>
        <w:rPr>
          <w:rFonts w:ascii="Arial" w:cs="Arial" w:eastAsia="Arial" w:hAnsi="Arial"/>
          <w:sz w:val="16"/>
          <w:szCs w:val="16"/>
          <w:color w:val="auto"/>
        </w:rPr>
        <w:t>(Exact name of Issuer as specified in its charter, and name of Exchange where security is listed and/or registered)</w:t>
      </w:r>
    </w:p>
    <w:p>
      <w:pPr>
        <w:spacing w:after="0" w:line="206"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8000 South Federal Way, Boise, Idaho 83716-9632 – (208)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745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4"/>
          <w:szCs w:val="24"/>
          <w:color w:val="auto"/>
        </w:rPr>
      </w:pPr>
    </w:p>
    <w:p>
      <w:pPr>
        <w:jc w:val="center"/>
        <w:ind w:right="-201"/>
        <w:spacing w:after="0"/>
        <w:rPr>
          <w:sz w:val="20"/>
          <w:szCs w:val="20"/>
          <w:color w:val="auto"/>
        </w:rPr>
      </w:pPr>
      <w:r>
        <w:rPr>
          <w:rFonts w:ascii="Arial" w:cs="Arial" w:eastAsia="Arial" w:hAnsi="Arial"/>
          <w:sz w:val="16"/>
          <w:szCs w:val="16"/>
          <w:color w:val="auto"/>
        </w:rPr>
        <w:t>(Address, including zip code, and telephone number, including area code, of Issuer's principal executive offices)</w:t>
      </w:r>
    </w:p>
    <w:p>
      <w:pPr>
        <w:spacing w:after="0" w:line="206" w:lineRule="exact"/>
        <w:rPr>
          <w:sz w:val="24"/>
          <w:szCs w:val="24"/>
          <w:color w:val="auto"/>
        </w:rPr>
      </w:pPr>
    </w:p>
    <w:p>
      <w:pPr>
        <w:jc w:val="center"/>
        <w:ind w:right="-201"/>
        <w:spacing w:after="0"/>
        <w:rPr>
          <w:sz w:val="20"/>
          <w:szCs w:val="20"/>
          <w:color w:val="auto"/>
        </w:rPr>
      </w:pPr>
      <w:r>
        <w:rPr>
          <w:rFonts w:ascii="Arial" w:cs="Arial" w:eastAsia="Arial" w:hAnsi="Arial"/>
          <w:sz w:val="16"/>
          <w:szCs w:val="16"/>
          <w:b w:val="1"/>
          <w:bCs w:val="1"/>
          <w:color w:val="auto"/>
        </w:rPr>
        <w:t>Common Stock, par value $.10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2745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66" w:lineRule="exact"/>
        <w:rPr>
          <w:sz w:val="24"/>
          <w:szCs w:val="24"/>
          <w:color w:val="auto"/>
        </w:rPr>
      </w:pPr>
    </w:p>
    <w:p>
      <w:pPr>
        <w:jc w:val="center"/>
        <w:ind w:right="-201"/>
        <w:spacing w:after="0"/>
        <w:rPr>
          <w:sz w:val="20"/>
          <w:szCs w:val="20"/>
          <w:color w:val="auto"/>
        </w:rPr>
      </w:pPr>
      <w:r>
        <w:rPr>
          <w:rFonts w:ascii="Arial" w:cs="Arial" w:eastAsia="Arial" w:hAnsi="Arial"/>
          <w:sz w:val="16"/>
          <w:szCs w:val="16"/>
          <w:color w:val="auto"/>
        </w:rPr>
        <w:t>(Description of class of securities)</w:t>
      </w:r>
    </w:p>
    <w:p>
      <w:pPr>
        <w:spacing w:after="0" w:line="210" w:lineRule="exact"/>
        <w:rPr>
          <w:sz w:val="24"/>
          <w:szCs w:val="24"/>
          <w:color w:val="auto"/>
        </w:rPr>
      </w:pPr>
    </w:p>
    <w:p>
      <w:pPr>
        <w:ind w:left="142"/>
        <w:spacing w:after="0"/>
        <w:rPr>
          <w:sz w:val="20"/>
          <w:szCs w:val="20"/>
          <w:color w:val="auto"/>
        </w:rPr>
      </w:pPr>
      <w:r>
        <w:rPr>
          <w:rFonts w:ascii="Arial" w:cs="Arial" w:eastAsia="Arial" w:hAnsi="Arial"/>
          <w:sz w:val="16"/>
          <w:szCs w:val="16"/>
          <w:color w:val="auto"/>
        </w:rPr>
        <w:t>Please place an X in the box to designate the rule provision relied upon to strike the class of securities from listing and registration:</w:t>
      </w:r>
    </w:p>
    <w:p>
      <w:pPr>
        <w:spacing w:after="0" w:line="234" w:lineRule="exact"/>
        <w:rPr>
          <w:sz w:val="24"/>
          <w:szCs w:val="24"/>
          <w:color w:val="auto"/>
        </w:rPr>
      </w:pPr>
    </w:p>
    <w:p>
      <w:pPr>
        <w:ind w:left="262" w:hanging="114"/>
        <w:spacing w:after="0"/>
        <w:tabs>
          <w:tab w:leader="none" w:pos="262"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17CFR240.12d2-2(a)(1)</w:t>
      </w:r>
    </w:p>
    <w:p>
      <w:pPr>
        <w:spacing w:after="0" w:line="234" w:lineRule="exact"/>
        <w:rPr>
          <w:rFonts w:ascii="Arial" w:cs="Arial" w:eastAsia="Arial" w:hAnsi="Arial"/>
          <w:sz w:val="16"/>
          <w:szCs w:val="16"/>
          <w:b w:val="1"/>
          <w:bCs w:val="1"/>
          <w:color w:val="auto"/>
        </w:rPr>
      </w:pPr>
    </w:p>
    <w:p>
      <w:pPr>
        <w:ind w:left="262" w:hanging="114"/>
        <w:spacing w:after="0"/>
        <w:tabs>
          <w:tab w:leader="none" w:pos="262"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17CFR240.12d2-2(a)(2)</w:t>
      </w:r>
    </w:p>
    <w:p>
      <w:pPr>
        <w:spacing w:after="0" w:line="234" w:lineRule="exact"/>
        <w:rPr>
          <w:rFonts w:ascii="Arial" w:cs="Arial" w:eastAsia="Arial" w:hAnsi="Arial"/>
          <w:sz w:val="16"/>
          <w:szCs w:val="16"/>
          <w:b w:val="1"/>
          <w:bCs w:val="1"/>
          <w:color w:val="auto"/>
        </w:rPr>
      </w:pPr>
    </w:p>
    <w:p>
      <w:pPr>
        <w:ind w:left="262" w:hanging="114"/>
        <w:spacing w:after="0"/>
        <w:tabs>
          <w:tab w:leader="none" w:pos="262"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17CFR240.12d2-2(a)(3)</w:t>
      </w:r>
    </w:p>
    <w:p>
      <w:pPr>
        <w:spacing w:after="0" w:line="234" w:lineRule="exact"/>
        <w:rPr>
          <w:rFonts w:ascii="Arial" w:cs="Arial" w:eastAsia="Arial" w:hAnsi="Arial"/>
          <w:sz w:val="16"/>
          <w:szCs w:val="16"/>
          <w:b w:val="1"/>
          <w:bCs w:val="1"/>
          <w:color w:val="auto"/>
        </w:rPr>
      </w:pPr>
    </w:p>
    <w:p>
      <w:pPr>
        <w:ind w:left="262" w:hanging="114"/>
        <w:spacing w:after="0"/>
        <w:tabs>
          <w:tab w:leader="none" w:pos="262"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17CFR240.12d2-2(a)(4)</w:t>
      </w:r>
    </w:p>
    <w:p>
      <w:pPr>
        <w:spacing w:after="0" w:line="234" w:lineRule="exact"/>
        <w:rPr>
          <w:rFonts w:ascii="Arial" w:cs="Arial" w:eastAsia="Arial" w:hAnsi="Arial"/>
          <w:sz w:val="16"/>
          <w:szCs w:val="16"/>
          <w:b w:val="1"/>
          <w:bCs w:val="1"/>
          <w:color w:val="auto"/>
        </w:rPr>
      </w:pPr>
    </w:p>
    <w:p>
      <w:pPr>
        <w:ind w:left="142" w:right="460" w:firstLine="6"/>
        <w:spacing w:after="0" w:line="295" w:lineRule="auto"/>
        <w:tabs>
          <w:tab w:leader="none" w:pos="552"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17 CFR 240.12d2-2(b), the Exchange has complied with its rules to strike the class of securities from listing and/or withdraw registration on the Exchange.</w:t>
      </w:r>
      <w:hyperlink w:anchor="page1">
        <w:r>
          <w:rPr>
            <w:rFonts w:ascii="Arial" w:cs="Arial" w:eastAsia="Arial" w:hAnsi="Arial"/>
            <w:sz w:val="22"/>
            <w:szCs w:val="22"/>
            <w:u w:val="single" w:color="auto"/>
            <w:color w:val="0000EE"/>
            <w:vertAlign w:val="superscript"/>
          </w:rPr>
          <w:t>1</w:t>
        </w:r>
      </w:hyperlink>
    </w:p>
    <w:p>
      <w:pPr>
        <w:spacing w:after="0" w:line="78" w:lineRule="exact"/>
        <w:rPr>
          <w:sz w:val="24"/>
          <w:szCs w:val="24"/>
          <w:color w:val="auto"/>
        </w:rPr>
      </w:pPr>
    </w:p>
    <w:p>
      <w:pPr>
        <w:ind w:left="142" w:firstLine="6"/>
        <w:spacing w:after="0" w:line="288" w:lineRule="auto"/>
        <w:tabs>
          <w:tab w:leader="none" w:pos="552"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200" w:lineRule="exact"/>
        <w:rPr>
          <w:sz w:val="24"/>
          <w:szCs w:val="24"/>
          <w:color w:val="auto"/>
        </w:rPr>
      </w:pPr>
    </w:p>
    <w:p>
      <w:pPr>
        <w:spacing w:after="0" w:line="343" w:lineRule="exact"/>
        <w:rPr>
          <w:sz w:val="24"/>
          <w:szCs w:val="24"/>
          <w:color w:val="auto"/>
        </w:rPr>
      </w:pPr>
    </w:p>
    <w:p>
      <w:pPr>
        <w:ind w:left="142" w:right="180"/>
        <w:spacing w:after="0" w:line="288" w:lineRule="auto"/>
        <w:rPr>
          <w:sz w:val="20"/>
          <w:szCs w:val="20"/>
          <w:color w:val="auto"/>
        </w:rPr>
      </w:pPr>
      <w:r>
        <w:rPr>
          <w:rFonts w:ascii="Arial" w:cs="Arial" w:eastAsia="Arial" w:hAnsi="Arial"/>
          <w:sz w:val="16"/>
          <w:szCs w:val="16"/>
          <w:color w:val="auto"/>
        </w:rPr>
        <w:t>Pursuant to the requirements of the Securities Exchange Act of 1934, Micron Technology, Inc. certifies that it has reasonable grounds to believe that it meets all of the requirements for filing the Form 25 and has caused this notification to be signed on its behalf by the undersigned duly authorized person.</w:t>
      </w:r>
    </w:p>
    <w:p>
      <w:pPr>
        <w:spacing w:after="0" w:line="138" w:lineRule="exact"/>
        <w:rPr>
          <w:sz w:val="24"/>
          <w:szCs w:val="24"/>
          <w:color w:val="auto"/>
        </w:rPr>
      </w:pPr>
    </w:p>
    <w:tbl>
      <w:tblPr>
        <w:tblLayout w:type="fixed"/>
        <w:tblInd w:w="162"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w w:val="91"/>
              </w:rPr>
              <w:t>December 29, 2009</w:t>
            </w:r>
          </w:p>
        </w:tc>
        <w:tc>
          <w:tcPr>
            <w:tcW w:w="1120" w:type="dxa"/>
            <w:vAlign w:val="bottom"/>
          </w:tcPr>
          <w:p>
            <w:pPr>
              <w:spacing w:after="0"/>
              <w:rPr>
                <w:sz w:val="16"/>
                <w:szCs w:val="16"/>
                <w:color w:val="auto"/>
              </w:rPr>
            </w:pPr>
          </w:p>
        </w:tc>
        <w:tc>
          <w:tcPr>
            <w:tcW w:w="4080" w:type="dxa"/>
            <w:vAlign w:val="bottom"/>
            <w:gridSpan w:val="3"/>
          </w:tcPr>
          <w:p>
            <w:pPr>
              <w:ind w:left="11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Ronald C. Foster</w:t>
            </w:r>
          </w:p>
        </w:tc>
        <w:tc>
          <w:tcPr>
            <w:tcW w:w="3520" w:type="dxa"/>
            <w:vAlign w:val="bottom"/>
          </w:tcPr>
          <w:p>
            <w:pPr>
              <w:spacing w:after="0"/>
              <w:rPr>
                <w:sz w:val="20"/>
                <w:szCs w:val="20"/>
                <w:color w:val="auto"/>
              </w:rPr>
            </w:pPr>
            <w:r>
              <w:rPr>
                <w:rFonts w:ascii="Arial" w:cs="Arial" w:eastAsia="Arial" w:hAnsi="Arial"/>
                <w:sz w:val="16"/>
                <w:szCs w:val="16"/>
                <w:color w:val="auto"/>
                <w:w w:val="93"/>
              </w:rPr>
              <w:t>Chief Financial Officer and Vice President of Finance</w:t>
            </w:r>
          </w:p>
        </w:tc>
      </w:tr>
      <w:tr>
        <w:trPr>
          <w:trHeight w:val="20"/>
        </w:trPr>
        <w:tc>
          <w:tcPr>
            <w:tcW w:w="13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1300" w:type="dxa"/>
            <w:vAlign w:val="bottom"/>
          </w:tcPr>
          <w:p>
            <w:pPr>
              <w:ind w:left="560"/>
              <w:spacing w:after="0"/>
              <w:rPr>
                <w:sz w:val="20"/>
                <w:szCs w:val="20"/>
                <w:color w:val="auto"/>
              </w:rPr>
            </w:pPr>
            <w:r>
              <w:rPr>
                <w:rFonts w:ascii="Arial" w:cs="Arial" w:eastAsia="Arial" w:hAnsi="Arial"/>
                <w:sz w:val="16"/>
                <w:szCs w:val="16"/>
                <w:color w:val="auto"/>
              </w:rPr>
              <w:t>Date</w:t>
            </w:r>
          </w:p>
        </w:tc>
        <w:tc>
          <w:tcPr>
            <w:tcW w:w="1120" w:type="dxa"/>
            <w:vAlign w:val="bottom"/>
          </w:tcPr>
          <w:p>
            <w:pPr>
              <w:spacing w:after="0"/>
              <w:rPr>
                <w:sz w:val="20"/>
                <w:szCs w:val="20"/>
                <w:color w:val="auto"/>
              </w:rPr>
            </w:pPr>
          </w:p>
        </w:tc>
        <w:tc>
          <w:tcPr>
            <w:tcW w:w="4080" w:type="dxa"/>
            <w:vAlign w:val="bottom"/>
            <w:gridSpan w:val="3"/>
          </w:tcPr>
          <w:p>
            <w:pPr>
              <w:ind w:left="1280"/>
              <w:spacing w:after="0"/>
              <w:rPr>
                <w:sz w:val="20"/>
                <w:szCs w:val="20"/>
                <w:color w:val="auto"/>
              </w:rPr>
            </w:pPr>
            <w:r>
              <w:rPr>
                <w:rFonts w:ascii="Arial" w:cs="Arial" w:eastAsia="Arial" w:hAnsi="Arial"/>
                <w:sz w:val="16"/>
                <w:szCs w:val="16"/>
                <w:color w:val="auto"/>
              </w:rPr>
              <w:t>Name: Ronald C. Foster</w:t>
            </w:r>
          </w:p>
        </w:tc>
        <w:tc>
          <w:tcPr>
            <w:tcW w:w="3520" w:type="dxa"/>
            <w:vAlign w:val="bottom"/>
          </w:tcPr>
          <w:p>
            <w:pPr>
              <w:ind w:left="1700"/>
              <w:spacing w:after="0"/>
              <w:rPr>
                <w:sz w:val="20"/>
                <w:szCs w:val="20"/>
                <w:color w:val="auto"/>
              </w:rPr>
            </w:pPr>
            <w:r>
              <w:rPr>
                <w:rFonts w:ascii="Arial" w:cs="Arial" w:eastAsia="Arial" w:hAnsi="Arial"/>
                <w:sz w:val="16"/>
                <w:szCs w:val="16"/>
                <w:color w:val="auto"/>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332105</wp:posOffset>
            </wp:positionV>
            <wp:extent cx="72840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102" w:hanging="102"/>
        <w:spacing w:after="0"/>
        <w:tabs>
          <w:tab w:leader="none" w:pos="102"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Form 25 and attached notice will be considered compliance with the provisions of 17 CFR 240.19d-1 as applicable. See General Instructions.</w:t>
      </w:r>
    </w:p>
    <w:p>
      <w:pPr>
        <w:spacing w:after="0" w:line="200" w:lineRule="exact"/>
        <w:rPr>
          <w:sz w:val="24"/>
          <w:szCs w:val="24"/>
          <w:color w:val="auto"/>
        </w:rPr>
      </w:pPr>
    </w:p>
    <w:p>
      <w:pPr>
        <w:spacing w:after="0" w:line="228" w:lineRule="exact"/>
        <w:rPr>
          <w:sz w:val="24"/>
          <w:szCs w:val="24"/>
          <w:color w:val="auto"/>
        </w:rPr>
      </w:pPr>
    </w:p>
    <w:p>
      <w:pPr>
        <w:ind w:left="102" w:right="340"/>
        <w:spacing w:after="0" w:line="293" w:lineRule="auto"/>
        <w:rPr>
          <w:sz w:val="20"/>
          <w:szCs w:val="20"/>
          <w:color w:val="auto"/>
        </w:rPr>
      </w:pPr>
      <w:r>
        <w:rPr>
          <w:rFonts w:ascii="Arial" w:cs="Arial" w:eastAsia="Arial" w:hAnsi="Arial"/>
          <w:sz w:val="16"/>
          <w:szCs w:val="16"/>
          <w:color w:val="auto"/>
        </w:rPr>
        <w:t xml:space="preserve">SEC 1654(03-06) </w:t>
      </w:r>
      <w:r>
        <w:rPr>
          <w:rFonts w:ascii="Arial" w:cs="Arial" w:eastAsia="Arial" w:hAnsi="Arial"/>
          <w:sz w:val="16"/>
          <w:szCs w:val="16"/>
          <w:b w:val="1"/>
          <w:bCs w:val="1"/>
          <w:color w:val="auto"/>
        </w:rPr>
        <w:t>Persons who respond to the collection of information contained in this form are not required to respond unless the form displays a</w:t>
      </w:r>
      <w:r>
        <w:rPr>
          <w:rFonts w:ascii="Arial" w:cs="Arial" w:eastAsia="Arial" w:hAnsi="Arial"/>
          <w:sz w:val="16"/>
          <w:szCs w:val="16"/>
          <w:color w:val="auto"/>
        </w:rPr>
        <w:t xml:space="preserve"> </w:t>
      </w:r>
      <w:r>
        <w:rPr>
          <w:rFonts w:ascii="Arial" w:cs="Arial" w:eastAsia="Arial" w:hAnsi="Arial"/>
          <w:sz w:val="16"/>
          <w:szCs w:val="16"/>
          <w:b w:val="1"/>
          <w:bCs w:val="1"/>
          <w:color w:val="auto"/>
        </w:rPr>
        <w:t>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376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242"/>
          </w:cols>
          <w:pgMar w:left="238" w:top="533" w:right="41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2019-12-10T05:14:15Z</dcterms:created>
  <dcterms:modified xsi:type="dcterms:W3CDTF">2019-12-10T05:14:15Z</dcterms:modified>
</cp:coreProperties>
</file>