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MICRON TECHNOLOGY INC SHS</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595112103</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2009</w:t>
      </w:r>
    </w:p>
    <w:p>
      <w:pPr>
        <w:ind w:left="220" w:hanging="212"/>
        <w:spacing w:after="0" w:line="238" w:lineRule="auto"/>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8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595112103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This Amendment to Schedule 13G (this "Amendment")</w:t>
      </w:r>
    </w:p>
    <w:p>
      <w:pPr>
        <w:spacing w:after="0" w:line="4" w:lineRule="exact"/>
        <w:rPr>
          <w:sz w:val="24"/>
          <w:szCs w:val="24"/>
          <w:color w:val="auto"/>
        </w:rPr>
      </w:pPr>
    </w:p>
    <w:p>
      <w:pPr>
        <w:ind w:right="4319"/>
        <w:spacing w:after="0" w:line="237" w:lineRule="auto"/>
        <w:rPr>
          <w:sz w:val="20"/>
          <w:szCs w:val="20"/>
          <w:color w:val="auto"/>
        </w:rPr>
      </w:pPr>
      <w:r>
        <w:rPr>
          <w:rFonts w:ascii="Courier New" w:cs="Courier New" w:eastAsia="Courier New" w:hAnsi="Courier New"/>
          <w:sz w:val="18"/>
          <w:szCs w:val="18"/>
          <w:color w:val="auto"/>
        </w:rPr>
        <w:t>is filed by BlackRock, Inc. ("BlackRock"). It amends the most recent Schedule 13G filing, if any, made by BlackRock and the most recent Schedule 13G filing, if any, made by Barclays Global Investors, NA and certain of its affiliates (Barclays Global Investors, NA and such affiliates are collectively referred to as the "BGI Entities") with respect to the subject class</w:t>
      </w:r>
    </w:p>
    <w:p>
      <w:pPr>
        <w:spacing w:after="0" w:line="9" w:lineRule="exact"/>
        <w:rPr>
          <w:sz w:val="24"/>
          <w:szCs w:val="24"/>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of securities of the above-named issuer. As previously announced, on December 1, 2009 BlackRock</w:t>
      </w:r>
    </w:p>
    <w:p>
      <w:pPr>
        <w:spacing w:after="0"/>
        <w:rPr>
          <w:sz w:val="20"/>
          <w:szCs w:val="20"/>
          <w:color w:val="auto"/>
        </w:rPr>
      </w:pPr>
      <w:r>
        <w:rPr>
          <w:rFonts w:ascii="Courier New" w:cs="Courier New" w:eastAsia="Courier New" w:hAnsi="Courier New"/>
          <w:sz w:val="18"/>
          <w:szCs w:val="18"/>
          <w:color w:val="auto"/>
        </w:rPr>
        <w:t>completed its acquisition of Barclays Global Investors</w:t>
      </w:r>
    </w:p>
    <w:p>
      <w:pPr>
        <w:spacing w:after="0" w:line="4" w:lineRule="exact"/>
        <w:rPr>
          <w:sz w:val="24"/>
          <w:szCs w:val="24"/>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from Barclays Bank PLC. As a result, [substantially all of] the BGI Entities are now included as subsidiaries of BlackRock for purposes of Schedule 13G filings.</w:t>
      </w:r>
    </w:p>
    <w:p>
      <w:pPr>
        <w:spacing w:after="0" w:line="200" w:lineRule="exact"/>
        <w:rPr>
          <w:sz w:val="24"/>
          <w:szCs w:val="24"/>
          <w:color w:val="auto"/>
        </w:rPr>
      </w:pPr>
    </w:p>
    <w:p>
      <w:pPr>
        <w:spacing w:after="0" w:line="206" w:lineRule="exact"/>
        <w:rPr>
          <w:sz w:val="24"/>
          <w:szCs w:val="24"/>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(5)Sole voting power</w:t>
      </w:r>
    </w:p>
    <w:p>
      <w:pPr>
        <w:sectPr>
          <w:pgSz w:w="11900" w:h="16838" w:orient="portrait"/>
          <w:cols w:equalWidth="0" w:num="1">
            <w:col w:w="10219"/>
          </w:cols>
          <w:pgMar w:left="24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70514879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(6)Shared voting power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(7)Sole dispositive power</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70514879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(8)Shared dispositive power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(9)Aggregate amount beneficially owned by each reporting person</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70514879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(10)Check if the aggregate amount in Row (9) excludes certain shares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8.3%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(12)Type of reporting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4"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MICRON TECHNOLOGY INC SHS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8000 South Federal Way</w:t>
      </w:r>
    </w:p>
    <w:p>
      <w:pPr>
        <w:spacing w:after="0" w:line="238" w:lineRule="auto"/>
        <w:rPr>
          <w:sz w:val="20"/>
          <w:szCs w:val="20"/>
          <w:color w:val="auto"/>
        </w:rPr>
      </w:pPr>
      <w:r>
        <w:rPr>
          <w:rFonts w:ascii="Courier New" w:cs="Courier New" w:eastAsia="Courier New" w:hAnsi="Courier New"/>
          <w:sz w:val="18"/>
          <w:szCs w:val="18"/>
          <w:color w:val="auto"/>
        </w:rPr>
        <w:t>PO Box 6 Boise, ID 83716-9632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4"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BlackRock, Inc.</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Amendment to Schedule 13G (this "Amendment")</w:t>
      </w:r>
    </w:p>
    <w:p>
      <w:pPr>
        <w:spacing w:after="0" w:line="4" w:lineRule="exact"/>
        <w:rPr>
          <w:sz w:val="20"/>
          <w:szCs w:val="20"/>
          <w:color w:val="auto"/>
        </w:rPr>
      </w:pPr>
    </w:p>
    <w:p>
      <w:pPr>
        <w:ind w:right="4319"/>
        <w:spacing w:after="0" w:line="237" w:lineRule="auto"/>
        <w:rPr>
          <w:sz w:val="20"/>
          <w:szCs w:val="20"/>
          <w:color w:val="auto"/>
        </w:rPr>
      </w:pPr>
      <w:r>
        <w:rPr>
          <w:rFonts w:ascii="Courier New" w:cs="Courier New" w:eastAsia="Courier New" w:hAnsi="Courier New"/>
          <w:sz w:val="18"/>
          <w:szCs w:val="18"/>
          <w:color w:val="auto"/>
        </w:rPr>
        <w:t>is filed by BlackRock, Inc. ("BlackRock"). It amends the most recent Schedule 13G filing, if any, made by BlackRock and the most recent Schedule 13G filing, if any, made by Barclays Global Investors, NA and certain of its affiliates (Barclays Global Investors, NA and such affiliates are collectively referred to as the "BGI Entities") with respect to the subject class</w:t>
      </w:r>
    </w:p>
    <w:p>
      <w:pPr>
        <w:spacing w:after="0" w:line="9"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of securities of the above-named issuer. As previously announced, on December 1, 2009 BlackRock</w:t>
      </w:r>
    </w:p>
    <w:p>
      <w:pPr>
        <w:spacing w:after="0"/>
        <w:rPr>
          <w:sz w:val="20"/>
          <w:szCs w:val="20"/>
          <w:color w:val="auto"/>
        </w:rPr>
      </w:pPr>
      <w:r>
        <w:rPr>
          <w:rFonts w:ascii="Courier New" w:cs="Courier New" w:eastAsia="Courier New" w:hAnsi="Courier New"/>
          <w:sz w:val="18"/>
          <w:szCs w:val="18"/>
          <w:color w:val="auto"/>
        </w:rPr>
        <w:t>completed its acquisition of Barclays Global Investors</w:t>
      </w:r>
    </w:p>
    <w:p>
      <w:pPr>
        <w:spacing w:after="0" w:line="4" w:lineRule="exact"/>
        <w:rPr>
          <w:sz w:val="20"/>
          <w:szCs w:val="20"/>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from Barclays Bank PLC. As a result, [substantially all of] the BGI Entities are now included as subsidiaries of BlackRock for purposes of Schedule 13G filings.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BlackRock Inc.</w:t>
      </w:r>
    </w:p>
    <w:p>
      <w:pPr>
        <w:spacing w:after="0" w:line="4" w:lineRule="exact"/>
        <w:rPr>
          <w:rFonts w:ascii="Courier New" w:cs="Courier New" w:eastAsia="Courier New" w:hAnsi="Courier New"/>
          <w:sz w:val="16"/>
          <w:szCs w:val="16"/>
          <w:color w:val="auto"/>
        </w:rPr>
      </w:pPr>
    </w:p>
    <w:p>
      <w:pPr>
        <w:ind w:right="8219"/>
        <w:spacing w:after="0" w:line="29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40 East 52nd Street New York, NY 10022</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ind w:left="220" w:hanging="212"/>
        <w:spacing w:after="0" w:line="238" w:lineRule="auto"/>
        <w:tabs>
          <w:tab w:leader="none" w:pos="2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ind w:left="220" w:hanging="212"/>
        <w:spacing w:after="0" w:line="238" w:lineRule="auto"/>
        <w:tabs>
          <w:tab w:leader="none" w:pos="2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w:t>
      </w:r>
    </w:p>
    <w:p>
      <w:pPr>
        <w:sectPr>
          <w:pgSz w:w="11900" w:h="16838" w:orient="portrait"/>
          <w:cols w:equalWidth="0" w:num="1">
            <w:col w:w="10219"/>
          </w:cols>
          <w:pgMar w:left="240" w:top="136"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pacing w:after="0" w:line="4" w:lineRule="exact"/>
        <w:rPr>
          <w:rFonts w:ascii="Courier New" w:cs="Courier New" w:eastAsia="Courier New" w:hAnsi="Courier New"/>
          <w:sz w:val="18"/>
          <w:szCs w:val="18"/>
          <w:color w:val="auto"/>
        </w:rPr>
      </w:pPr>
    </w:p>
    <w:p>
      <w:pPr>
        <w:ind w:left="1280" w:right="3359" w:hanging="1272"/>
        <w:spacing w:after="0" w:line="235" w:lineRule="auto"/>
        <w:tabs>
          <w:tab w:leader="none" w:pos="227"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5" w:lineRule="exact"/>
        <w:rPr>
          <w:rFonts w:ascii="Courier New" w:cs="Courier New" w:eastAsia="Courier New" w:hAnsi="Courier New"/>
          <w:sz w:val="18"/>
          <w:szCs w:val="18"/>
          <w:color w:val="auto"/>
        </w:rPr>
      </w:pPr>
    </w:p>
    <w:p>
      <w:pPr>
        <w:ind w:left="1280" w:right="3359" w:hanging="1264"/>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Rule 13d-1(b)(1)(ii)(G);</w:t>
      </w:r>
    </w:p>
    <w:p>
      <w:pPr>
        <w:spacing w:after="0" w:line="5" w:lineRule="exact"/>
        <w:rPr>
          <w:rFonts w:ascii="Courier New" w:cs="Courier New" w:eastAsia="Courier New" w:hAnsi="Courier New"/>
          <w:sz w:val="18"/>
          <w:szCs w:val="18"/>
          <w:color w:val="auto"/>
        </w:rPr>
      </w:pPr>
    </w:p>
    <w:p>
      <w:pPr>
        <w:ind w:left="1280" w:right="3039" w:hanging="1272"/>
        <w:spacing w:after="0" w:line="235" w:lineRule="auto"/>
        <w:tabs>
          <w:tab w:leader="none" w:pos="227"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w:t>
      </w:r>
    </w:p>
    <w:p>
      <w:pPr>
        <w:spacing w:after="0" w:line="4" w:lineRule="exact"/>
        <w:rPr>
          <w:rFonts w:ascii="Courier New" w:cs="Courier New" w:eastAsia="Courier New" w:hAnsi="Courier New"/>
          <w:sz w:val="18"/>
          <w:szCs w:val="18"/>
          <w:color w:val="auto"/>
        </w:rPr>
      </w:pPr>
    </w:p>
    <w:p>
      <w:pPr>
        <w:ind w:left="1280" w:right="18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company under section 3(c)(14) of the Investment Company Act of 1940;</w:t>
      </w:r>
    </w:p>
    <w:p>
      <w:pPr>
        <w:spacing w:after="0" w:line="5" w:lineRule="exact"/>
        <w:rPr>
          <w:rFonts w:ascii="Courier New" w:cs="Courier New" w:eastAsia="Courier New" w:hAnsi="Courier New"/>
          <w:sz w:val="18"/>
          <w:szCs w:val="18"/>
          <w:color w:val="auto"/>
        </w:rPr>
      </w:pPr>
    </w:p>
    <w:p>
      <w:pPr>
        <w:ind w:left="1280" w:right="5479" w:hanging="1272"/>
        <w:spacing w:after="0" w:line="268" w:lineRule="auto"/>
        <w:tabs>
          <w:tab w:leader="none" w:pos="227"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5" w:lineRule="auto"/>
        <w:tabs>
          <w:tab w:leader="none" w:pos="227"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70514879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70514879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70514879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90" w:lineRule="auto"/>
        <w:rPr>
          <w:sz w:val="20"/>
          <w:szCs w:val="20"/>
          <w:color w:val="auto"/>
        </w:rPr>
      </w:pPr>
      <w:r>
        <w:rPr>
          <w:rFonts w:ascii="Courier New" w:cs="Courier New" w:eastAsia="Courier New" w:hAnsi="Courier New"/>
          <w:sz w:val="16"/>
          <w:szCs w:val="16"/>
          <w:color w:val="auto"/>
        </w:rPr>
        <w:t>Ownership of 5 Percent or Less of a Class. If this statement is being filed to report the fact that as of the date hereof the reporting person</w:t>
      </w:r>
    </w:p>
    <w:p>
      <w:pPr>
        <w:sectPr>
          <w:pgSz w:w="11900" w:h="16838" w:orient="portrait"/>
          <w:cols w:equalWidth="0" w:num="1">
            <w:col w:w="10219"/>
          </w:cols>
          <w:pgMar w:left="240" w:top="541" w:right="1440" w:bottom="0" w:gutter="0" w:footer="0" w:header="0"/>
        </w:sectPr>
      </w:pPr>
    </w:p>
    <w:bookmarkStart w:id="3" w:name="page4"/>
    <w:bookmarkEnd w:id="3"/>
    <w:p>
      <w:pPr>
        <w:ind w:right="3159"/>
        <w:spacing w:after="0" w:line="235" w:lineRule="auto"/>
        <w:rPr>
          <w:sz w:val="20"/>
          <w:szCs w:val="20"/>
          <w:color w:val="auto"/>
        </w:rPr>
      </w:pPr>
      <w:r>
        <w:rPr>
          <w:rFonts w:ascii="Courier New" w:cs="Courier New" w:eastAsia="Courier New" w:hAnsi="Courier New"/>
          <w:sz w:val="18"/>
          <w:szCs w:val="18"/>
          <w:color w:val="auto"/>
        </w:rPr>
        <w:t>has ceased to be the beneficial owner of more than 5 percent of the class of securities, check the following [ ].</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Instruction. Dissolution of a group requires a response to this item.</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right="3479"/>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MICRON TECHNOLOGY INC SHS.</w:t>
      </w:r>
    </w:p>
    <w:p>
      <w:pPr>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pacing w:after="0"/>
        <w:rPr>
          <w:sz w:val="20"/>
          <w:szCs w:val="20"/>
          <w:color w:val="auto"/>
        </w:rPr>
      </w:pPr>
      <w:r>
        <w:rPr>
          <w:rFonts w:ascii="Courier New" w:cs="Courier New" w:eastAsia="Courier New" w:hAnsi="Courier New"/>
          <w:sz w:val="18"/>
          <w:szCs w:val="18"/>
          <w:color w:val="auto"/>
        </w:rPr>
        <w:t>MICRON TECHNOLOGY INC SHS</w:t>
      </w:r>
    </w:p>
    <w:p>
      <w:pPr>
        <w:spacing w:after="0" w:line="237"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January 20, 2010</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Rick F. Froio</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Name/Title  Attorney-In-Fact</w:t>
      </w:r>
    </w:p>
    <w:p>
      <w:pPr>
        <w:sectPr>
          <w:pgSz w:w="11900" w:h="16838" w:orient="portrait"/>
          <w:cols w:equalWidth="0" w:num="1">
            <w:col w:w="10219"/>
          </w:cols>
          <w:pgMar w:left="240" w:top="142" w:right="1440" w:bottom="0" w:gutter="0" w:footer="0" w:header="0"/>
        </w:sectPr>
      </w:pPr>
    </w:p>
    <w:bookmarkStart w:id="4" w:name="page5"/>
    <w:bookmarkEnd w:id="4"/>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Asset Management Japan Limited</w:t>
      </w:r>
    </w:p>
    <w:p>
      <w:pPr>
        <w:spacing w:after="0" w:line="238" w:lineRule="auto"/>
        <w:rPr>
          <w:sz w:val="20"/>
          <w:szCs w:val="20"/>
          <w:color w:val="auto"/>
        </w:rPr>
      </w:pPr>
      <w:r>
        <w:rPr>
          <w:rFonts w:ascii="Courier New" w:cs="Courier New" w:eastAsia="Courier New" w:hAnsi="Courier New"/>
          <w:sz w:val="18"/>
          <w:szCs w:val="18"/>
          <w:color w:val="auto"/>
        </w:rPr>
        <w:t>BlackRock Advisors (UK) Limited</w:t>
      </w:r>
    </w:p>
    <w:p>
      <w:pPr>
        <w:spacing w:after="0"/>
        <w:rPr>
          <w:sz w:val="20"/>
          <w:szCs w:val="20"/>
          <w:color w:val="auto"/>
        </w:rPr>
      </w:pPr>
      <w:r>
        <w:rPr>
          <w:rFonts w:ascii="Courier New" w:cs="Courier New" w:eastAsia="Courier New" w:hAnsi="Courier New"/>
          <w:sz w:val="18"/>
          <w:szCs w:val="18"/>
          <w:color w:val="auto"/>
        </w:rPr>
        <w:t>BlackRock Institutional Trust Company, N.A.</w:t>
      </w:r>
    </w:p>
    <w:p>
      <w:pPr>
        <w:spacing w:after="0" w:line="237" w:lineRule="auto"/>
        <w:rPr>
          <w:sz w:val="20"/>
          <w:szCs w:val="20"/>
          <w:color w:val="auto"/>
        </w:rPr>
      </w:pPr>
      <w:r>
        <w:rPr>
          <w:rFonts w:ascii="Courier New" w:cs="Courier New" w:eastAsia="Courier New" w:hAnsi="Courier New"/>
          <w:sz w:val="18"/>
          <w:szCs w:val="18"/>
          <w:color w:val="auto"/>
        </w:rPr>
        <w:t>BlackRock Fund Advisors</w:t>
      </w:r>
    </w:p>
    <w:p>
      <w:pPr>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spacing w:after="0"/>
        <w:rPr>
          <w:sz w:val="20"/>
          <w:szCs w:val="20"/>
          <w:color w:val="auto"/>
        </w:rPr>
      </w:pPr>
      <w:r>
        <w:rPr>
          <w:rFonts w:ascii="Courier New" w:cs="Courier New" w:eastAsia="Courier New" w:hAnsi="Courier New"/>
          <w:sz w:val="18"/>
          <w:szCs w:val="18"/>
          <w:color w:val="auto"/>
        </w:rPr>
        <w:t>BlackRock Asset Management Australia Limited</w:t>
      </w:r>
    </w:p>
    <w:p>
      <w:pPr>
        <w:spacing w:after="0" w:line="237" w:lineRule="auto"/>
        <w:rPr>
          <w:sz w:val="20"/>
          <w:szCs w:val="20"/>
          <w:color w:val="auto"/>
        </w:rPr>
      </w:pPr>
      <w:r>
        <w:rPr>
          <w:rFonts w:ascii="Courier New" w:cs="Courier New" w:eastAsia="Courier New" w:hAnsi="Courier New"/>
          <w:sz w:val="18"/>
          <w:szCs w:val="18"/>
          <w:color w:val="auto"/>
        </w:rPr>
        <w:t>BlackRock Advisors, LLC</w:t>
      </w:r>
    </w:p>
    <w:p>
      <w:pPr>
        <w:spacing w:after="0"/>
        <w:rPr>
          <w:sz w:val="20"/>
          <w:szCs w:val="20"/>
          <w:color w:val="auto"/>
        </w:rPr>
      </w:pPr>
      <w:r>
        <w:rPr>
          <w:rFonts w:ascii="Courier New" w:cs="Courier New" w:eastAsia="Courier New" w:hAnsi="Courier New"/>
          <w:sz w:val="18"/>
          <w:szCs w:val="18"/>
          <w:color w:val="auto"/>
        </w:rPr>
        <w:t>BlackRock Capital Management, Inc.</w:t>
      </w:r>
    </w:p>
    <w:p>
      <w:pPr>
        <w:spacing w:after="0" w:line="237" w:lineRule="auto"/>
        <w:rPr>
          <w:sz w:val="20"/>
          <w:szCs w:val="20"/>
          <w:color w:val="auto"/>
        </w:rPr>
      </w:pPr>
      <w:r>
        <w:rPr>
          <w:rFonts w:ascii="Courier New" w:cs="Courier New" w:eastAsia="Courier New" w:hAnsi="Courier New"/>
          <w:sz w:val="18"/>
          <w:szCs w:val="18"/>
          <w:color w:val="auto"/>
        </w:rPr>
        <w:t>BlackRock Financial Management, Inc.</w:t>
      </w:r>
    </w:p>
    <w:p>
      <w:pPr>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37" w:lineRule="auto"/>
        <w:rPr>
          <w:sz w:val="20"/>
          <w:szCs w:val="20"/>
          <w:color w:val="auto"/>
        </w:rPr>
      </w:pPr>
      <w:r>
        <w:rPr>
          <w:rFonts w:ascii="Courier New" w:cs="Courier New" w:eastAsia="Courier New" w:hAnsi="Courier New"/>
          <w:sz w:val="18"/>
          <w:szCs w:val="18"/>
          <w:color w:val="auto"/>
        </w:rPr>
        <w:t>BlackRock Investment Management (Australia) Limited</w:t>
      </w:r>
    </w:p>
    <w:p>
      <w:pPr>
        <w:spacing w:after="0" w:line="238" w:lineRule="auto"/>
        <w:rPr>
          <w:sz w:val="20"/>
          <w:szCs w:val="20"/>
          <w:color w:val="auto"/>
        </w:rPr>
      </w:pPr>
      <w:r>
        <w:rPr>
          <w:rFonts w:ascii="Courier New" w:cs="Courier New" w:eastAsia="Courier New" w:hAnsi="Courier New"/>
          <w:sz w:val="18"/>
          <w:szCs w:val="18"/>
          <w:color w:val="auto"/>
        </w:rPr>
        <w:t>BlackRock Investment Management (Dublin) Ltd</w:t>
      </w:r>
    </w:p>
    <w:p>
      <w:pPr>
        <w:spacing w:after="0"/>
        <w:rPr>
          <w:sz w:val="20"/>
          <w:szCs w:val="20"/>
          <w:color w:val="auto"/>
        </w:rPr>
      </w:pPr>
      <w:r>
        <w:rPr>
          <w:rFonts w:ascii="Courier New" w:cs="Courier New" w:eastAsia="Courier New" w:hAnsi="Courier New"/>
          <w:sz w:val="18"/>
          <w:szCs w:val="18"/>
          <w:color w:val="auto"/>
        </w:rPr>
        <w:t>BlackRock (Luxembourg) S.A.</w:t>
      </w:r>
    </w:p>
    <w:p>
      <w:pPr>
        <w:spacing w:after="0" w:line="237" w:lineRule="auto"/>
        <w:rPr>
          <w:sz w:val="20"/>
          <w:szCs w:val="20"/>
          <w:color w:val="auto"/>
        </w:rPr>
      </w:pPr>
      <w:r>
        <w:rPr>
          <w:rFonts w:ascii="Courier New" w:cs="Courier New" w:eastAsia="Courier New" w:hAnsi="Courier New"/>
          <w:sz w:val="18"/>
          <w:szCs w:val="18"/>
          <w:color w:val="auto"/>
        </w:rPr>
        <w:t>BlackRock Fund Managers Ltd</w:t>
      </w:r>
    </w:p>
    <w:p>
      <w:pPr>
        <w:spacing w:after="0"/>
        <w:rPr>
          <w:sz w:val="20"/>
          <w:szCs w:val="20"/>
          <w:color w:val="auto"/>
        </w:rPr>
      </w:pPr>
      <w:r>
        <w:rPr>
          <w:rFonts w:ascii="Courier New" w:cs="Courier New" w:eastAsia="Courier New" w:hAnsi="Courier New"/>
          <w:sz w:val="18"/>
          <w:szCs w:val="18"/>
          <w:color w:val="auto"/>
        </w:rPr>
        <w:t>BlackRock International Ltd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UK Ltd</w:t>
      </w:r>
    </w:p>
    <w:p>
      <w:pPr>
        <w:spacing w:after="0"/>
        <w:rPr>
          <w:sz w:val="20"/>
          <w:szCs w:val="20"/>
          <w:color w:val="auto"/>
        </w:rPr>
      </w:pPr>
      <w:r>
        <w:rPr>
          <w:rFonts w:ascii="Courier New" w:cs="Courier New" w:eastAsia="Courier New" w:hAnsi="Courier New"/>
          <w:sz w:val="18"/>
          <w:szCs w:val="18"/>
          <w:color w:val="auto"/>
        </w:rPr>
        <w:t>State Street Research &amp; Management Co.</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Robert Connolly, Howard Surloff, Edward Baer, Bartholomew Battista, Daniel Waltcher, Karen Clark, John Stelley Denis Molleur, Daniel Ronnen, Brian Kindelan, Nicholas Hall, Con Tzatzakis ,</w:t>
      </w:r>
    </w:p>
    <w:p>
      <w:pPr>
        <w:spacing w:after="0" w:line="234" w:lineRule="auto"/>
        <w:rPr>
          <w:sz w:val="20"/>
          <w:szCs w:val="20"/>
          <w:color w:val="auto"/>
        </w:rPr>
      </w:pPr>
      <w:r>
        <w:rPr>
          <w:rFonts w:ascii="Courier New" w:cs="Courier New" w:eastAsia="Courier New" w:hAnsi="Courier New"/>
          <w:sz w:val="18"/>
          <w:szCs w:val="18"/>
          <w:color w:val="auto"/>
        </w:rPr>
        <w:t>John Belvin, Rick F. Froio and Matthew Fitzgerald acting severally, as</w:t>
      </w:r>
    </w:p>
    <w:p>
      <w:pPr>
        <w:spacing w:after="0" w:line="5"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its true and lawful attorneys-in-fact, for the purpose of, from time to time, executing in its name and on its behalf, whether the Company is acting individually or as representative of others, any and all documents, certificates, instruments, statements, other filings and amendments to</w:t>
      </w:r>
    </w:p>
    <w:p>
      <w:pPr>
        <w:spacing w:after="0" w:line="5" w:lineRule="exact"/>
        <w:rPr>
          <w:sz w:val="20"/>
          <w:szCs w:val="20"/>
          <w:color w:val="auto"/>
        </w:rPr>
      </w:pPr>
    </w:p>
    <w:p>
      <w:pPr>
        <w:ind w:right="3039"/>
        <w:spacing w:after="0" w:line="238" w:lineRule="auto"/>
        <w:rPr>
          <w:sz w:val="20"/>
          <w:szCs w:val="20"/>
          <w:color w:val="auto"/>
        </w:rPr>
      </w:pPr>
      <w:r>
        <w:rPr>
          <w:rFonts w:ascii="Courier New" w:cs="Courier New" w:eastAsia="Courier New" w:hAnsi="Courier New"/>
          <w:sz w:val="18"/>
          <w:szCs w:val="18"/>
          <w:color w:val="auto"/>
        </w:rPr>
        <w:t>the foregoing (collectively, "documents") determined by such person to be necessary or appropriate to comply with ownership or control-person reporting requirements imposed by any United States or non-United States governmental or regulatory authority, including without limitation Forms 3, 4, 5, 13D, 13F and 13G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5" w:lineRule="exact"/>
        <w:rPr>
          <w:sz w:val="20"/>
          <w:szCs w:val="20"/>
          <w:color w:val="auto"/>
        </w:rPr>
      </w:pPr>
    </w:p>
    <w:p>
      <w:pPr>
        <w:jc w:val="both"/>
        <w:ind w:right="3259"/>
        <w:spacing w:after="0" w:line="279"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ectPr>
          <w:pgSz w:w="11900" w:h="16838" w:orient="portrait"/>
          <w:cols w:equalWidth="0" w:num="1">
            <w:col w:w="10219"/>
          </w:cols>
          <w:pgMar w:left="240" w:top="344" w:right="1440" w:bottom="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This power of attorney shall expressly revoke the power of attorney</w:t>
      </w:r>
    </w:p>
    <w:p>
      <w:pPr>
        <w:spacing w:after="0" w:line="4"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dated January 11, 2008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9" w:lineRule="exact"/>
        <w:rPr>
          <w:sz w:val="20"/>
          <w:szCs w:val="20"/>
          <w:color w:val="auto"/>
        </w:rPr>
      </w:pPr>
    </w:p>
    <w:p>
      <w:pPr>
        <w:ind w:right="36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14th day of December, 2009.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Robert W. Doll, Jr.</w:t>
      </w:r>
    </w:p>
    <w:p>
      <w:pPr>
        <w:spacing w:after="0" w:line="238" w:lineRule="auto"/>
        <w:rPr>
          <w:sz w:val="20"/>
          <w:szCs w:val="20"/>
          <w:color w:val="auto"/>
        </w:rPr>
      </w:pPr>
      <w:r>
        <w:rPr>
          <w:rFonts w:ascii="Courier New" w:cs="Courier New" w:eastAsia="Courier New" w:hAnsi="Courier New"/>
          <w:sz w:val="18"/>
          <w:szCs w:val="18"/>
          <w:color w:val="auto"/>
        </w:rPr>
        <w:t>Name: Robert W. Doll, Jr.</w:t>
      </w:r>
    </w:p>
    <w:p>
      <w:pPr>
        <w:spacing w:after="0"/>
        <w:rPr>
          <w:sz w:val="20"/>
          <w:szCs w:val="20"/>
          <w:color w:val="auto"/>
        </w:rPr>
      </w:pPr>
      <w:r>
        <w:rPr>
          <w:rFonts w:ascii="Courier New" w:cs="Courier New" w:eastAsia="Courier New" w:hAnsi="Courier New"/>
          <w:sz w:val="18"/>
          <w:szCs w:val="18"/>
          <w:color w:val="auto"/>
        </w:rPr>
        <w:t>Title: Vice Chairman</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1]"/>
      <w:numFmt w:val="upperLetter"/>
      <w:start w:val="24"/>
    </w:lvl>
  </w:abstractNum>
  <w:abstractNum w:abstractNumId="5">
    <w:nsid w:val="12200854"/>
    <w:multiLevelType w:val="hybridMultilevel"/>
    <w:lvl w:ilvl="0">
      <w:lvlJc w:val="left"/>
      <w:lvlText w:val="(%1)"/>
      <w:numFmt w:val="decimal"/>
      <w:start w:val="2"/>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2019-12-10T04:34:13Z</dcterms:created>
  <dcterms:modified xsi:type="dcterms:W3CDTF">2019-12-10T04:34:13Z</dcterms:modified>
</cp:coreProperties>
</file>