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6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07"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On March 3, 2021, Micron Technology, Inc. issued a press release updating its guidance for the second fiscal quarter ending March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incorporated herein by reference.</w:t>
      </w:r>
    </w:p>
    <w:p>
      <w:pPr>
        <w:spacing w:after="0" w:line="25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08"/>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9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83"/>
        </w:trPr>
        <w:tc>
          <w:tcPr>
            <w:tcW w:w="1340" w:type="dxa"/>
            <w:vAlign w:val="bottom"/>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9640" w:type="dxa"/>
            <w:vAlign w:val="bottom"/>
            <w:gridSpan w:val="4"/>
          </w:tcPr>
          <w:p>
            <w:pPr>
              <w:ind w:left="20"/>
              <w:spacing w:after="0" w:line="182" w:lineRule="exact"/>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w:t>
              </w:r>
              <w:r>
                <w:rPr>
                  <w:rFonts w:ascii="Arial" w:cs="Arial" w:eastAsia="Arial" w:hAnsi="Arial"/>
                  <w:sz w:val="18"/>
                  <w:szCs w:val="18"/>
                  <w:color w:val="0000FF"/>
                </w:rPr>
                <w:t xml:space="preserve"> March 3, </w:t>
              </w:r>
            </w:hyperlink>
            <w:r>
              <w:rPr>
                <w:rFonts w:ascii="Arial" w:cs="Arial" w:eastAsia="Arial" w:hAnsi="Arial"/>
                <w:sz w:val="18"/>
                <w:szCs w:val="18"/>
                <w:u w:val="single" w:color="auto"/>
                <w:color w:val="0000FF"/>
              </w:rPr>
              <w:t>2021</w:t>
            </w: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r>
      <w:tr>
        <w:trPr>
          <w:trHeight w:val="250"/>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964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35"/>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6960" w:type="dxa"/>
            <w:vAlign w:val="bottom"/>
            <w:gridSpan w:val="2"/>
          </w:tcPr>
          <w:p>
            <w:pPr>
              <w:ind w:left="1800"/>
              <w:spacing w:after="0"/>
              <w:rPr>
                <w:sz w:val="20"/>
                <w:szCs w:val="20"/>
                <w:color w:val="auto"/>
              </w:rPr>
            </w:pPr>
            <w:r>
              <w:rPr>
                <w:rFonts w:ascii="Arial" w:cs="Arial" w:eastAsia="Arial" w:hAnsi="Arial"/>
                <w:sz w:val="18"/>
                <w:szCs w:val="18"/>
                <w:b w:val="1"/>
                <w:bCs w:val="1"/>
                <w:color w:val="auto"/>
              </w:rPr>
              <w:t>MICRON TECHNOLOGY, INC.</w:t>
            </w:r>
          </w:p>
        </w:tc>
      </w:tr>
      <w:tr>
        <w:trPr>
          <w:trHeight w:val="742"/>
        </w:trPr>
        <w:tc>
          <w:tcPr>
            <w:tcW w:w="3680" w:type="dxa"/>
            <w:vAlign w:val="bottom"/>
          </w:tcPr>
          <w:p>
            <w:pPr>
              <w:spacing w:after="0"/>
              <w:rPr>
                <w:sz w:val="20"/>
                <w:szCs w:val="20"/>
                <w:color w:val="auto"/>
              </w:rPr>
            </w:pPr>
            <w:r>
              <w:rPr>
                <w:rFonts w:ascii="Arial" w:cs="Arial" w:eastAsia="Arial" w:hAnsi="Arial"/>
                <w:sz w:val="18"/>
                <w:szCs w:val="18"/>
                <w:color w:val="auto"/>
              </w:rPr>
              <w:t>Date:   March 3, 2021</w:t>
            </w:r>
          </w:p>
        </w:tc>
        <w:tc>
          <w:tcPr>
            <w:tcW w:w="2700" w:type="dxa"/>
            <w:vAlign w:val="bottom"/>
          </w:tcPr>
          <w:p>
            <w:pPr>
              <w:ind w:left="18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680" w:type="dxa"/>
            <w:vAlign w:val="bottom"/>
          </w:tcPr>
          <w:p>
            <w:pPr>
              <w:spacing w:after="0"/>
              <w:rPr>
                <w:sz w:val="19"/>
                <w:szCs w:val="19"/>
                <w:color w:val="auto"/>
              </w:rPr>
            </w:pPr>
          </w:p>
        </w:tc>
        <w:tc>
          <w:tcPr>
            <w:tcW w:w="2700" w:type="dxa"/>
            <w:vAlign w:val="bottom"/>
          </w:tcPr>
          <w:p>
            <w:pPr>
              <w:ind w:left="180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680" w:type="dxa"/>
            <w:vAlign w:val="bottom"/>
          </w:tcPr>
          <w:p>
            <w:pPr>
              <w:spacing w:after="0"/>
              <w:rPr>
                <w:sz w:val="19"/>
                <w:szCs w:val="19"/>
                <w:color w:val="auto"/>
              </w:rPr>
            </w:pPr>
          </w:p>
        </w:tc>
        <w:tc>
          <w:tcPr>
            <w:tcW w:w="2700" w:type="dxa"/>
            <w:vAlign w:val="bottom"/>
          </w:tcPr>
          <w:p>
            <w:pPr>
              <w:ind w:left="180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Updates Second Quarter Fiscal 2021 Guidance</w:t>
      </w:r>
    </w:p>
    <w:p>
      <w:pPr>
        <w:spacing w:after="0" w:line="243"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b w:val="1"/>
          <w:bCs w:val="1"/>
          <w:color w:val="auto"/>
        </w:rPr>
        <w:t xml:space="preserve">BOISE, Idaho, March 3, 2021 </w:t>
      </w:r>
      <w:r>
        <w:rPr>
          <w:rFonts w:ascii="Arial" w:cs="Arial" w:eastAsia="Arial" w:hAnsi="Arial"/>
          <w:sz w:val="17"/>
          <w:szCs w:val="17"/>
          <w:color w:val="auto"/>
        </w:rPr>
        <w:t>– Micron Technology, Inc. (Nasdaq: MU) (the “Company”), today announced that it is increasing its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and EPS guidance for the second quarter of fiscal 2021, which ends March 4, 2021, as set forth in the tables below.</w:t>
      </w:r>
    </w:p>
    <w:p>
      <w:pPr>
        <w:spacing w:after="0" w:line="18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Micron Senior Vice President and Chief Financial Officer David Zinsner will share further updates in a fireside chat at the Morgan Stanley Technology, Media &amp; Telecom Virtual Conference scheduled to take place at 8:45 a.m. Pacific time on March 3, 2021. The live webcast and subsequent replay of the event can be accessed from Micron’s Investor Relations website at investors.micron.com.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Previous Guidance</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00" w:type="dxa"/>
            <w:vAlign w:val="bottom"/>
            <w:gridSpan w:val="5"/>
          </w:tcPr>
          <w:p>
            <w:pPr>
              <w:jc w:val="right"/>
              <w:ind w:right="1590"/>
              <w:spacing w:after="0"/>
              <w:rPr>
                <w:sz w:val="20"/>
                <w:szCs w:val="20"/>
                <w:color w:val="auto"/>
              </w:rPr>
            </w:pPr>
            <w:r>
              <w:rPr>
                <w:rFonts w:ascii="Arial" w:cs="Arial" w:eastAsia="Arial" w:hAnsi="Arial"/>
                <w:sz w:val="18"/>
                <w:szCs w:val="18"/>
                <w:b w:val="1"/>
                <w:bCs w:val="1"/>
                <w:color w:val="auto"/>
              </w:rPr>
              <w:t>Updated Guidance</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500" w:type="dxa"/>
            <w:vAlign w:val="bottom"/>
            <w:tcBorders>
              <w:top w:val="single" w:sz="8" w:color="0090DA"/>
            </w:tcBorders>
            <w:gridSpan w:val="2"/>
          </w:tcPr>
          <w:p>
            <w:pPr>
              <w:jc w:val="center"/>
              <w:ind w:right="100"/>
              <w:spacing w:after="0"/>
              <w:rPr>
                <w:sz w:val="20"/>
                <w:szCs w:val="20"/>
                <w:color w:val="auto"/>
              </w:rPr>
            </w:pPr>
            <w:r>
              <w:rPr>
                <w:rFonts w:ascii="Arial" w:cs="Arial" w:eastAsia="Arial" w:hAnsi="Arial"/>
                <w:sz w:val="18"/>
                <w:szCs w:val="18"/>
                <w:b w:val="1"/>
                <w:bCs w:val="1"/>
                <w:color w:val="auto"/>
                <w:w w:val="99"/>
              </w:rPr>
              <w:t>GAAP Outlook</w:t>
            </w:r>
          </w:p>
        </w:tc>
        <w:tc>
          <w:tcPr>
            <w:tcW w:w="1460" w:type="dxa"/>
            <w:vAlign w:val="bottom"/>
            <w:tcBorders>
              <w:top w:val="single" w:sz="8" w:color="0090DA"/>
            </w:tcBorders>
            <w:gridSpan w:val="2"/>
          </w:tcPr>
          <w:p>
            <w:pPr>
              <w:ind w:left="140"/>
              <w:spacing w:after="0"/>
              <w:rPr>
                <w:sz w:val="20"/>
                <w:szCs w:val="20"/>
                <w:color w:val="auto"/>
              </w:rPr>
            </w:pPr>
            <w:r>
              <w:rPr>
                <w:rFonts w:ascii="Arial" w:cs="Arial" w:eastAsia="Arial" w:hAnsi="Arial"/>
                <w:sz w:val="18"/>
                <w:szCs w:val="18"/>
                <w:b w:val="1"/>
                <w:bCs w:val="1"/>
                <w:color w:val="auto"/>
              </w:rPr>
              <w:t>Adjustments</w:t>
            </w:r>
          </w:p>
        </w:tc>
        <w:tc>
          <w:tcPr>
            <w:tcW w:w="1740" w:type="dxa"/>
            <w:vAlign w:val="bottom"/>
            <w:tcBorders>
              <w:top w:val="single" w:sz="8" w:color="0090DA"/>
            </w:tcBorders>
          </w:tcPr>
          <w:p>
            <w:pPr>
              <w:jc w:val="right"/>
              <w:spacing w:after="0"/>
              <w:rPr>
                <w:sz w:val="20"/>
                <w:szCs w:val="20"/>
                <w:color w:val="auto"/>
              </w:rPr>
            </w:pPr>
            <w:r>
              <w:rPr>
                <w:rFonts w:ascii="Arial" w:cs="Arial" w:eastAsia="Arial" w:hAnsi="Arial"/>
                <w:sz w:val="18"/>
                <w:szCs w:val="18"/>
                <w:b w:val="1"/>
                <w:bCs w:val="1"/>
                <w:color w:val="auto"/>
              </w:rPr>
              <w:t>Non-GAAP Outlook</w:t>
            </w:r>
          </w:p>
        </w:tc>
        <w:tc>
          <w:tcPr>
            <w:tcW w:w="100" w:type="dxa"/>
            <w:vAlign w:val="bottom"/>
          </w:tcPr>
          <w:p>
            <w:pPr>
              <w:spacing w:after="0"/>
              <w:rPr>
                <w:sz w:val="19"/>
                <w:szCs w:val="19"/>
                <w:color w:val="auto"/>
              </w:rPr>
            </w:pPr>
          </w:p>
        </w:tc>
        <w:tc>
          <w:tcPr>
            <w:tcW w:w="1660" w:type="dxa"/>
            <w:vAlign w:val="bottom"/>
            <w:tcBorders>
              <w:top w:val="single" w:sz="8" w:color="0090DA"/>
            </w:tcBorders>
            <w:gridSpan w:val="2"/>
          </w:tcPr>
          <w:p>
            <w:pPr>
              <w:jc w:val="right"/>
              <w:ind w:right="130"/>
              <w:spacing w:after="0"/>
              <w:rPr>
                <w:sz w:val="20"/>
                <w:szCs w:val="20"/>
                <w:color w:val="auto"/>
              </w:rPr>
            </w:pPr>
            <w:r>
              <w:rPr>
                <w:rFonts w:ascii="Arial" w:cs="Arial" w:eastAsia="Arial" w:hAnsi="Arial"/>
                <w:sz w:val="18"/>
                <w:szCs w:val="18"/>
                <w:b w:val="1"/>
                <w:bCs w:val="1"/>
                <w:color w:val="auto"/>
              </w:rPr>
              <w:t>GAAP Outlook</w:t>
            </w:r>
          </w:p>
        </w:tc>
        <w:tc>
          <w:tcPr>
            <w:tcW w:w="80" w:type="dxa"/>
            <w:vAlign w:val="bottom"/>
            <w:tcBorders>
              <w:top w:val="single" w:sz="8" w:color="0090DA"/>
            </w:tcBorders>
          </w:tcPr>
          <w:p>
            <w:pPr>
              <w:spacing w:after="0"/>
              <w:rPr>
                <w:sz w:val="19"/>
                <w:szCs w:val="19"/>
                <w:color w:val="auto"/>
              </w:rPr>
            </w:pPr>
          </w:p>
        </w:tc>
        <w:tc>
          <w:tcPr>
            <w:tcW w:w="1260" w:type="dxa"/>
            <w:vAlign w:val="bottom"/>
            <w:tcBorders>
              <w:top w:val="single" w:sz="8" w:color="0090DA"/>
            </w:tcBorders>
          </w:tcPr>
          <w:p>
            <w:pPr>
              <w:jc w:val="right"/>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Borders>
              <w:top w:val="single" w:sz="8" w:color="0090DA"/>
            </w:tcBorders>
          </w:tcPr>
          <w:p>
            <w:pPr>
              <w:spacing w:after="0"/>
              <w:rPr>
                <w:sz w:val="19"/>
                <w:szCs w:val="19"/>
                <w:color w:val="auto"/>
              </w:rPr>
            </w:pPr>
          </w:p>
        </w:tc>
        <w:tc>
          <w:tcPr>
            <w:tcW w:w="80" w:type="dxa"/>
            <w:vAlign w:val="bottom"/>
            <w:tcBorders>
              <w:top w:val="single" w:sz="8" w:color="0090DA"/>
            </w:tcBorders>
          </w:tcPr>
          <w:p>
            <w:pPr>
              <w:spacing w:after="0"/>
              <w:rPr>
                <w:sz w:val="19"/>
                <w:szCs w:val="19"/>
                <w:color w:val="auto"/>
              </w:rPr>
            </w:pPr>
          </w:p>
        </w:tc>
        <w:tc>
          <w:tcPr>
            <w:tcW w:w="1760" w:type="dxa"/>
            <w:vAlign w:val="bottom"/>
            <w:tcBorders>
              <w:top w:val="single" w:sz="8" w:color="0090DA"/>
            </w:tcBorders>
          </w:tcPr>
          <w:p>
            <w:pPr>
              <w:jc w:val="right"/>
              <w:spacing w:after="0"/>
              <w:rPr>
                <w:sz w:val="20"/>
                <w:szCs w:val="20"/>
                <w:color w:val="auto"/>
              </w:rPr>
            </w:pPr>
            <w:r>
              <w:rPr>
                <w:rFonts w:ascii="Arial" w:cs="Arial" w:eastAsia="Arial" w:hAnsi="Arial"/>
                <w:sz w:val="18"/>
                <w:szCs w:val="18"/>
                <w:b w:val="1"/>
                <w:bCs w:val="1"/>
                <w:color w:val="auto"/>
              </w:rPr>
              <w:t>Non-GAAP Outlook</w:t>
            </w:r>
          </w:p>
        </w:tc>
        <w:tc>
          <w:tcPr>
            <w:tcW w:w="0" w:type="dxa"/>
            <w:vAlign w:val="bottom"/>
          </w:tcPr>
          <w:p>
            <w:pPr>
              <w:spacing w:after="0"/>
              <w:rPr>
                <w:sz w:val="1"/>
                <w:szCs w:val="1"/>
                <w:color w:val="auto"/>
              </w:rPr>
            </w:pPr>
          </w:p>
        </w:tc>
      </w:tr>
      <w:tr>
        <w:trPr>
          <w:trHeight w:val="34"/>
        </w:trPr>
        <w:tc>
          <w:tcPr>
            <w:tcW w:w="1480" w:type="dxa"/>
            <w:vAlign w:val="bottom"/>
            <w:tcBorders>
              <w:top w:val="single" w:sz="8" w:color="0090DA"/>
            </w:tcBorders>
          </w:tcPr>
          <w:p>
            <w:pPr>
              <w:spacing w:after="0"/>
              <w:rPr>
                <w:sz w:val="2"/>
                <w:szCs w:val="2"/>
                <w:color w:val="auto"/>
              </w:rPr>
            </w:pPr>
          </w:p>
        </w:tc>
        <w:tc>
          <w:tcPr>
            <w:tcW w:w="14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640" w:type="dxa"/>
            <w:vAlign w:val="bottom"/>
            <w:tcBorders>
              <w:top w:val="single" w:sz="8" w:color="0090DA"/>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500" w:type="dxa"/>
            <w:vAlign w:val="bottom"/>
            <w:gridSpan w:val="2"/>
            <w:shd w:val="clear" w:color="auto" w:fill="D1D2D4"/>
          </w:tcPr>
          <w:p>
            <w:pPr>
              <w:jc w:val="center"/>
              <w:ind w:right="100"/>
              <w:spacing w:after="0"/>
              <w:rPr>
                <w:sz w:val="20"/>
                <w:szCs w:val="20"/>
                <w:color w:val="auto"/>
              </w:rPr>
            </w:pPr>
            <w:r>
              <w:rPr>
                <w:rFonts w:ascii="Arial" w:cs="Arial" w:eastAsia="Arial" w:hAnsi="Arial"/>
                <w:sz w:val="18"/>
                <w:szCs w:val="18"/>
                <w:color w:val="auto"/>
                <w:w w:val="99"/>
              </w:rPr>
              <w:t>$5.6 bn - $6.0 bn</w:t>
            </w:r>
          </w:p>
        </w:tc>
        <w:tc>
          <w:tcPr>
            <w:tcW w:w="146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$5.6 bn - $6.0 bn</w:t>
            </w:r>
          </w:p>
        </w:tc>
        <w:tc>
          <w:tcPr>
            <w:tcW w:w="16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$6.20 bn - $6.25 bn</w:t>
            </w:r>
          </w:p>
        </w:tc>
        <w:tc>
          <w:tcPr>
            <w:tcW w:w="80" w:type="dxa"/>
            <w:vAlign w:val="bottom"/>
            <w:shd w:val="clear" w:color="auto" w:fill="D1D2D4"/>
          </w:tcPr>
          <w:p>
            <w:pPr>
              <w:spacing w:after="0"/>
              <w:rPr>
                <w:sz w:val="19"/>
                <w:szCs w:val="19"/>
                <w:color w:val="auto"/>
              </w:rPr>
            </w:pPr>
          </w:p>
        </w:tc>
        <w:tc>
          <w:tcPr>
            <w:tcW w:w="1260" w:type="dxa"/>
            <w:vAlign w:val="bottom"/>
            <w:shd w:val="clear" w:color="auto" w:fill="D1D2D4"/>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$6.20 bn - $6.25 bn</w:t>
            </w:r>
          </w:p>
        </w:tc>
        <w:tc>
          <w:tcPr>
            <w:tcW w:w="0" w:type="dxa"/>
            <w:vAlign w:val="bottom"/>
          </w:tcPr>
          <w:p>
            <w:pPr>
              <w:spacing w:after="0"/>
              <w:rPr>
                <w:sz w:val="1"/>
                <w:szCs w:val="1"/>
                <w:color w:val="auto"/>
              </w:rPr>
            </w:pPr>
          </w:p>
        </w:tc>
      </w:tr>
      <w:tr>
        <w:trPr>
          <w:trHeight w:val="229"/>
        </w:trPr>
        <w:tc>
          <w:tcPr>
            <w:tcW w:w="14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400" w:type="dxa"/>
            <w:vAlign w:val="bottom"/>
          </w:tcPr>
          <w:p>
            <w:pPr>
              <w:jc w:val="right"/>
              <w:spacing w:after="0"/>
              <w:rPr>
                <w:sz w:val="20"/>
                <w:szCs w:val="20"/>
                <w:color w:val="auto"/>
              </w:rPr>
            </w:pPr>
            <w:r>
              <w:rPr>
                <w:rFonts w:ascii="Arial" w:cs="Arial" w:eastAsia="Arial" w:hAnsi="Arial"/>
                <w:sz w:val="18"/>
                <w:szCs w:val="18"/>
                <w:color w:val="auto"/>
              </w:rPr>
              <w:t>24.0% - 26.0%</w:t>
            </w:r>
          </w:p>
        </w:tc>
        <w:tc>
          <w:tcPr>
            <w:tcW w:w="10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6% A</w:t>
            </w:r>
          </w:p>
        </w:tc>
        <w:tc>
          <w:tcPr>
            <w:tcW w:w="1740" w:type="dxa"/>
            <w:vAlign w:val="bottom"/>
          </w:tcPr>
          <w:p>
            <w:pPr>
              <w:jc w:val="right"/>
              <w:spacing w:after="0"/>
              <w:rPr>
                <w:sz w:val="20"/>
                <w:szCs w:val="20"/>
                <w:color w:val="auto"/>
              </w:rPr>
            </w:pPr>
            <w:r>
              <w:rPr>
                <w:rFonts w:ascii="Arial" w:cs="Arial" w:eastAsia="Arial" w:hAnsi="Arial"/>
                <w:sz w:val="18"/>
                <w:szCs w:val="18"/>
                <w:color w:val="auto"/>
              </w:rPr>
              <w:t>30.0% - 32.0%</w:t>
            </w:r>
          </w:p>
        </w:tc>
        <w:tc>
          <w:tcPr>
            <w:tcW w:w="1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26.0% - 27.0%</w:t>
            </w:r>
          </w:p>
        </w:tc>
        <w:tc>
          <w:tcPr>
            <w:tcW w:w="8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6% A</w:t>
            </w: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32.0% - 33.0%</w:t>
            </w:r>
          </w:p>
        </w:tc>
        <w:tc>
          <w:tcPr>
            <w:tcW w:w="0" w:type="dxa"/>
            <w:vAlign w:val="bottom"/>
          </w:tcPr>
          <w:p>
            <w:pPr>
              <w:spacing w:after="0"/>
              <w:rPr>
                <w:sz w:val="1"/>
                <w:szCs w:val="1"/>
                <w:color w:val="auto"/>
              </w:rPr>
            </w:pPr>
          </w:p>
        </w:tc>
      </w:tr>
      <w:tr>
        <w:trPr>
          <w:trHeight w:val="178"/>
        </w:trPr>
        <w:tc>
          <w:tcPr>
            <w:tcW w:w="1480" w:type="dxa"/>
            <w:vAlign w:val="bottom"/>
            <w:shd w:val="clear" w:color="auto" w:fill="D1D2D4"/>
          </w:tcPr>
          <w:p>
            <w:pPr>
              <w:ind w:left="20"/>
              <w:spacing w:after="0" w:line="178" w:lineRule="exact"/>
              <w:rPr>
                <w:sz w:val="20"/>
                <w:szCs w:val="20"/>
                <w:color w:val="auto"/>
              </w:rPr>
            </w:pPr>
            <w:r>
              <w:rPr>
                <w:rFonts w:ascii="Arial" w:cs="Arial" w:eastAsia="Arial" w:hAnsi="Arial"/>
                <w:sz w:val="18"/>
                <w:szCs w:val="18"/>
                <w:color w:val="auto"/>
              </w:rPr>
              <w:t>Diluted earnings</w:t>
            </w:r>
          </w:p>
        </w:tc>
        <w:tc>
          <w:tcPr>
            <w:tcW w:w="140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36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74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64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126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17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480" w:type="dxa"/>
            <w:vAlign w:val="bottom"/>
            <w:shd w:val="clear" w:color="auto" w:fill="D1D2D4"/>
          </w:tcPr>
          <w:p>
            <w:pPr>
              <w:ind w:left="20"/>
              <w:spacing w:after="0" w:line="228" w:lineRule="exact"/>
              <w:rPr>
                <w:sz w:val="20"/>
                <w:szCs w:val="20"/>
                <w:color w:val="auto"/>
              </w:rPr>
            </w:pPr>
            <w:r>
              <w:rPr>
                <w:rFonts w:ascii="Arial" w:cs="Arial" w:eastAsia="Arial" w:hAnsi="Arial"/>
                <w:sz w:val="18"/>
                <w:szCs w:val="18"/>
                <w:color w:val="auto"/>
              </w:rPr>
              <w:t>per share</w:t>
            </w:r>
            <w:r>
              <w:rPr>
                <w:rFonts w:ascii="Arial" w:cs="Arial" w:eastAsia="Arial" w:hAnsi="Arial"/>
                <w:sz w:val="23"/>
                <w:szCs w:val="23"/>
                <w:color w:val="auto"/>
                <w:vertAlign w:val="superscript"/>
              </w:rPr>
              <w:t>(1)</w:t>
            </w: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$0.34 - $0.48</w:t>
            </w:r>
          </w:p>
        </w:tc>
        <w:tc>
          <w:tcPr>
            <w:tcW w:w="100" w:type="dxa"/>
            <w:vAlign w:val="bottom"/>
            <w:shd w:val="clear" w:color="auto" w:fill="D1D2D4"/>
          </w:tcPr>
          <w:p>
            <w:pPr>
              <w:spacing w:after="0"/>
              <w:rPr>
                <w:sz w:val="19"/>
                <w:szCs w:val="19"/>
                <w:color w:val="auto"/>
              </w:rPr>
            </w:pPr>
          </w:p>
        </w:tc>
        <w:tc>
          <w:tcPr>
            <w:tcW w:w="1460" w:type="dxa"/>
            <w:vAlign w:val="bottom"/>
            <w:gridSpan w:val="2"/>
            <w:shd w:val="clear" w:color="auto" w:fill="D1D2D4"/>
          </w:tcPr>
          <w:p>
            <w:pPr>
              <w:ind w:left="120"/>
              <w:spacing w:after="0"/>
              <w:rPr>
                <w:sz w:val="20"/>
                <w:szCs w:val="20"/>
                <w:color w:val="auto"/>
              </w:rPr>
            </w:pPr>
            <w:r>
              <w:rPr>
                <w:rFonts w:ascii="Arial" w:cs="Arial" w:eastAsia="Arial" w:hAnsi="Arial"/>
                <w:sz w:val="18"/>
                <w:szCs w:val="18"/>
                <w:color w:val="auto"/>
              </w:rPr>
              <w:t>$0.34 A,B,C,D</w:t>
            </w:r>
          </w:p>
        </w:tc>
        <w:tc>
          <w:tcPr>
            <w:tcW w:w="1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$0.68 - $0.82</w:t>
            </w:r>
          </w:p>
        </w:tc>
        <w:tc>
          <w:tcPr>
            <w:tcW w:w="100" w:type="dxa"/>
            <w:vAlign w:val="bottom"/>
            <w:shd w:val="clear" w:color="auto" w:fill="D1D2D4"/>
          </w:tcPr>
          <w:p>
            <w:pPr>
              <w:spacing w:after="0"/>
              <w:rPr>
                <w:sz w:val="19"/>
                <w:szCs w:val="19"/>
                <w:color w:val="auto"/>
              </w:rPr>
            </w:pPr>
          </w:p>
        </w:tc>
        <w:tc>
          <w:tcPr>
            <w:tcW w:w="16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$0.51 - $0.56</w:t>
            </w:r>
          </w:p>
        </w:tc>
        <w:tc>
          <w:tcPr>
            <w:tcW w:w="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$0.42 A,B,C,D</w:t>
            </w:r>
          </w:p>
        </w:tc>
        <w:tc>
          <w:tcPr>
            <w:tcW w:w="120" w:type="dxa"/>
            <w:vAlign w:val="bottom"/>
            <w:shd w:val="clear" w:color="auto" w:fill="D1D2D4"/>
          </w:tcPr>
          <w:p>
            <w:pPr>
              <w:spacing w:after="0"/>
              <w:rPr>
                <w:sz w:val="19"/>
                <w:szCs w:val="19"/>
                <w:color w:val="auto"/>
              </w:rPr>
            </w:pPr>
          </w:p>
        </w:tc>
        <w:tc>
          <w:tcPr>
            <w:tcW w:w="18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$0.93 - $0.98</w:t>
            </w:r>
          </w:p>
        </w:tc>
        <w:tc>
          <w:tcPr>
            <w:tcW w:w="0" w:type="dxa"/>
            <w:vAlign w:val="bottom"/>
          </w:tcPr>
          <w:p>
            <w:pPr>
              <w:spacing w:after="0"/>
              <w:rPr>
                <w:sz w:val="1"/>
                <w:szCs w:val="1"/>
                <w:color w:val="auto"/>
              </w:rPr>
            </w:pPr>
          </w:p>
        </w:tc>
      </w:tr>
      <w:tr>
        <w:trPr>
          <w:trHeight w:val="297"/>
        </w:trPr>
        <w:tc>
          <w:tcPr>
            <w:tcW w:w="29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8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rPr>
              <w:t>Previous Guidance</w:t>
            </w:r>
          </w:p>
        </w:tc>
        <w:tc>
          <w:tcPr>
            <w:tcW w:w="120" w:type="dxa"/>
            <w:vAlign w:val="bottom"/>
          </w:tcPr>
          <w:p>
            <w:pPr>
              <w:spacing w:after="0"/>
              <w:rPr>
                <w:sz w:val="24"/>
                <w:szCs w:val="24"/>
                <w:color w:val="auto"/>
              </w:rPr>
            </w:pPr>
          </w:p>
        </w:tc>
        <w:tc>
          <w:tcPr>
            <w:tcW w:w="184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Updated Guidance</w:t>
            </w:r>
          </w:p>
        </w:tc>
        <w:tc>
          <w:tcPr>
            <w:tcW w:w="0" w:type="dxa"/>
            <w:vAlign w:val="bottom"/>
          </w:tcPr>
          <w:p>
            <w:pPr>
              <w:spacing w:after="0"/>
              <w:rPr>
                <w:sz w:val="1"/>
                <w:szCs w:val="1"/>
                <w:color w:val="auto"/>
              </w:rPr>
            </w:pPr>
          </w:p>
        </w:tc>
      </w:tr>
      <w:tr>
        <w:trPr>
          <w:trHeight w:val="229"/>
        </w:trPr>
        <w:tc>
          <w:tcPr>
            <w:tcW w:w="14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40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7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020" w:type="dxa"/>
            <w:vAlign w:val="bottom"/>
            <w:tcBorders>
              <w:bottom w:val="single" w:sz="8" w:color="0090DA"/>
            </w:tcBorders>
          </w:tcPr>
          <w:p>
            <w:pPr>
              <w:spacing w:after="0"/>
              <w:rPr>
                <w:sz w:val="19"/>
                <w:szCs w:val="19"/>
                <w:color w:val="auto"/>
              </w:rPr>
            </w:pPr>
          </w:p>
        </w:tc>
        <w:tc>
          <w:tcPr>
            <w:tcW w:w="1980" w:type="dxa"/>
            <w:vAlign w:val="bottom"/>
            <w:tcBorders>
              <w:bottom w:val="single" w:sz="8" w:color="0090DA"/>
            </w:tcBorders>
            <w:gridSpan w:val="3"/>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840" w:type="dxa"/>
            <w:vAlign w:val="bottom"/>
            <w:tcBorders>
              <w:bottom w:val="single" w:sz="8" w:color="0090DA"/>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80" w:type="dxa"/>
            <w:vAlign w:val="bottom"/>
            <w:gridSpan w:val="7"/>
            <w:shd w:val="clear" w:color="auto" w:fill="D1D2D4"/>
          </w:tcPr>
          <w:p>
            <w:pPr>
              <w:ind w:left="20"/>
              <w:spacing w:after="0"/>
              <w:rPr>
                <w:sz w:val="20"/>
                <w:szCs w:val="20"/>
                <w:color w:val="auto"/>
              </w:rPr>
            </w:pPr>
            <w:r>
              <w:rPr>
                <w:rFonts w:ascii="Arial" w:cs="Arial" w:eastAsia="Arial" w:hAnsi="Arial"/>
                <w:sz w:val="18"/>
                <w:szCs w:val="18"/>
                <w:color w:val="auto"/>
              </w:rPr>
              <w:t>A  Inventory accounting policy change to FIFO – cost of goods sold</w:t>
            </w:r>
          </w:p>
        </w:tc>
        <w:tc>
          <w:tcPr>
            <w:tcW w:w="1660" w:type="dxa"/>
            <w:vAlign w:val="bottom"/>
            <w:gridSpan w:val="2"/>
            <w:shd w:val="clear" w:color="auto" w:fill="D1D2D4"/>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280" w:type="dxa"/>
            <w:vAlign w:val="bottom"/>
            <w:gridSpan w:val="7"/>
          </w:tcPr>
          <w:p>
            <w:pPr>
              <w:ind w:left="20"/>
              <w:spacing w:after="0"/>
              <w:rPr>
                <w:sz w:val="20"/>
                <w:szCs w:val="20"/>
                <w:color w:val="auto"/>
              </w:rPr>
            </w:pPr>
            <w:r>
              <w:rPr>
                <w:rFonts w:ascii="Arial" w:cs="Arial" w:eastAsia="Arial" w:hAnsi="Arial"/>
                <w:sz w:val="18"/>
                <w:szCs w:val="18"/>
                <w:color w:val="auto"/>
              </w:rPr>
              <w:t>A  Change in inventory cost absorption – cost of goods sold</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440" w:type="dxa"/>
            <w:vAlign w:val="bottom"/>
            <w:gridSpan w:val="5"/>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17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640" w:type="dxa"/>
            <w:vAlign w:val="bottom"/>
            <w:shd w:val="clear" w:color="auto" w:fill="D1D2D4"/>
          </w:tcPr>
          <w:p>
            <w:pPr>
              <w:spacing w:after="0"/>
              <w:rPr>
                <w:sz w:val="19"/>
                <w:szCs w:val="19"/>
                <w:color w:val="auto"/>
              </w:rPr>
            </w:pP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1D2D4"/>
          </w:tcPr>
          <w:p>
            <w:pPr>
              <w:spacing w:after="0"/>
              <w:rPr>
                <w:sz w:val="19"/>
                <w:szCs w:val="19"/>
                <w:color w:val="auto"/>
              </w:rPr>
            </w:pPr>
          </w:p>
        </w:tc>
        <w:tc>
          <w:tcPr>
            <w:tcW w:w="18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A  Other – cost of goods sold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280" w:type="dxa"/>
            <w:vAlign w:val="bottom"/>
            <w:gridSpan w:val="7"/>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020" w:type="dxa"/>
            <w:vAlign w:val="bottom"/>
            <w:shd w:val="clear" w:color="auto" w:fill="D1D2D4"/>
          </w:tcPr>
          <w:p>
            <w:pPr>
              <w:spacing w:after="0"/>
              <w:rPr>
                <w:sz w:val="19"/>
                <w:szCs w:val="19"/>
                <w:color w:val="auto"/>
              </w:rPr>
            </w:pPr>
          </w:p>
        </w:tc>
        <w:tc>
          <w:tcPr>
            <w:tcW w:w="640" w:type="dxa"/>
            <w:vAlign w:val="bottom"/>
            <w:shd w:val="clear" w:color="auto" w:fill="D1D2D4"/>
          </w:tcPr>
          <w:p>
            <w:pPr>
              <w:spacing w:after="0"/>
              <w:rPr>
                <w:sz w:val="19"/>
                <w:szCs w:val="19"/>
                <w:color w:val="auto"/>
              </w:rPr>
            </w:pP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1D2D4"/>
          </w:tcPr>
          <w:p>
            <w:pPr>
              <w:spacing w:after="0"/>
              <w:rPr>
                <w:sz w:val="19"/>
                <w:szCs w:val="19"/>
                <w:color w:val="auto"/>
              </w:rPr>
            </w:pPr>
          </w:p>
        </w:tc>
        <w:tc>
          <w:tcPr>
            <w:tcW w:w="18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280" w:type="dxa"/>
            <w:vAlign w:val="bottom"/>
            <w:gridSpan w:val="7"/>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280" w:type="dxa"/>
            <w:vAlign w:val="bottom"/>
            <w:gridSpan w:val="7"/>
            <w:shd w:val="clear" w:color="auto" w:fill="D1D2D4"/>
          </w:tcPr>
          <w:p>
            <w:pPr>
              <w:ind w:left="20"/>
              <w:spacing w:after="0"/>
              <w:rPr>
                <w:sz w:val="20"/>
                <w:szCs w:val="20"/>
                <w:color w:val="auto"/>
              </w:rPr>
            </w:pPr>
            <w:r>
              <w:rPr>
                <w:rFonts w:ascii="Arial" w:cs="Arial" w:eastAsia="Arial" w:hAnsi="Arial"/>
                <w:sz w:val="18"/>
                <w:szCs w:val="18"/>
                <w:color w:val="auto"/>
              </w:rPr>
              <w:t>B  Patent settlement – other operating (income) expense, net</w:t>
            </w:r>
          </w:p>
        </w:tc>
        <w:tc>
          <w:tcPr>
            <w:tcW w:w="1020" w:type="dxa"/>
            <w:vAlign w:val="bottom"/>
            <w:shd w:val="clear" w:color="auto" w:fill="D1D2D4"/>
          </w:tcPr>
          <w:p>
            <w:pPr>
              <w:spacing w:after="0"/>
              <w:rPr>
                <w:sz w:val="19"/>
                <w:szCs w:val="19"/>
                <w:color w:val="auto"/>
              </w:rPr>
            </w:pPr>
          </w:p>
        </w:tc>
        <w:tc>
          <w:tcPr>
            <w:tcW w:w="64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8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440" w:type="dxa"/>
            <w:vAlign w:val="bottom"/>
            <w:gridSpan w:val="5"/>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300" w:type="dxa"/>
            <w:vAlign w:val="bottom"/>
            <w:gridSpan w:val="8"/>
            <w:shd w:val="clear" w:color="auto" w:fill="D1D2D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640" w:type="dxa"/>
            <w:vAlign w:val="bottom"/>
            <w:tcBorders>
              <w:bottom w:val="single" w:sz="8" w:color="auto"/>
            </w:tcBorders>
            <w:shd w:val="clear" w:color="auto" w:fill="D1D2D4"/>
          </w:tcPr>
          <w:p>
            <w:pPr>
              <w:spacing w:after="0"/>
              <w:rPr>
                <w:sz w:val="19"/>
                <w:szCs w:val="19"/>
                <w:color w:val="auto"/>
              </w:rPr>
            </w:pPr>
          </w:p>
        </w:tc>
        <w:tc>
          <w:tcPr>
            <w:tcW w:w="13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shd w:val="clear" w:color="auto" w:fill="D1D2D4"/>
          </w:tcPr>
          <w:p>
            <w:pPr>
              <w:spacing w:after="0"/>
              <w:rPr>
                <w:sz w:val="19"/>
                <w:szCs w:val="19"/>
                <w:color w:val="auto"/>
              </w:rPr>
            </w:pPr>
          </w:p>
        </w:tc>
        <w:tc>
          <w:tcPr>
            <w:tcW w:w="18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60" w:hanging="332"/>
        <w:spacing w:after="0" w:line="220" w:lineRule="auto"/>
        <w:tabs>
          <w:tab w:leader="none" w:pos="334"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1.14 billion diluted shares and non-GAAP earnings per share based on approximately 1.15 billion diluted shares.</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uncertain or outside of our control</w:t>
      </w:r>
      <w:r>
        <w:rPr>
          <w:rFonts w:ascii="Arial" w:cs="Arial" w:eastAsia="Arial" w:hAnsi="Arial"/>
          <w:sz w:val="21"/>
          <w:szCs w:val="2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are an industry leader in innovative memory and storage solutions. Through our global brands – Micron® and Crucial®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the Nasdaq under the MU symbol. To learn more about Micron Technology, Inc., visit micron.com</w:t>
      </w:r>
      <w:r>
        <w:rPr>
          <w:rFonts w:ascii="Arial" w:cs="Arial" w:eastAsia="Arial" w:hAnsi="Arial"/>
          <w:sz w:val="18"/>
          <w:szCs w:val="18"/>
          <w:color w:val="3E3E3E"/>
        </w:rPr>
        <w:t>.</w:t>
      </w:r>
    </w:p>
    <w:p>
      <w:pPr>
        <w:spacing w:after="0" w:line="217" w:lineRule="exact"/>
        <w:rPr>
          <w:sz w:val="20"/>
          <w:szCs w:val="20"/>
          <w:color w:val="auto"/>
        </w:rPr>
      </w:pPr>
    </w:p>
    <w:p>
      <w:pPr>
        <w:ind w:right="580" w:firstLine="8"/>
        <w:spacing w:after="0" w:line="282"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Micron, the Micron logo, and all other Micron trademarks are trademarks of Micron Technology, Inc. All other trademarks are the property of their respective owners.</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contains forward-looking statements regarding the Company’s financial and operating results. These forward-looking statements are subject to a number of risks and uncertainties that could cause actual results to differ materially. Please refer to the documents the Company files with the Securities and Exchange Commission, specifically its most recent Form 10-K and Form 10-Q. These documents contain and identify important factors that could cause the Company’s actual results to differ materially from those contained in these forward-looking statements. These certain factors can be found at www.micron.com/certainfactors. Although the Company believes that the expectations reflected in the forward-looking statements are reasonable, the Company cannot guarantee future results, levels of activity, performance, or achievements. The Company is under no duty to update any of the forward-looking statements after the date of this press release to conform these statements to actual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sectPr>
      <w:pgSz w:w="11900" w:h="16838" w:orient="portrait"/>
      <w:cols w:equalWidth="0" w:num="1">
        <w:col w:w="11120"/>
      </w:cols>
      <w:pgMar w:left="320" w:top="8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2021-03-03T08:06:43Z</dcterms:created>
  <dcterms:modified xsi:type="dcterms:W3CDTF">2021-03-03T08:06:43Z</dcterms:modified>
</cp:coreProperties>
</file>