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7,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0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080" w:type="dxa"/>
            <w:vAlign w:val="bottom"/>
          </w:tcPr>
          <w:p>
            <w:pPr>
              <w:jc w:val="center"/>
              <w:ind w:right="50"/>
              <w:spacing w:after="0"/>
              <w:rPr>
                <w:sz w:val="20"/>
                <w:szCs w:val="20"/>
                <w:color w:val="auto"/>
              </w:rPr>
            </w:pPr>
            <w:r>
              <w:rPr>
                <w:rFonts w:ascii="Arial" w:cs="Arial" w:eastAsia="Arial" w:hAnsi="Arial"/>
                <w:sz w:val="18"/>
                <w:szCs w:val="18"/>
                <w:color w:val="auto"/>
                <w:w w:val="99"/>
              </w:rPr>
              <w:t>(Commission File Number)</w:t>
            </w:r>
          </w:p>
        </w:tc>
        <w:tc>
          <w:tcPr>
            <w:tcW w:w="3960" w:type="dxa"/>
            <w:vAlign w:val="bottom"/>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6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60"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00" w:type="dxa"/>
            <w:vAlign w:val="bottom"/>
            <w:gridSpan w:val="3"/>
          </w:tcPr>
          <w:p>
            <w:pPr>
              <w:jc w:val="center"/>
              <w:ind w:right="120"/>
              <w:spacing w:after="0"/>
              <w:rPr>
                <w:sz w:val="20"/>
                <w:szCs w:val="20"/>
                <w:color w:val="auto"/>
              </w:rPr>
            </w:pPr>
            <w:r>
              <w:rPr>
                <w:rFonts w:ascii="Arial" w:cs="Arial" w:eastAsia="Arial" w:hAnsi="Arial"/>
                <w:sz w:val="18"/>
                <w:szCs w:val="18"/>
                <w:color w:val="auto"/>
              </w:rPr>
              <w:t>Securities registered pursuant to Section 12(b) of the Act: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7"/>
        </w:trPr>
        <w:tc>
          <w:tcPr>
            <w:tcW w:w="40" w:type="dxa"/>
            <w:vAlign w:val="bottom"/>
          </w:tcPr>
          <w:p>
            <w:pPr>
              <w:spacing w:after="0"/>
              <w:rPr>
                <w:sz w:val="22"/>
                <w:szCs w:val="22"/>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0" w:type="dxa"/>
            <w:vAlign w:val="bottom"/>
          </w:tcPr>
          <w:p>
            <w:pPr>
              <w:spacing w:after="0"/>
              <w:rPr>
                <w:sz w:val="19"/>
                <w:szCs w:val="19"/>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Common Stock, par value $0.10 per share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07"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7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On January 7, 2021, we announced the financial results for our first quarter of fiscal 2021 ended December 3, 2020. The full text of the press release issued in connection with the announcement is attached as Exhibit 99.1 to this Current Report on Form 8-K.</w:t>
      </w:r>
    </w:p>
    <w:p>
      <w:pPr>
        <w:spacing w:after="0" w:line="3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10080" w:type="dxa"/>
            <w:vAlign w:val="bottom"/>
            <w:gridSpan w:val="3"/>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6"/>
        </w:trPr>
        <w:tc>
          <w:tcPr>
            <w:tcW w:w="1160" w:type="dxa"/>
            <w:vAlign w:val="bottom"/>
          </w:tcPr>
          <w:p>
            <w:pPr>
              <w:spacing w:after="0"/>
              <w:rPr>
                <w:sz w:val="24"/>
                <w:szCs w:val="24"/>
                <w:color w:val="auto"/>
              </w:rPr>
            </w:pPr>
          </w:p>
        </w:tc>
        <w:tc>
          <w:tcPr>
            <w:tcW w:w="10080" w:type="dxa"/>
            <w:vAlign w:val="bottom"/>
            <w:gridSpan w:val="3"/>
          </w:tcPr>
          <w:p>
            <w:pPr>
              <w:ind w:left="180"/>
              <w:spacing w:after="0"/>
              <w:rPr>
                <w:sz w:val="20"/>
                <w:szCs w:val="20"/>
                <w:color w:val="auto"/>
              </w:rPr>
            </w:pPr>
            <w:r>
              <w:rPr>
                <w:rFonts w:ascii="Arial" w:cs="Arial" w:eastAsia="Arial" w:hAnsi="Arial"/>
                <w:sz w:val="18"/>
                <w:szCs w:val="18"/>
                <w:color w:val="auto"/>
              </w:rPr>
              <w:t>(d) Exhibits.</w:t>
            </w:r>
          </w:p>
        </w:tc>
      </w:tr>
      <w:tr>
        <w:trPr>
          <w:trHeight w:val="85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Pr>
          <w:p>
            <w:pPr>
              <w:spacing w:after="0"/>
              <w:rPr>
                <w:sz w:val="24"/>
                <w:szCs w:val="24"/>
                <w:color w:val="auto"/>
              </w:rPr>
            </w:pPr>
          </w:p>
        </w:tc>
      </w:tr>
      <w:tr>
        <w:trPr>
          <w:trHeight w:val="223"/>
        </w:trPr>
        <w:tc>
          <w:tcPr>
            <w:tcW w:w="1160" w:type="dxa"/>
            <w:vAlign w:val="bottom"/>
          </w:tcPr>
          <w:p>
            <w:pPr>
              <w:jc w:val="right"/>
              <w:ind w:right="3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984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issued on January 7, 2021</w:t>
              </w:r>
            </w:hyperlink>
          </w:p>
        </w:tc>
      </w:tr>
      <w:tr>
        <w:trPr>
          <w:trHeight w:val="230"/>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984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78"/>
        </w:trPr>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7480" w:type="dxa"/>
            <w:vAlign w:val="bottom"/>
            <w:gridSpan w:val="2"/>
          </w:tcPr>
          <w:p>
            <w:pPr>
              <w:ind w:left="1720"/>
              <w:spacing w:after="0"/>
              <w:rPr>
                <w:sz w:val="20"/>
                <w:szCs w:val="20"/>
                <w:color w:val="auto"/>
              </w:rPr>
            </w:pPr>
            <w:r>
              <w:rPr>
                <w:rFonts w:ascii="Arial" w:cs="Arial" w:eastAsia="Arial" w:hAnsi="Arial"/>
                <w:sz w:val="18"/>
                <w:szCs w:val="18"/>
                <w:b w:val="1"/>
                <w:bCs w:val="1"/>
                <w:color w:val="auto"/>
              </w:rPr>
              <w:t>MICRON TECHNOLOGY, INC.</w:t>
            </w:r>
          </w:p>
        </w:tc>
      </w:tr>
      <w:tr>
        <w:trPr>
          <w:trHeight w:val="742"/>
        </w:trPr>
        <w:tc>
          <w:tcPr>
            <w:tcW w:w="3740" w:type="dxa"/>
            <w:vAlign w:val="bottom"/>
          </w:tcPr>
          <w:p>
            <w:pPr>
              <w:spacing w:after="0"/>
              <w:rPr>
                <w:sz w:val="20"/>
                <w:szCs w:val="20"/>
                <w:color w:val="auto"/>
              </w:rPr>
            </w:pPr>
            <w:r>
              <w:rPr>
                <w:rFonts w:ascii="Arial" w:cs="Arial" w:eastAsia="Arial" w:hAnsi="Arial"/>
                <w:sz w:val="18"/>
                <w:szCs w:val="18"/>
                <w:color w:val="auto"/>
              </w:rPr>
              <w:t>Date:   January 7, 2021</w:t>
            </w:r>
          </w:p>
        </w:tc>
        <w:tc>
          <w:tcPr>
            <w:tcW w:w="2620" w:type="dxa"/>
            <w:vAlign w:val="bottom"/>
          </w:tcPr>
          <w:p>
            <w:pPr>
              <w:ind w:left="17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23"/>
        </w:trPr>
        <w:tc>
          <w:tcPr>
            <w:tcW w:w="3740" w:type="dxa"/>
            <w:vAlign w:val="bottom"/>
          </w:tcPr>
          <w:p>
            <w:pPr>
              <w:spacing w:after="0"/>
              <w:rPr>
                <w:sz w:val="19"/>
                <w:szCs w:val="19"/>
                <w:color w:val="auto"/>
              </w:rPr>
            </w:pPr>
          </w:p>
        </w:tc>
        <w:tc>
          <w:tcPr>
            <w:tcW w:w="2620" w:type="dxa"/>
            <w:vAlign w:val="bottom"/>
          </w:tcPr>
          <w:p>
            <w:pPr>
              <w:ind w:left="172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30"/>
        </w:trPr>
        <w:tc>
          <w:tcPr>
            <w:tcW w:w="3740" w:type="dxa"/>
            <w:vAlign w:val="bottom"/>
          </w:tcPr>
          <w:p>
            <w:pPr>
              <w:spacing w:after="0"/>
              <w:rPr>
                <w:sz w:val="19"/>
                <w:szCs w:val="19"/>
                <w:color w:val="auto"/>
              </w:rPr>
            </w:pPr>
          </w:p>
        </w:tc>
        <w:tc>
          <w:tcPr>
            <w:tcW w:w="2620" w:type="dxa"/>
            <w:vAlign w:val="bottom"/>
          </w:tcPr>
          <w:p>
            <w:pPr>
              <w:ind w:left="172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112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29"/>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89"/>
        </w:trPr>
        <w:tc>
          <w:tcPr>
            <w:tcW w:w="1500" w:type="dxa"/>
            <w:vAlign w:val="bottom"/>
          </w:tcPr>
          <w:p>
            <w:pPr>
              <w:spacing w:after="0"/>
              <w:rPr>
                <w:sz w:val="16"/>
                <w:szCs w:val="16"/>
                <w:color w:val="auto"/>
              </w:rPr>
            </w:pPr>
          </w:p>
        </w:tc>
        <w:tc>
          <w:tcPr>
            <w:tcW w:w="3100" w:type="dxa"/>
            <w:vAlign w:val="bottom"/>
            <w:gridSpan w:val="2"/>
          </w:tcPr>
          <w:p>
            <w:pPr>
              <w:spacing w:after="0" w:line="189" w:lineRule="exact"/>
              <w:rPr>
                <w:sz w:val="20"/>
                <w:szCs w:val="20"/>
                <w:color w:val="auto"/>
              </w:rPr>
            </w:pPr>
            <w:r>
              <w:rPr>
                <w:rFonts w:ascii="Arial" w:cs="Arial" w:eastAsia="Arial" w:hAnsi="Arial"/>
                <w:sz w:val="18"/>
                <w:szCs w:val="18"/>
                <w:color w:val="0090DA"/>
              </w:rPr>
              <w:t>farhanahmad@micron.com</w:t>
            </w:r>
          </w:p>
        </w:tc>
        <w:tc>
          <w:tcPr>
            <w:tcW w:w="2000" w:type="dxa"/>
            <w:vAlign w:val="bottom"/>
            <w:gridSpan w:val="2"/>
          </w:tcPr>
          <w:p>
            <w:pPr>
              <w:spacing w:after="0" w:line="189" w:lineRule="exact"/>
              <w:rPr>
                <w:sz w:val="20"/>
                <w:szCs w:val="20"/>
                <w:color w:val="auto"/>
              </w:rPr>
            </w:pPr>
            <w:r>
              <w:rPr>
                <w:rFonts w:ascii="Arial" w:cs="Arial" w:eastAsia="Arial" w:hAnsi="Arial"/>
                <w:sz w:val="18"/>
                <w:szCs w:val="18"/>
                <w:color w:val="0090DA"/>
              </w:rPr>
              <w:t>epompen@micron.com</w:t>
            </w:r>
          </w:p>
        </w:tc>
      </w:tr>
      <w:tr>
        <w:trPr>
          <w:trHeight w:val="250"/>
        </w:trPr>
        <w:tc>
          <w:tcPr>
            <w:tcW w:w="1500" w:type="dxa"/>
            <w:vAlign w:val="bottom"/>
          </w:tcPr>
          <w:p>
            <w:pPr>
              <w:spacing w:after="0"/>
              <w:rPr>
                <w:sz w:val="21"/>
                <w:szCs w:val="21"/>
                <w:color w:val="auto"/>
              </w:rPr>
            </w:pPr>
          </w:p>
        </w:tc>
        <w:tc>
          <w:tcPr>
            <w:tcW w:w="21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834-1927</w:t>
            </w:r>
          </w:p>
        </w:tc>
        <w:tc>
          <w:tcPr>
            <w:tcW w:w="940" w:type="dxa"/>
            <w:vAlign w:val="bottom"/>
          </w:tcPr>
          <w:p>
            <w:pPr>
              <w:spacing w:after="0"/>
              <w:rPr>
                <w:sz w:val="21"/>
                <w:szCs w:val="21"/>
                <w:color w:val="auto"/>
              </w:rPr>
            </w:pPr>
          </w:p>
        </w:tc>
        <w:tc>
          <w:tcPr>
            <w:tcW w:w="18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QUARTER OF FISCAL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Industry’s first 176-layer NAND in production</w:t>
      </w:r>
    </w:p>
    <w:p>
      <w:pPr>
        <w:spacing w:after="0" w:line="23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Jan. 7, 2021 – Micron Technology, Inc. (Nasdaq: MU) today announced results for its first quarter of fiscal 2021, which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 3, 2020.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Q1 2021 highlights</w:t>
      </w:r>
    </w:p>
    <w:p>
      <w:pPr>
        <w:spacing w:after="0" w:line="3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$5.77 billion versus $6.06 billion for the prior quarter and $5.14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$803 million, or $0.71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$897 million, or $0.78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$1.97 billion versus $2.27 billion for the prior quarter and $2.01 billion for the same period last year</w:t>
      </w:r>
    </w:p>
    <w:p>
      <w:pPr>
        <w:spacing w:after="0" w:line="25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“Micron delivered outstanding fiscal first quarter results, driven by focused execution and strong end-market demand,” said Micron Technology President and CEO Sanjay Mehrotra. “We are excited about the strengthening DRAM industry fundamentals. For the first time in our history, Micron is simultaneously leading on DRAM and NAND technologies, and we are in an excellent position to benefit from accelerating digital transformation of the global economy fueled by AI, 5G, cloud, and the intelligent edge.”</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6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8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140" w:type="dxa"/>
            <w:vAlign w:val="bottom"/>
            <w:tcBorders>
              <w:bottom w:val="single" w:sz="8" w:color="0090DA"/>
            </w:tcBorders>
            <w:gridSpan w:val="2"/>
          </w:tcPr>
          <w:p>
            <w:pPr>
              <w:ind w:left="40"/>
              <w:spacing w:after="0"/>
              <w:rPr>
                <w:sz w:val="20"/>
                <w:szCs w:val="20"/>
                <w:color w:val="auto"/>
              </w:rPr>
            </w:pPr>
            <w:r>
              <w:rPr>
                <w:rFonts w:ascii="Arial" w:cs="Arial" w:eastAsia="Arial" w:hAnsi="Arial"/>
                <w:sz w:val="18"/>
                <w:szCs w:val="18"/>
                <w:b w:val="1"/>
                <w:bCs w:val="1"/>
                <w:color w:val="auto"/>
                <w:w w:val="96"/>
              </w:rPr>
              <w:t>Non-GAAP</w:t>
            </w:r>
            <w:r>
              <w:rPr>
                <w:rFonts w:ascii="Arial" w:cs="Arial" w:eastAsia="Arial" w:hAnsi="Arial"/>
                <w:sz w:val="23"/>
                <w:szCs w:val="23"/>
                <w:b w:val="1"/>
                <w:bCs w:val="1"/>
                <w:color w:val="auto"/>
                <w:w w:val="96"/>
                <w:vertAlign w:val="superscript"/>
              </w:rPr>
              <w:t>(2)</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FQ1-21</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FQ4-20</w:t>
            </w: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FQ1-20</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FQ1-21</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FQ4-20</w:t>
            </w: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FQ1-20</w:t>
            </w:r>
          </w:p>
        </w:tc>
      </w:tr>
      <w:tr>
        <w:trPr>
          <w:trHeight w:val="34"/>
        </w:trPr>
        <w:tc>
          <w:tcPr>
            <w:tcW w:w="42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5,773</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6,056</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5,144</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5,773</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6,056</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5,144</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1,736</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2,068</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1,784</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2,111</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1,405</w:t>
            </w:r>
          </w:p>
        </w:tc>
      </w:tr>
      <w:tr>
        <w:trPr>
          <w:trHeight w:val="229"/>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30.1 %</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34.1 %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26.6 %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30.9 %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34.9 %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27.3 %</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870</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911</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809</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811</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866</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1,157</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973</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1,302</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594</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15.0 %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19.1 %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10.1 %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16.9 %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21.5 %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11.5 %</w:t>
            </w:r>
          </w:p>
        </w:tc>
      </w:tr>
      <w:tr>
        <w:trPr>
          <w:trHeight w:val="229"/>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attributable to Micron</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803</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988</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897</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1,229</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548</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0.71</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0.87</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0.78</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0.48</w:t>
            </w:r>
          </w:p>
        </w:tc>
      </w:tr>
    </w:tbl>
    <w:p>
      <w:pPr>
        <w:spacing w:after="0" w:line="340" w:lineRule="exact"/>
        <w:rPr>
          <w:sz w:val="20"/>
          <w:szCs w:val="20"/>
          <w:color w:val="auto"/>
        </w:rPr>
      </w:pPr>
    </w:p>
    <w:p>
      <w:pPr>
        <w:ind w:right="400"/>
        <w:spacing w:after="0" w:line="233"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$2.78 billion for the first quarter of 2021. Micron ended the quarter with cash, marketable investments, and restricted cash of $8.36 billion, for a net cash</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position of $1.73 billion.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658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4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second quarter of 2021:</w:t>
            </w:r>
          </w:p>
        </w:tc>
        <w:tc>
          <w:tcPr>
            <w:tcW w:w="24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6"/>
        </w:trPr>
        <w:tc>
          <w:tcPr>
            <w:tcW w:w="65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FQ2-21</w:t>
            </w:r>
          </w:p>
        </w:tc>
        <w:tc>
          <w:tcPr>
            <w:tcW w:w="2480" w:type="dxa"/>
            <w:vAlign w:val="bottom"/>
            <w:tcBorders>
              <w:bottom w:val="single" w:sz="8" w:color="0090DA"/>
            </w:tcBorders>
          </w:tcPr>
          <w:p>
            <w:pPr>
              <w:jc w:val="right"/>
              <w:ind w:right="50"/>
              <w:spacing w:after="0" w:line="256"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180" w:type="dxa"/>
            <w:vAlign w:val="bottom"/>
            <w:tcBorders>
              <w:bottom w:val="single" w:sz="8" w:color="0090DA"/>
            </w:tcBorders>
          </w:tcPr>
          <w:p>
            <w:pPr>
              <w:jc w:val="right"/>
              <w:spacing w:after="0" w:line="256"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5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30"/>
        </w:trPr>
        <w:tc>
          <w:tcPr>
            <w:tcW w:w="65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48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$5.8 billion ± $200 million</w:t>
            </w:r>
          </w:p>
        </w:tc>
        <w:tc>
          <w:tcPr>
            <w:tcW w:w="2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$5.8 billion ± $200 million</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480" w:type="dxa"/>
            <w:vAlign w:val="bottom"/>
          </w:tcPr>
          <w:p>
            <w:pPr>
              <w:jc w:val="right"/>
              <w:ind w:right="50"/>
              <w:spacing w:after="0"/>
              <w:rPr>
                <w:sz w:val="20"/>
                <w:szCs w:val="20"/>
                <w:color w:val="auto"/>
              </w:rPr>
            </w:pPr>
            <w:r>
              <w:rPr>
                <w:rFonts w:ascii="Arial" w:cs="Arial" w:eastAsia="Arial" w:hAnsi="Arial"/>
                <w:sz w:val="18"/>
                <w:szCs w:val="18"/>
                <w:color w:val="auto"/>
              </w:rPr>
              <w:t>25% ± 1%</w:t>
            </w:r>
          </w:p>
        </w:tc>
        <w:tc>
          <w:tcPr>
            <w:tcW w:w="2180" w:type="dxa"/>
            <w:vAlign w:val="bottom"/>
          </w:tcPr>
          <w:p>
            <w:pPr>
              <w:jc w:val="right"/>
              <w:spacing w:after="0"/>
              <w:rPr>
                <w:sz w:val="20"/>
                <w:szCs w:val="20"/>
                <w:color w:val="auto"/>
              </w:rPr>
            </w:pPr>
            <w:r>
              <w:rPr>
                <w:rFonts w:ascii="Arial" w:cs="Arial" w:eastAsia="Arial" w:hAnsi="Arial"/>
                <w:sz w:val="18"/>
                <w:szCs w:val="18"/>
                <w:color w:val="auto"/>
              </w:rPr>
              <w:t>31% ± 1%</w:t>
            </w:r>
          </w:p>
        </w:tc>
      </w:tr>
      <w:tr>
        <w:trPr>
          <w:trHeight w:val="229"/>
        </w:trPr>
        <w:tc>
          <w:tcPr>
            <w:tcW w:w="65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48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$882 million ± $25 million</w:t>
            </w:r>
          </w:p>
        </w:tc>
        <w:tc>
          <w:tcPr>
            <w:tcW w:w="2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$825 million ± $25 million</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480" w:type="dxa"/>
            <w:vAlign w:val="bottom"/>
          </w:tcPr>
          <w:p>
            <w:pPr>
              <w:jc w:val="right"/>
              <w:ind w:right="50"/>
              <w:spacing w:after="0"/>
              <w:rPr>
                <w:sz w:val="20"/>
                <w:szCs w:val="20"/>
                <w:color w:val="auto"/>
              </w:rPr>
            </w:pPr>
            <w:r>
              <w:rPr>
                <w:rFonts w:ascii="Arial" w:cs="Arial" w:eastAsia="Arial" w:hAnsi="Arial"/>
                <w:sz w:val="18"/>
                <w:szCs w:val="18"/>
                <w:color w:val="auto"/>
              </w:rPr>
              <w:t>$37 million</w:t>
            </w:r>
          </w:p>
        </w:tc>
        <w:tc>
          <w:tcPr>
            <w:tcW w:w="2180" w:type="dxa"/>
            <w:vAlign w:val="bottom"/>
          </w:tcPr>
          <w:p>
            <w:pPr>
              <w:jc w:val="right"/>
              <w:spacing w:after="0"/>
              <w:rPr>
                <w:sz w:val="20"/>
                <w:szCs w:val="20"/>
                <w:color w:val="auto"/>
              </w:rPr>
            </w:pPr>
            <w:r>
              <w:rPr>
                <w:rFonts w:ascii="Arial" w:cs="Arial" w:eastAsia="Arial" w:hAnsi="Arial"/>
                <w:sz w:val="18"/>
                <w:szCs w:val="18"/>
                <w:color w:val="auto"/>
              </w:rPr>
              <w:t>$35 million</w:t>
            </w:r>
          </w:p>
        </w:tc>
      </w:tr>
      <w:tr>
        <w:trPr>
          <w:trHeight w:val="229"/>
        </w:trPr>
        <w:tc>
          <w:tcPr>
            <w:tcW w:w="6580" w:type="dxa"/>
            <w:vAlign w:val="bottom"/>
            <w:shd w:val="clear" w:color="auto" w:fill="DDDDDD"/>
          </w:tcPr>
          <w:p>
            <w:pPr>
              <w:ind w:left="20"/>
              <w:spacing w:after="0"/>
              <w:rPr>
                <w:sz w:val="20"/>
                <w:szCs w:val="20"/>
                <w:color w:val="auto"/>
              </w:rPr>
            </w:pPr>
            <w:r>
              <w:rPr>
                <w:rFonts w:ascii="Arial" w:cs="Arial" w:eastAsia="Arial" w:hAnsi="Arial"/>
                <w:sz w:val="18"/>
                <w:szCs w:val="18"/>
                <w:color w:val="auto"/>
              </w:rPr>
              <w:t>Diluted earnings per share</w:t>
            </w:r>
          </w:p>
        </w:tc>
        <w:tc>
          <w:tcPr>
            <w:tcW w:w="248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$0.41 ± $0.07</w:t>
            </w:r>
          </w:p>
        </w:tc>
        <w:tc>
          <w:tcPr>
            <w:tcW w:w="2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$0.75 ± $0.07</w:t>
            </w:r>
          </w:p>
        </w:tc>
      </w:tr>
    </w:tbl>
    <w:p>
      <w:pPr>
        <w:spacing w:after="0" w:line="350"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Micron will host a conference call on Thursday, Jan. 7, 2021, at 2:30 p.m. MT to discuss its first quarter financial results and provide forward-looking guidance for its second quarter. A live webcast of the call will be available online at </w:t>
      </w:r>
      <w:r>
        <w:rPr>
          <w:rFonts w:ascii="Arial" w:cs="Arial" w:eastAsia="Arial" w:hAnsi="Arial"/>
          <w:sz w:val="18"/>
          <w:szCs w:val="18"/>
          <w:u w:val="single" w:color="auto"/>
          <w:color w:val="0090DA"/>
        </w:rPr>
        <w:t>investors.micron.com</w:t>
      </w:r>
      <w:r>
        <w:rPr>
          <w:rFonts w:ascii="Arial" w:cs="Arial" w:eastAsia="Arial" w:hAnsi="Arial"/>
          <w:sz w:val="18"/>
          <w:szCs w:val="18"/>
          <w:color w:val="auto"/>
        </w:rPr>
        <w:t xml:space="preserve">. A webcast replay will be available for one year after the call. For Investor Relations and other company updates, follow @MicronTech on Twitter at </w:t>
      </w:r>
      <w:r>
        <w:rPr>
          <w:rFonts w:ascii="Arial" w:cs="Arial" w:eastAsia="Arial" w:hAnsi="Arial"/>
          <w:sz w:val="18"/>
          <w:szCs w:val="18"/>
          <w:u w:val="single" w:color="auto"/>
          <w:color w:val="0090DA"/>
        </w:rPr>
        <w:t>twitter.com/MicronTech</w:t>
      </w:r>
      <w:r>
        <w:rPr>
          <w:rFonts w:ascii="Arial" w:cs="Arial" w:eastAsia="Arial" w:hAnsi="Arial"/>
          <w:sz w:val="18"/>
          <w:szCs w:val="18"/>
          <w:color w:val="000000"/>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6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Crucial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 Our common stock is traded on Nasdaq under the MU symbol. To learn more about Micron Technology, Inc.,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and our financial and operating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0090DA"/>
        </w:rPr>
        <w:t>www.micron.com/certainfactors</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4" w:lineRule="auto"/>
        <w:tabs>
          <w:tab w:leader="none" w:pos="334"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net cash, and business outlook. Further information regarding Micron’s use of non-GAAP measures and reconciliations between GAAP and non-GAAP measures are included within this press release.</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886"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1st Qtr.</w:t>
            </w:r>
          </w:p>
        </w:tc>
        <w:tc>
          <w:tcPr>
            <w:tcW w:w="24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2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1st Qtr.</w:t>
            </w:r>
          </w:p>
        </w:tc>
      </w:tr>
      <w:tr>
        <w:trPr>
          <w:trHeight w:val="185"/>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rPr>
              <w:t>December 3,</w:t>
            </w:r>
          </w:p>
        </w:tc>
        <w:tc>
          <w:tcPr>
            <w:tcW w:w="134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September 3,</w:t>
            </w:r>
          </w:p>
        </w:tc>
        <w:tc>
          <w:tcPr>
            <w:tcW w:w="134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November 28,</w:t>
            </w:r>
          </w:p>
        </w:tc>
      </w:tr>
      <w:tr>
        <w:trPr>
          <w:trHeight w:val="229"/>
        </w:trPr>
        <w:tc>
          <w:tcPr>
            <w:tcW w:w="724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2019</w:t>
            </w:r>
          </w:p>
        </w:tc>
      </w:tr>
      <w:tr>
        <w:trPr>
          <w:trHeight w:val="34"/>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5,144</w:t>
            </w: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w:t>
            </w: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1,366</w:t>
            </w:r>
          </w:p>
        </w:tc>
      </w:tr>
      <w:tr>
        <w:trPr>
          <w:trHeight w:val="257"/>
        </w:trPr>
        <w:tc>
          <w:tcPr>
            <w:tcW w:w="7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56"/>
        </w:trPr>
        <w:tc>
          <w:tcPr>
            <w:tcW w:w="724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24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561</w:t>
            </w:r>
          </w:p>
        </w:tc>
      </w:tr>
      <w:tr>
        <w:trPr>
          <w:trHeight w:val="257"/>
        </w:trPr>
        <w:tc>
          <w:tcPr>
            <w:tcW w:w="7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508</w:t>
            </w:r>
          </w:p>
        </w:tc>
      </w:tr>
      <w:tr>
        <w:trPr>
          <w:trHeight w:val="257"/>
        </w:trPr>
        <w:tc>
          <w:tcPr>
            <w:tcW w:w="7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Net income attributable to Micron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724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0.89</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0.44</w:t>
            </w:r>
          </w:p>
        </w:tc>
      </w:tr>
      <w:tr>
        <w:trPr>
          <w:trHeight w:val="229"/>
        </w:trPr>
        <w:tc>
          <w:tcPr>
            <w:tcW w:w="72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57"/>
        </w:trPr>
        <w:tc>
          <w:tcPr>
            <w:tcW w:w="724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1,107</w:t>
            </w:r>
          </w:p>
        </w:tc>
      </w:tr>
      <w:tr>
        <w:trPr>
          <w:trHeight w:val="230"/>
        </w:trPr>
        <w:tc>
          <w:tcPr>
            <w:tcW w:w="72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2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5,985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229"/>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30"/>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5,521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85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16,529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17,965</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9"/>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32,229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9"/>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53,691</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85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4,856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29"/>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85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5,688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6,356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30"/>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8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555</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196"/>
        </w:trPr>
        <w:tc>
          <w:tcPr>
            <w:tcW w:w="856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30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856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9,034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30"/>
        </w:trPr>
        <w:tc>
          <w:tcPr>
            <w:tcW w:w="856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34,138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33,384</w:t>
            </w:r>
          </w:p>
        </w:tc>
        <w:tc>
          <w:tcPr>
            <w:tcW w:w="0" w:type="dxa"/>
            <w:vAlign w:val="bottom"/>
          </w:tcPr>
          <w:p>
            <w:pPr>
              <w:spacing w:after="0"/>
              <w:rPr>
                <w:sz w:val="1"/>
                <w:szCs w:val="1"/>
                <w:color w:val="auto"/>
              </w:rPr>
            </w:pPr>
          </w:p>
        </w:tc>
      </w:tr>
      <w:tr>
        <w:trPr>
          <w:trHeight w:val="230"/>
        </w:trPr>
        <w:tc>
          <w:tcPr>
            <w:tcW w:w="856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29"/>
        </w:trPr>
        <w:tc>
          <w:tcPr>
            <w:tcW w:w="856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38,996</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53,691</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85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Amortization of debt discount and other costs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(Gain) loss on debt prepayments, repurchases, and conversions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(2,738)</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(3,418)</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Acquisition of noncontrolling interest in IMFT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6,052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886" w:right="339" w:bottom="1440" w:gutter="0" w:footer="0" w:header="0"/>
          <w:type w:val="continuous"/>
        </w:sectPr>
      </w:pPr>
    </w:p>
    <w:bookmarkStart w:id="8" w:name="page9"/>
    <w:bookmarkEnd w:id="8"/>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jc w:val="center"/>
              <w:ind w:left="7130"/>
              <w:spacing w:after="0"/>
              <w:rPr>
                <w:sz w:val="20"/>
                <w:szCs w:val="20"/>
                <w:color w:val="auto"/>
              </w:rPr>
            </w:pPr>
            <w:r>
              <w:rPr>
                <w:rFonts w:ascii="Arial" w:cs="Arial" w:eastAsia="Arial" w:hAnsi="Arial"/>
                <w:sz w:val="18"/>
                <w:szCs w:val="18"/>
                <w:b w:val="1"/>
                <w:bCs w:val="1"/>
                <w:color w:val="auto"/>
                <w:w w:val="98"/>
              </w:rPr>
              <w:t>1st Qtr.</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4th Qtr.</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8"/>
              </w:rPr>
              <w:t>1st Qtr.</w:t>
            </w:r>
          </w:p>
        </w:tc>
      </w:tr>
      <w:tr>
        <w:trPr>
          <w:trHeight w:val="185"/>
        </w:trPr>
        <w:tc>
          <w:tcPr>
            <w:tcW w:w="8560" w:type="dxa"/>
            <w:vAlign w:val="bottom"/>
          </w:tcPr>
          <w:p>
            <w:pPr>
              <w:jc w:val="center"/>
              <w:ind w:left="7150"/>
              <w:spacing w:after="0" w:line="185" w:lineRule="exact"/>
              <w:rPr>
                <w:sz w:val="20"/>
                <w:szCs w:val="20"/>
                <w:color w:val="auto"/>
              </w:rPr>
            </w:pPr>
            <w:r>
              <w:rPr>
                <w:rFonts w:ascii="Arial" w:cs="Arial" w:eastAsia="Arial" w:hAnsi="Arial"/>
                <w:sz w:val="18"/>
                <w:szCs w:val="18"/>
                <w:b w:val="1"/>
                <w:bCs w:val="1"/>
                <w:color w:val="auto"/>
              </w:rPr>
              <w:t>December 3,</w:t>
            </w:r>
          </w:p>
        </w:tc>
        <w:tc>
          <w:tcPr>
            <w:tcW w:w="134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September 3,</w:t>
            </w:r>
          </w:p>
        </w:tc>
        <w:tc>
          <w:tcPr>
            <w:tcW w:w="134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November 28,</w:t>
            </w:r>
          </w:p>
        </w:tc>
      </w:tr>
      <w:tr>
        <w:trPr>
          <w:trHeight w:val="229"/>
        </w:trPr>
        <w:tc>
          <w:tcPr>
            <w:tcW w:w="8560" w:type="dxa"/>
            <w:vAlign w:val="bottom"/>
            <w:tcBorders>
              <w:bottom w:val="single" w:sz="8" w:color="0090DA"/>
            </w:tcBorders>
          </w:tcPr>
          <w:p>
            <w:pPr>
              <w:jc w:val="center"/>
              <w:ind w:left="7150"/>
              <w:spacing w:after="0"/>
              <w:rPr>
                <w:sz w:val="20"/>
                <w:szCs w:val="20"/>
                <w:color w:val="auto"/>
              </w:rPr>
            </w:pPr>
            <w:r>
              <w:rPr>
                <w:rFonts w:ascii="Arial" w:cs="Arial" w:eastAsia="Arial" w:hAnsi="Arial"/>
                <w:sz w:val="18"/>
                <w:szCs w:val="18"/>
                <w:b w:val="1"/>
                <w:bCs w:val="1"/>
                <w:color w:val="auto"/>
                <w:w w:val="99"/>
              </w:rPr>
              <w:t>2020</w:t>
            </w: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2019</w:t>
            </w:r>
          </w:p>
        </w:tc>
      </w:tr>
    </w:tbl>
    <w:p>
      <w:pPr>
        <w:spacing w:after="0" w:line="31" w:lineRule="exact"/>
        <w:rPr>
          <w:sz w:val="20"/>
          <w:szCs w:val="20"/>
          <w:color w:val="auto"/>
        </w:rPr>
      </w:pPr>
    </w:p>
    <w:p>
      <w:pPr>
        <w:sectPr>
          <w:pgSz w:w="11900" w:h="16838" w:orient="portrait"/>
          <w:cols w:equalWidth="0" w:num="1">
            <w:col w:w="11240"/>
          </w:cols>
          <w:pgMar w:left="320" w:top="1372"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Restructure and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operating expenses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Restructure and asset impairments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operating income</w:t>
      </w:r>
    </w:p>
    <w:p>
      <w:pPr>
        <w:spacing w:after="0" w:line="279" w:lineRule="exact"/>
        <w:rPr>
          <w:sz w:val="20"/>
          <w:szCs w:val="20"/>
          <w:color w:val="auto"/>
        </w:rPr>
      </w:pPr>
    </w:p>
    <w:p>
      <w:pPr>
        <w:ind w:left="140" w:right="3000" w:hanging="120"/>
        <w:spacing w:after="0" w:line="272" w:lineRule="auto"/>
        <w:rPr>
          <w:sz w:val="20"/>
          <w:szCs w:val="20"/>
          <w:color w:val="auto"/>
        </w:rPr>
      </w:pPr>
      <w:r>
        <w:rPr>
          <w:rFonts w:ascii="Arial" w:cs="Arial" w:eastAsia="Arial" w:hAnsi="Arial"/>
          <w:sz w:val="18"/>
          <w:szCs w:val="18"/>
          <w:b w:val="1"/>
          <w:bCs w:val="1"/>
          <w:color w:val="auto"/>
        </w:rPr>
        <w:t xml:space="preserve">GAAP net income attributable to Micron </w:t>
      </w:r>
      <w:r>
        <w:rPr>
          <w:rFonts w:ascii="Arial" w:cs="Arial" w:eastAsia="Arial" w:hAnsi="Arial"/>
          <w:sz w:val="18"/>
          <w:szCs w:val="18"/>
          <w:color w:val="auto"/>
        </w:rPr>
        <w:t>Stock-based compensation Restructure and asset impairments Amortization of debt discount and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right="1480"/>
        <w:spacing w:after="0" w:line="266" w:lineRule="auto"/>
        <w:rPr>
          <w:sz w:val="20"/>
          <w:szCs w:val="20"/>
          <w:color w:val="auto"/>
        </w:rPr>
      </w:pPr>
      <w:r>
        <w:rPr>
          <w:rFonts w:ascii="Arial" w:cs="Arial" w:eastAsia="Arial" w:hAnsi="Arial"/>
          <w:sz w:val="18"/>
          <w:szCs w:val="18"/>
          <w:color w:val="auto"/>
        </w:rPr>
        <w:t>(Gain) loss on debt prepayments, repurchases, and conversions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firstLine="121"/>
        <w:spacing w:after="0" w:line="324" w:lineRule="auto"/>
        <w:rPr>
          <w:sz w:val="20"/>
          <w:szCs w:val="20"/>
          <w:color w:val="auto"/>
        </w:rPr>
      </w:pPr>
      <w:r>
        <w:rPr>
          <w:rFonts w:ascii="Arial" w:cs="Arial" w:eastAsia="Arial" w:hAnsi="Arial"/>
          <w:sz w:val="18"/>
          <w:szCs w:val="18"/>
          <w:color w:val="auto"/>
        </w:rPr>
        <w:t xml:space="preserve">Estimated tax effects of above and non-cash changes in net deferred income taxes </w:t>
      </w:r>
      <w:r>
        <w:rPr>
          <w:rFonts w:ascii="Arial" w:cs="Arial" w:eastAsia="Arial" w:hAnsi="Arial"/>
          <w:sz w:val="18"/>
          <w:szCs w:val="18"/>
          <w:b w:val="1"/>
          <w:bCs w:val="1"/>
          <w:color w:val="auto"/>
        </w:rPr>
        <w:t>Non-GAAP net income attributable to Micron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5" w:lineRule="exact"/>
        <w:rPr>
          <w:sz w:val="20"/>
          <w:szCs w:val="20"/>
          <w:color w:val="auto"/>
        </w:rPr>
      </w:pPr>
    </w:p>
    <w:p>
      <w:pPr>
        <w:ind w:left="140" w:right="1340" w:hanging="120"/>
        <w:spacing w:after="0" w:line="289" w:lineRule="auto"/>
        <w:rPr>
          <w:sz w:val="20"/>
          <w:szCs w:val="20"/>
          <w:color w:val="auto"/>
        </w:rPr>
      </w:pPr>
      <w:r>
        <w:rPr>
          <w:rFonts w:ascii="Arial" w:cs="Arial" w:eastAsia="Arial" w:hAnsi="Arial"/>
          <w:sz w:val="18"/>
          <w:szCs w:val="18"/>
          <w:b w:val="1"/>
          <w:bCs w:val="1"/>
          <w:color w:val="auto"/>
        </w:rPr>
        <w:t xml:space="preserve">GAAP weighted-average common shares outstanding - Diluted </w:t>
      </w:r>
      <w:r>
        <w:rPr>
          <w:rFonts w:ascii="Arial" w:cs="Arial" w:eastAsia="Arial" w:hAnsi="Arial"/>
          <w:sz w:val="18"/>
          <w:szCs w:val="18"/>
          <w:color w:val="auto"/>
        </w:rPr>
        <w:t>Adjustment for stock-based compensation and capped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Non-GAAP weighted-average common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GAAP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Effects of the above adjustments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diluted earnings per share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2,068</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1,366</w:t>
            </w:r>
          </w:p>
        </w:tc>
      </w:tr>
      <w:tr>
        <w:trPr>
          <w:trHeight w:val="229"/>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53"/>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870</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911</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29"/>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53"/>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52"/>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803</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988</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30"/>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1,135</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1,131</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1,129</w:t>
            </w:r>
          </w:p>
        </w:tc>
      </w:tr>
      <w:tr>
        <w:trPr>
          <w:trHeight w:val="230"/>
        </w:trPr>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53"/>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0.71</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30"/>
        </w:trPr>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40" w:space="500"/>
            <w:col w:w="4000"/>
          </w:cols>
          <w:pgMar w:left="320" w:top="137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372"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RECONCILIATION OF GAAP TO NON-GAAP MEASURES, Continued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jc w:val="center"/>
              <w:ind w:left="7130"/>
              <w:spacing w:after="0"/>
              <w:rPr>
                <w:sz w:val="20"/>
                <w:szCs w:val="20"/>
                <w:color w:val="auto"/>
              </w:rPr>
            </w:pPr>
            <w:r>
              <w:rPr>
                <w:rFonts w:ascii="Arial" w:cs="Arial" w:eastAsia="Arial" w:hAnsi="Arial"/>
                <w:sz w:val="18"/>
                <w:szCs w:val="18"/>
                <w:b w:val="1"/>
                <w:bCs w:val="1"/>
                <w:color w:val="auto"/>
                <w:w w:val="98"/>
              </w:rPr>
              <w:t>1st Qtr.</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4th Qtr.</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8"/>
              </w:rPr>
              <w:t>1st Qtr.</w:t>
            </w:r>
          </w:p>
        </w:tc>
      </w:tr>
      <w:tr>
        <w:trPr>
          <w:trHeight w:val="185"/>
        </w:trPr>
        <w:tc>
          <w:tcPr>
            <w:tcW w:w="8560" w:type="dxa"/>
            <w:vAlign w:val="bottom"/>
          </w:tcPr>
          <w:p>
            <w:pPr>
              <w:jc w:val="center"/>
              <w:ind w:left="7150"/>
              <w:spacing w:after="0" w:line="185" w:lineRule="exact"/>
              <w:rPr>
                <w:sz w:val="20"/>
                <w:szCs w:val="20"/>
                <w:color w:val="auto"/>
              </w:rPr>
            </w:pPr>
            <w:r>
              <w:rPr>
                <w:rFonts w:ascii="Arial" w:cs="Arial" w:eastAsia="Arial" w:hAnsi="Arial"/>
                <w:sz w:val="18"/>
                <w:szCs w:val="18"/>
                <w:b w:val="1"/>
                <w:bCs w:val="1"/>
                <w:color w:val="auto"/>
              </w:rPr>
              <w:t>December 3,</w:t>
            </w:r>
          </w:p>
        </w:tc>
        <w:tc>
          <w:tcPr>
            <w:tcW w:w="134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September 3,</w:t>
            </w:r>
          </w:p>
        </w:tc>
        <w:tc>
          <w:tcPr>
            <w:tcW w:w="134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November 28,</w:t>
            </w:r>
          </w:p>
        </w:tc>
      </w:tr>
      <w:tr>
        <w:trPr>
          <w:trHeight w:val="229"/>
        </w:trPr>
        <w:tc>
          <w:tcPr>
            <w:tcW w:w="8560" w:type="dxa"/>
            <w:vAlign w:val="bottom"/>
            <w:tcBorders>
              <w:bottom w:val="single" w:sz="8" w:color="0090DA"/>
            </w:tcBorders>
          </w:tcPr>
          <w:p>
            <w:pPr>
              <w:jc w:val="center"/>
              <w:ind w:left="7150"/>
              <w:spacing w:after="0"/>
              <w:rPr>
                <w:sz w:val="20"/>
                <w:szCs w:val="20"/>
                <w:color w:val="auto"/>
              </w:rPr>
            </w:pPr>
            <w:r>
              <w:rPr>
                <w:rFonts w:ascii="Arial" w:cs="Arial" w:eastAsia="Arial" w:hAnsi="Arial"/>
                <w:sz w:val="18"/>
                <w:szCs w:val="18"/>
                <w:b w:val="1"/>
                <w:bCs w:val="1"/>
                <w:color w:val="auto"/>
                <w:w w:val="99"/>
              </w:rPr>
              <w:t>2020</w:t>
            </w: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2019</w:t>
            </w:r>
          </w:p>
        </w:tc>
      </w:tr>
    </w:tbl>
    <w:p>
      <w:pPr>
        <w:spacing w:after="0" w:line="31" w:lineRule="exact"/>
        <w:rPr>
          <w:sz w:val="20"/>
          <w:szCs w:val="20"/>
          <w:color w:val="auto"/>
        </w:rPr>
      </w:pPr>
    </w:p>
    <w:p>
      <w:pPr>
        <w:sectPr>
          <w:pgSz w:w="11900" w:h="16838" w:orient="portrait"/>
          <w:cols w:equalWidth="0" w:num="1">
            <w:col w:w="11240"/>
          </w:cols>
          <w:pgMar w:left="320" w:top="886" w:right="339" w:bottom="1440" w:gutter="0" w:footer="0" w:header="0"/>
        </w:sectPr>
      </w:pPr>
    </w:p>
    <w:p>
      <w:pPr>
        <w:ind w:left="20" w:right="2440"/>
        <w:spacing w:after="0" w:line="272" w:lineRule="auto"/>
        <w:rPr>
          <w:sz w:val="20"/>
          <w:szCs w:val="20"/>
          <w:color w:val="auto"/>
        </w:rPr>
      </w:pPr>
      <w:r>
        <w:rPr>
          <w:rFonts w:ascii="Arial" w:cs="Arial" w:eastAsia="Arial" w:hAnsi="Arial"/>
          <w:sz w:val="18"/>
          <w:szCs w:val="18"/>
          <w:b w:val="1"/>
          <w:bCs w:val="1"/>
          <w:color w:val="auto"/>
        </w:rPr>
        <w:t xml:space="preserve">GAAP net cash provided by operating activities </w:t>
      </w:r>
      <w:r>
        <w:rPr>
          <w:rFonts w:ascii="Arial" w:cs="Arial" w:eastAsia="Arial" w:hAnsi="Arial"/>
          <w:sz w:val="18"/>
          <w:szCs w:val="18"/>
          <w:color w:val="auto"/>
        </w:rPr>
        <w:t>Investments in capital expenditures,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line="228" w:lineRule="auto"/>
        <w:rPr>
          <w:sz w:val="20"/>
          <w:szCs w:val="20"/>
          <w:color w:val="auto"/>
        </w:rPr>
      </w:pPr>
      <w:r>
        <w:rPr>
          <w:rFonts w:ascii="Arial" w:cs="Arial" w:eastAsia="Arial" w:hAnsi="Arial"/>
          <w:sz w:val="17"/>
          <w:szCs w:val="17"/>
          <w:color w:val="auto"/>
        </w:rPr>
        <w:t>Expenditures for property, plant, and equipment, net</w:t>
      </w:r>
      <w:r>
        <w:rPr>
          <w:rFonts w:ascii="Arial" w:cs="Arial" w:eastAsia="Arial" w:hAnsi="Arial"/>
          <w:sz w:val="22"/>
          <w:szCs w:val="22"/>
          <w:color w:val="auto"/>
          <w:vertAlign w:val="superscript"/>
        </w:rPr>
        <w:t>(1)</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equipment purchase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Amounts funded by partners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free cash flow</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459"/>
        </w:trPr>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(2,726)</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(2,268)</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(1,936)</w:t>
            </w:r>
          </w:p>
        </w:tc>
      </w:tr>
      <w:tr>
        <w:trPr>
          <w:trHeight w:val="229"/>
        </w:trPr>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720"/>
            <w:col w:w="4000"/>
          </w:cols>
          <w:pgMar w:left="320" w:top="886" w:right="339" w:bottom="1440" w:gutter="0" w:footer="0" w:header="0"/>
          <w:type w:val="continuous"/>
        </w:sectPr>
      </w:pPr>
    </w:p>
    <w:p>
      <w:pPr>
        <w:spacing w:after="0" w:line="150" w:lineRule="exact"/>
        <w:rPr>
          <w:sz w:val="20"/>
          <w:szCs w:val="20"/>
          <w:color w:val="auto"/>
        </w:rPr>
      </w:pPr>
    </w:p>
    <w:p>
      <w:pPr>
        <w:ind w:left="340" w:right="140" w:hanging="332"/>
        <w:spacing w:after="0" w:line="220"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Expenditures for property, plant, and equipment, net include proceeds from sales of property, plant, and equipment of $12 million for the first quarter of 2021, $12 million for the fourth quarter of 2020, and $7 million for the first quarter of 2020.</w:t>
      </w:r>
    </w:p>
    <w:p>
      <w:pPr>
        <w:sectPr>
          <w:pgSz w:w="11900" w:h="16838" w:orient="portrait"/>
          <w:cols w:equalWidth="0" w:num="1">
            <w:col w:w="11240"/>
          </w:cols>
          <w:pgMar w:left="320" w:top="886" w:right="3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short-term investments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Current and noncurrent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marketable investments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cash</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w:t>
            </w:r>
          </w:p>
        </w:tc>
      </w:tr>
      <w:tr>
        <w:trPr>
          <w:trHeight w:val="239"/>
        </w:trPr>
        <w:tc>
          <w:tcPr>
            <w:tcW w:w="14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74"/>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7,032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8,142</w:t>
            </w:r>
          </w:p>
        </w:tc>
      </w:tr>
      <w:tr>
        <w:trPr>
          <w:trHeight w:val="230"/>
        </w:trPr>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29"/>
        </w:trPr>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40" w:space="720"/>
            <w:col w:w="2680"/>
          </w:cols>
          <w:pgMar w:left="320" w:top="886" w:right="339" w:bottom="1440" w:gutter="0" w:footer="0" w:header="0"/>
          <w:type w:val="continuous"/>
        </w:sectPr>
      </w:pPr>
    </w:p>
    <w:p>
      <w:pPr>
        <w:spacing w:after="0" w:line="15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attributable to Micron, diluted shares, diluted earnings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Start-up and preproduction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notes and other debt;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Initial impact of inventory accounting policy change to FIFO and change in inventory cost absorption in the second quarter of 2021; and</w:t>
      </w:r>
    </w:p>
    <w:p>
      <w:pPr>
        <w:ind w:left="660" w:right="18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and significant changes in tax law.</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86" w:right="339" w:bottom="1440" w:gutter="0" w:footer="0" w:header="0"/>
          <w:type w:val="continuous"/>
        </w:sectPr>
      </w:pPr>
    </w:p>
    <w:bookmarkStart w:id="10" w:name="page11"/>
    <w:bookmarkEnd w:id="10"/>
    <w:p>
      <w:pPr>
        <w:ind w:right="40"/>
        <w:spacing w:after="0" w:line="254"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Non-GAAP diluted shares also include the impact of capped calls, which are anti-dilutive in GAAP earnings per share but are expected to mitigate the dilutive effect of convertible notes, based on the average share price for the period the capped calls were outstanding.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tcPr>
          <w:p>
            <w:pPr>
              <w:spacing w:after="0"/>
              <w:rPr>
                <w:sz w:val="20"/>
                <w:szCs w:val="20"/>
                <w:color w:val="auto"/>
              </w:rPr>
            </w:pPr>
          </w:p>
        </w:tc>
        <w:tc>
          <w:tcPr>
            <w:tcW w:w="2660" w:type="dxa"/>
            <w:vAlign w:val="bottom"/>
            <w:gridSpan w:val="3"/>
          </w:tcPr>
          <w:p>
            <w:pPr>
              <w:ind w:left="360"/>
              <w:spacing w:after="0"/>
              <w:rPr>
                <w:sz w:val="20"/>
                <w:szCs w:val="20"/>
                <w:color w:val="auto"/>
              </w:rPr>
            </w:pPr>
            <w:r>
              <w:rPr>
                <w:rFonts w:ascii="Arial" w:cs="Arial" w:eastAsia="Arial" w:hAnsi="Arial"/>
                <w:sz w:val="18"/>
                <w:szCs w:val="18"/>
                <w:b w:val="1"/>
                <w:bCs w:val="1"/>
                <w:color w:val="auto"/>
              </w:rPr>
              <w:t>GAAP Outlook</w:t>
            </w:r>
          </w:p>
        </w:tc>
        <w:tc>
          <w:tcPr>
            <w:tcW w:w="218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Adjustments</w:t>
            </w:r>
          </w:p>
        </w:tc>
        <w:tc>
          <w:tcPr>
            <w:tcW w:w="2120" w:type="dxa"/>
            <w:vAlign w:val="bottom"/>
          </w:tcPr>
          <w:p>
            <w:pPr>
              <w:jc w:val="right"/>
              <w:ind w:right="23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4280" w:type="dxa"/>
            <w:vAlign w:val="bottom"/>
            <w:tcBorders>
              <w:top w:val="single" w:sz="8" w:color="0090DA"/>
            </w:tcBorders>
          </w:tcPr>
          <w:p>
            <w:pPr>
              <w:spacing w:after="0"/>
              <w:rPr>
                <w:sz w:val="2"/>
                <w:szCs w:val="2"/>
                <w:color w:val="auto"/>
              </w:rPr>
            </w:pPr>
          </w:p>
        </w:tc>
        <w:tc>
          <w:tcPr>
            <w:tcW w:w="214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0090DA"/>
            </w:tcBorders>
          </w:tcPr>
          <w:p>
            <w:pPr>
              <w:spacing w:after="0"/>
              <w:rPr>
                <w:sz w:val="2"/>
                <w:szCs w:val="2"/>
                <w:color w:val="auto"/>
              </w:rPr>
            </w:pPr>
          </w:p>
        </w:tc>
        <w:tc>
          <w:tcPr>
            <w:tcW w:w="190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2120" w:type="dxa"/>
            <w:vAlign w:val="bottom"/>
            <w:tcBorders>
              <w:top w:val="single" w:sz="8" w:color="0090DA"/>
            </w:tcBorders>
          </w:tcPr>
          <w:p>
            <w:pPr>
              <w:spacing w:after="0"/>
              <w:rPr>
                <w:sz w:val="2"/>
                <w:szCs w:val="2"/>
                <w:color w:val="auto"/>
              </w:rPr>
            </w:pPr>
          </w:p>
        </w:tc>
      </w:tr>
      <w:tr>
        <w:trPr>
          <w:trHeight w:val="229"/>
        </w:trPr>
        <w:tc>
          <w:tcPr>
            <w:tcW w:w="4280" w:type="dxa"/>
            <w:vAlign w:val="bottom"/>
            <w:shd w:val="clear" w:color="auto" w:fill="CBCBCB"/>
          </w:tcPr>
          <w:p>
            <w:pPr>
              <w:ind w:left="20"/>
              <w:spacing w:after="0"/>
              <w:rPr>
                <w:sz w:val="20"/>
                <w:szCs w:val="20"/>
                <w:color w:val="auto"/>
              </w:rPr>
            </w:pPr>
            <w:r>
              <w:rPr>
                <w:rFonts w:ascii="Arial" w:cs="Arial" w:eastAsia="Arial" w:hAnsi="Arial"/>
                <w:sz w:val="18"/>
                <w:szCs w:val="18"/>
                <w:color w:val="auto"/>
              </w:rPr>
              <w:t>Revenue</w:t>
            </w:r>
          </w:p>
        </w:tc>
        <w:tc>
          <w:tcPr>
            <w:tcW w:w="2660" w:type="dxa"/>
            <w:vAlign w:val="bottom"/>
            <w:gridSpan w:val="3"/>
            <w:shd w:val="clear" w:color="auto" w:fill="CBCBCB"/>
          </w:tcPr>
          <w:p>
            <w:pPr>
              <w:jc w:val="right"/>
              <w:ind w:right="540"/>
              <w:spacing w:after="0"/>
              <w:rPr>
                <w:sz w:val="20"/>
                <w:szCs w:val="20"/>
                <w:color w:val="auto"/>
              </w:rPr>
            </w:pPr>
            <w:r>
              <w:rPr>
                <w:rFonts w:ascii="Arial" w:cs="Arial" w:eastAsia="Arial" w:hAnsi="Arial"/>
                <w:sz w:val="18"/>
                <w:szCs w:val="18"/>
                <w:color w:val="auto"/>
              </w:rPr>
              <w:t>$5.8 billion ± $200 million</w:t>
            </w:r>
          </w:p>
        </w:tc>
        <w:tc>
          <w:tcPr>
            <w:tcW w:w="2180" w:type="dxa"/>
            <w:vAlign w:val="bottom"/>
            <w:gridSpan w:val="3"/>
            <w:shd w:val="clear" w:color="auto" w:fill="CBCBCB"/>
          </w:tcPr>
          <w:p>
            <w:pPr>
              <w:jc w:val="right"/>
              <w:ind w:right="13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$5.8 billion ± $200 million</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140" w:type="dxa"/>
            <w:vAlign w:val="bottom"/>
          </w:tcPr>
          <w:p>
            <w:pPr>
              <w:jc w:val="right"/>
              <w:spacing w:after="0"/>
              <w:rPr>
                <w:sz w:val="20"/>
                <w:szCs w:val="20"/>
                <w:color w:val="auto"/>
              </w:rPr>
            </w:pPr>
            <w:r>
              <w:rPr>
                <w:rFonts w:ascii="Arial" w:cs="Arial" w:eastAsia="Arial" w:hAnsi="Arial"/>
                <w:sz w:val="18"/>
                <w:szCs w:val="18"/>
                <w:color w:val="auto"/>
              </w:rPr>
              <w:t>25% ± 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gridSpan w:val="3"/>
          </w:tcPr>
          <w:p>
            <w:pPr>
              <w:jc w:val="right"/>
              <w:ind w:right="1140"/>
              <w:spacing w:after="0"/>
              <w:rPr>
                <w:sz w:val="20"/>
                <w:szCs w:val="20"/>
                <w:color w:val="auto"/>
              </w:rPr>
            </w:pPr>
            <w:r>
              <w:rPr>
                <w:rFonts w:ascii="Arial" w:cs="Arial" w:eastAsia="Arial" w:hAnsi="Arial"/>
                <w:sz w:val="18"/>
                <w:szCs w:val="18"/>
                <w:color w:val="auto"/>
              </w:rPr>
              <w:t>6% A</w:t>
            </w:r>
          </w:p>
        </w:tc>
        <w:tc>
          <w:tcPr>
            <w:tcW w:w="2120" w:type="dxa"/>
            <w:vAlign w:val="bottom"/>
          </w:tcPr>
          <w:p>
            <w:pPr>
              <w:jc w:val="right"/>
              <w:spacing w:after="0"/>
              <w:rPr>
                <w:sz w:val="20"/>
                <w:szCs w:val="20"/>
                <w:color w:val="auto"/>
              </w:rPr>
            </w:pPr>
            <w:r>
              <w:rPr>
                <w:rFonts w:ascii="Arial" w:cs="Arial" w:eastAsia="Arial" w:hAnsi="Arial"/>
                <w:sz w:val="18"/>
                <w:szCs w:val="18"/>
                <w:color w:val="auto"/>
              </w:rPr>
              <w:t>31% ± 1%</w:t>
            </w:r>
          </w:p>
        </w:tc>
      </w:tr>
      <w:tr>
        <w:trPr>
          <w:trHeight w:val="229"/>
        </w:trPr>
        <w:tc>
          <w:tcPr>
            <w:tcW w:w="4280" w:type="dxa"/>
            <w:vAlign w:val="bottom"/>
            <w:shd w:val="clear" w:color="auto" w:fill="CBCBCB"/>
          </w:tcPr>
          <w:p>
            <w:pPr>
              <w:ind w:left="20"/>
              <w:spacing w:after="0"/>
              <w:rPr>
                <w:sz w:val="20"/>
                <w:szCs w:val="20"/>
                <w:color w:val="auto"/>
              </w:rPr>
            </w:pPr>
            <w:r>
              <w:rPr>
                <w:rFonts w:ascii="Arial" w:cs="Arial" w:eastAsia="Arial" w:hAnsi="Arial"/>
                <w:sz w:val="18"/>
                <w:szCs w:val="18"/>
                <w:color w:val="auto"/>
              </w:rPr>
              <w:t>Operating expenses</w:t>
            </w:r>
          </w:p>
        </w:tc>
        <w:tc>
          <w:tcPr>
            <w:tcW w:w="2660" w:type="dxa"/>
            <w:vAlign w:val="bottom"/>
            <w:gridSpan w:val="3"/>
            <w:shd w:val="clear" w:color="auto" w:fill="CBCBCB"/>
          </w:tcPr>
          <w:p>
            <w:pPr>
              <w:jc w:val="right"/>
              <w:ind w:right="540"/>
              <w:spacing w:after="0"/>
              <w:rPr>
                <w:sz w:val="20"/>
                <w:szCs w:val="20"/>
                <w:color w:val="auto"/>
              </w:rPr>
            </w:pPr>
            <w:r>
              <w:rPr>
                <w:rFonts w:ascii="Arial" w:cs="Arial" w:eastAsia="Arial" w:hAnsi="Arial"/>
                <w:sz w:val="18"/>
                <w:szCs w:val="18"/>
                <w:color w:val="auto"/>
              </w:rPr>
              <w:t>$882 million ± $25 million</w:t>
            </w:r>
          </w:p>
        </w:tc>
        <w:tc>
          <w:tcPr>
            <w:tcW w:w="2180" w:type="dxa"/>
            <w:vAlign w:val="bottom"/>
            <w:gridSpan w:val="3"/>
            <w:shd w:val="clear" w:color="auto" w:fill="CBCBCB"/>
          </w:tcPr>
          <w:p>
            <w:pPr>
              <w:jc w:val="right"/>
              <w:ind w:right="1140"/>
              <w:spacing w:after="0"/>
              <w:rPr>
                <w:sz w:val="20"/>
                <w:szCs w:val="20"/>
                <w:color w:val="auto"/>
              </w:rPr>
            </w:pPr>
            <w:r>
              <w:rPr>
                <w:rFonts w:ascii="Arial" w:cs="Arial" w:eastAsia="Arial" w:hAnsi="Arial"/>
                <w:sz w:val="18"/>
                <w:szCs w:val="18"/>
                <w:color w:val="auto"/>
                <w:w w:val="98"/>
              </w:rPr>
              <w:t>$57 million B</w:t>
            </w:r>
          </w:p>
        </w:tc>
        <w:tc>
          <w:tcPr>
            <w:tcW w:w="21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$825 million ± $25 million</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660" w:type="dxa"/>
            <w:vAlign w:val="bottom"/>
            <w:gridSpan w:val="3"/>
          </w:tcPr>
          <w:p>
            <w:pPr>
              <w:jc w:val="right"/>
              <w:ind w:right="540"/>
              <w:spacing w:after="0"/>
              <w:rPr>
                <w:sz w:val="20"/>
                <w:szCs w:val="20"/>
                <w:color w:val="auto"/>
              </w:rPr>
            </w:pPr>
            <w:r>
              <w:rPr>
                <w:rFonts w:ascii="Arial" w:cs="Arial" w:eastAsia="Arial" w:hAnsi="Arial"/>
                <w:sz w:val="18"/>
                <w:szCs w:val="18"/>
                <w:color w:val="auto"/>
              </w:rPr>
              <w:t>$37 million</w:t>
            </w:r>
          </w:p>
        </w:tc>
        <w:tc>
          <w:tcPr>
            <w:tcW w:w="2180" w:type="dxa"/>
            <w:vAlign w:val="bottom"/>
            <w:gridSpan w:val="3"/>
          </w:tcPr>
          <w:p>
            <w:pPr>
              <w:jc w:val="right"/>
              <w:ind w:right="1120"/>
              <w:spacing w:after="0"/>
              <w:rPr>
                <w:sz w:val="20"/>
                <w:szCs w:val="20"/>
                <w:color w:val="auto"/>
              </w:rPr>
            </w:pPr>
            <w:r>
              <w:rPr>
                <w:rFonts w:ascii="Arial" w:cs="Arial" w:eastAsia="Arial" w:hAnsi="Arial"/>
                <w:sz w:val="18"/>
                <w:szCs w:val="18"/>
                <w:color w:val="auto"/>
              </w:rPr>
              <w:t>$2 million C</w:t>
            </w:r>
          </w:p>
        </w:tc>
        <w:tc>
          <w:tcPr>
            <w:tcW w:w="2120" w:type="dxa"/>
            <w:vAlign w:val="bottom"/>
          </w:tcPr>
          <w:p>
            <w:pPr>
              <w:jc w:val="right"/>
              <w:spacing w:after="0"/>
              <w:rPr>
                <w:sz w:val="20"/>
                <w:szCs w:val="20"/>
                <w:color w:val="auto"/>
              </w:rPr>
            </w:pPr>
            <w:r>
              <w:rPr>
                <w:rFonts w:ascii="Arial" w:cs="Arial" w:eastAsia="Arial" w:hAnsi="Arial"/>
                <w:sz w:val="18"/>
                <w:szCs w:val="18"/>
                <w:color w:val="auto"/>
              </w:rPr>
              <w:t>$35 million</w:t>
            </w:r>
          </w:p>
        </w:tc>
      </w:tr>
      <w:tr>
        <w:trPr>
          <w:trHeight w:val="229"/>
        </w:trPr>
        <w:tc>
          <w:tcPr>
            <w:tcW w:w="4280" w:type="dxa"/>
            <w:vAlign w:val="bottom"/>
            <w:shd w:val="clear" w:color="auto" w:fill="CBCBCB"/>
          </w:tcPr>
          <w:p>
            <w:pPr>
              <w:ind w:left="20"/>
              <w:spacing w:after="0" w:line="23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1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$0.41 ± $0.07</w:t>
            </w:r>
          </w:p>
        </w:tc>
        <w:tc>
          <w:tcPr>
            <w:tcW w:w="100" w:type="dxa"/>
            <w:vAlign w:val="bottom"/>
            <w:shd w:val="clear" w:color="auto" w:fill="CBCBCB"/>
          </w:tcPr>
          <w:p>
            <w:pPr>
              <w:spacing w:after="0"/>
              <w:rPr>
                <w:sz w:val="19"/>
                <w:szCs w:val="19"/>
                <w:color w:val="auto"/>
              </w:rPr>
            </w:pPr>
          </w:p>
        </w:tc>
        <w:tc>
          <w:tcPr>
            <w:tcW w:w="420" w:type="dxa"/>
            <w:vAlign w:val="bottom"/>
            <w:shd w:val="clear" w:color="auto" w:fill="CBCBCB"/>
          </w:tcPr>
          <w:p>
            <w:pPr>
              <w:spacing w:after="0"/>
              <w:rPr>
                <w:sz w:val="19"/>
                <w:szCs w:val="19"/>
                <w:color w:val="auto"/>
              </w:rPr>
            </w:pPr>
          </w:p>
        </w:tc>
        <w:tc>
          <w:tcPr>
            <w:tcW w:w="2180" w:type="dxa"/>
            <w:vAlign w:val="bottom"/>
            <w:gridSpan w:val="3"/>
            <w:shd w:val="clear" w:color="auto" w:fill="CBCBCB"/>
          </w:tcPr>
          <w:p>
            <w:pPr>
              <w:jc w:val="right"/>
              <w:ind w:right="460"/>
              <w:spacing w:after="0"/>
              <w:rPr>
                <w:sz w:val="20"/>
                <w:szCs w:val="20"/>
                <w:color w:val="auto"/>
              </w:rPr>
            </w:pPr>
            <w:r>
              <w:rPr>
                <w:rFonts w:ascii="Arial" w:cs="Arial" w:eastAsia="Arial" w:hAnsi="Arial"/>
                <w:sz w:val="18"/>
                <w:szCs w:val="18"/>
                <w:color w:val="auto"/>
              </w:rPr>
              <w:t>$0.34 A, B, C, D</w:t>
            </w:r>
          </w:p>
        </w:tc>
        <w:tc>
          <w:tcPr>
            <w:tcW w:w="21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$0.75 ± $0.07</w:t>
            </w:r>
          </w:p>
        </w:tc>
      </w:tr>
      <w:tr>
        <w:trPr>
          <w:trHeight w:val="55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29"/>
        </w:trPr>
        <w:tc>
          <w:tcPr>
            <w:tcW w:w="4280" w:type="dxa"/>
            <w:vAlign w:val="bottom"/>
            <w:tcBorders>
              <w:bottom w:val="single" w:sz="8" w:color="0090DA"/>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14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420" w:type="dxa"/>
            <w:vAlign w:val="bottom"/>
            <w:tcBorders>
              <w:bottom w:val="single" w:sz="8" w:color="0090DA"/>
            </w:tcBorders>
          </w:tcPr>
          <w:p>
            <w:pPr>
              <w:spacing w:after="0"/>
              <w:rPr>
                <w:sz w:val="19"/>
                <w:szCs w:val="19"/>
                <w:color w:val="auto"/>
              </w:rPr>
            </w:pPr>
          </w:p>
        </w:tc>
        <w:tc>
          <w:tcPr>
            <w:tcW w:w="190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2120" w:type="dxa"/>
            <w:vAlign w:val="bottom"/>
            <w:tcBorders>
              <w:bottom w:val="single" w:sz="8" w:color="0090DA"/>
            </w:tcBorders>
          </w:tcPr>
          <w:p>
            <w:pPr>
              <w:spacing w:after="0"/>
              <w:rPr>
                <w:sz w:val="19"/>
                <w:szCs w:val="19"/>
                <w:color w:val="auto"/>
              </w:rPr>
            </w:pPr>
          </w:p>
        </w:tc>
      </w:tr>
      <w:tr>
        <w:trPr>
          <w:trHeight w:val="34"/>
        </w:trPr>
        <w:tc>
          <w:tcPr>
            <w:tcW w:w="4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0"/>
        </w:trPr>
        <w:tc>
          <w:tcPr>
            <w:tcW w:w="694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A  Inventory accounting policy change to FIFO – cost of goods sold</w:t>
            </w:r>
          </w:p>
        </w:tc>
        <w:tc>
          <w:tcPr>
            <w:tcW w:w="2180" w:type="dxa"/>
            <w:vAlign w:val="bottom"/>
            <w:gridSpan w:val="3"/>
            <w:shd w:val="clear" w:color="auto" w:fill="D1D2D4"/>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A  Change in inventory cost absorption – cost of goods sold</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21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420" w:type="dxa"/>
            <w:vAlign w:val="bottom"/>
            <w:shd w:val="clear" w:color="auto" w:fill="D1D2D4"/>
          </w:tcPr>
          <w:p>
            <w:pPr>
              <w:spacing w:after="0"/>
              <w:rPr>
                <w:sz w:val="19"/>
                <w:szCs w:val="19"/>
                <w:color w:val="auto"/>
              </w:rPr>
            </w:pPr>
          </w:p>
        </w:tc>
        <w:tc>
          <w:tcPr>
            <w:tcW w:w="19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  Other – cost of goods sold</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94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19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B  Stock-based compensation – sales, general, and administrative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  Amortization of debt discount and other costs</w:t>
            </w:r>
          </w:p>
        </w:tc>
        <w:tc>
          <w:tcPr>
            <w:tcW w:w="21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420" w:type="dxa"/>
            <w:vAlign w:val="bottom"/>
            <w:shd w:val="clear" w:color="auto" w:fill="D1D2D4"/>
          </w:tcPr>
          <w:p>
            <w:pPr>
              <w:spacing w:after="0"/>
              <w:rPr>
                <w:sz w:val="19"/>
                <w:szCs w:val="19"/>
                <w:color w:val="auto"/>
              </w:rPr>
            </w:pPr>
          </w:p>
        </w:tc>
        <w:tc>
          <w:tcPr>
            <w:tcW w:w="19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940" w:type="dxa"/>
            <w:vAlign w:val="bottom"/>
            <w:tcBorders>
              <w:bottom w:val="single" w:sz="8" w:color="D1D2D4"/>
            </w:tcBorders>
            <w:gridSpan w:val="4"/>
          </w:tcPr>
          <w:p>
            <w:pPr>
              <w:ind w:left="20"/>
              <w:spacing w:after="0"/>
              <w:rPr>
                <w:sz w:val="20"/>
                <w:szCs w:val="20"/>
                <w:color w:val="auto"/>
              </w:rPr>
            </w:pPr>
            <w:r>
              <w:rPr>
                <w:rFonts w:ascii="Arial" w:cs="Arial" w:eastAsia="Arial" w:hAnsi="Arial"/>
                <w:sz w:val="18"/>
                <w:szCs w:val="18"/>
                <w:color w:val="auto"/>
              </w:rPr>
              <w:t>D  Tax effects of the above items and non-cash changes in net deferred income taxes</w:t>
            </w:r>
          </w:p>
        </w:tc>
        <w:tc>
          <w:tcPr>
            <w:tcW w:w="1900" w:type="dxa"/>
            <w:vAlign w:val="bottom"/>
            <w:tcBorders>
              <w:bottom w:val="single" w:sz="8" w:color="D1D2D4"/>
            </w:tcBorders>
          </w:tcPr>
          <w:p>
            <w:pPr>
              <w:spacing w:after="0"/>
              <w:rPr>
                <w:sz w:val="19"/>
                <w:szCs w:val="19"/>
                <w:color w:val="auto"/>
              </w:rPr>
            </w:pPr>
          </w:p>
        </w:tc>
        <w:tc>
          <w:tcPr>
            <w:tcW w:w="100" w:type="dxa"/>
            <w:vAlign w:val="bottom"/>
            <w:tcBorders>
              <w:bottom w:val="single" w:sz="8" w:color="D1D2D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280" w:type="dxa"/>
            <w:vAlign w:val="bottom"/>
            <w:shd w:val="clear" w:color="auto" w:fill="D1D2D4"/>
          </w:tcPr>
          <w:p>
            <w:pPr>
              <w:spacing w:after="0"/>
              <w:rPr>
                <w:sz w:val="21"/>
                <w:szCs w:val="21"/>
                <w:color w:val="auto"/>
              </w:rPr>
            </w:pPr>
          </w:p>
        </w:tc>
        <w:tc>
          <w:tcPr>
            <w:tcW w:w="2140" w:type="dxa"/>
            <w:vAlign w:val="bottom"/>
            <w:shd w:val="clear" w:color="auto" w:fill="D1D2D4"/>
          </w:tcPr>
          <w:p>
            <w:pPr>
              <w:spacing w:after="0"/>
              <w:rPr>
                <w:sz w:val="21"/>
                <w:szCs w:val="21"/>
                <w:color w:val="auto"/>
              </w:rPr>
            </w:pPr>
          </w:p>
        </w:tc>
        <w:tc>
          <w:tcPr>
            <w:tcW w:w="100" w:type="dxa"/>
            <w:vAlign w:val="bottom"/>
            <w:shd w:val="clear" w:color="auto" w:fill="D1D2D4"/>
          </w:tcPr>
          <w:p>
            <w:pPr>
              <w:spacing w:after="0"/>
              <w:rPr>
                <w:sz w:val="21"/>
                <w:szCs w:val="21"/>
                <w:color w:val="auto"/>
              </w:rPr>
            </w:pPr>
          </w:p>
        </w:tc>
        <w:tc>
          <w:tcPr>
            <w:tcW w:w="420" w:type="dxa"/>
            <w:vAlign w:val="bottom"/>
            <w:shd w:val="clear" w:color="auto" w:fill="D1D2D4"/>
          </w:tcPr>
          <w:p>
            <w:pPr>
              <w:spacing w:after="0"/>
              <w:rPr>
                <w:sz w:val="21"/>
                <w:szCs w:val="21"/>
                <w:color w:val="auto"/>
              </w:rPr>
            </w:pPr>
          </w:p>
        </w:tc>
        <w:tc>
          <w:tcPr>
            <w:tcW w:w="2180" w:type="dxa"/>
            <w:vAlign w:val="bottom"/>
            <w:gridSpan w:val="3"/>
            <w:shd w:val="clear" w:color="auto" w:fill="D1D2D4"/>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4280" w:type="dxa"/>
            <w:vAlign w:val="bottom"/>
            <w:tcBorders>
              <w:top w:val="single" w:sz="8" w:color="D1D2D4"/>
            </w:tcBorders>
          </w:tcPr>
          <w:p>
            <w:pPr>
              <w:spacing w:after="0" w:line="20" w:lineRule="exact"/>
              <w:rPr>
                <w:sz w:val="1"/>
                <w:szCs w:val="1"/>
                <w:color w:val="auto"/>
              </w:rPr>
            </w:pPr>
          </w:p>
        </w:tc>
        <w:tc>
          <w:tcPr>
            <w:tcW w:w="214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tcBorders>
          </w:tcPr>
          <w:p>
            <w:pPr>
              <w:spacing w:after="0" w:line="20" w:lineRule="exact"/>
              <w:rPr>
                <w:sz w:val="1"/>
                <w:szCs w:val="1"/>
                <w:color w:val="auto"/>
              </w:rPr>
            </w:pPr>
          </w:p>
        </w:tc>
        <w:tc>
          <w:tcPr>
            <w:tcW w:w="190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40" w:right="60" w:hanging="332"/>
        <w:spacing w:after="0" w:line="220"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1.14 billion diluted shares and non-GAAP earnings per share based on approximately 1.15 billion diluted shares.</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2021-01-07T15:03:55Z</dcterms:created>
  <dcterms:modified xsi:type="dcterms:W3CDTF">2021-01-07T15:03:55Z</dcterms:modified>
</cp:coreProperties>
</file>