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13G</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4)*</w:t>
      </w:r>
    </w:p>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ind w:left="5080"/>
        <w:spacing w:after="0"/>
        <w:rPr>
          <w:sz w:val="20"/>
          <w:szCs w:val="20"/>
          <w:color w:val="auto"/>
        </w:rPr>
      </w:pPr>
      <w:r>
        <w:rPr>
          <w:rFonts w:ascii="Arial" w:cs="Arial" w:eastAsia="Arial" w:hAnsi="Arial"/>
          <w:sz w:val="20"/>
          <w:szCs w:val="20"/>
          <w:color w:val="auto"/>
        </w:rPr>
        <w:t>(Name of Issuer)</w:t>
      </w:r>
    </w:p>
    <w:p>
      <w:pPr>
        <w:spacing w:after="0" w:line="201" w:lineRule="exact"/>
        <w:rPr>
          <w:sz w:val="24"/>
          <w:szCs w:val="24"/>
          <w:color w:val="auto"/>
        </w:rPr>
      </w:pPr>
    </w:p>
    <w:p>
      <w:pPr>
        <w:ind w:left="5060"/>
        <w:spacing w:after="0"/>
        <w:rPr>
          <w:sz w:val="20"/>
          <w:szCs w:val="20"/>
          <w:color w:val="auto"/>
        </w:rPr>
      </w:pPr>
      <w:r>
        <w:rPr>
          <w:rFonts w:ascii="Arial" w:cs="Arial" w:eastAsia="Arial" w:hAnsi="Arial"/>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133985</wp:posOffset>
            </wp:positionV>
            <wp:extent cx="126174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1745" cy="41910"/>
                    </a:xfrm>
                    <a:prstGeom prst="rect">
                      <a:avLst/>
                    </a:prstGeom>
                    <a:noFill/>
                  </pic:spPr>
                </pic:pic>
              </a:graphicData>
            </a:graphic>
          </wp:anchor>
        </w:drawing>
      </w:r>
    </w:p>
    <w:p>
      <w:pPr>
        <w:spacing w:after="0" w:line="317"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(CUSIP Number)</w:t>
      </w:r>
    </w:p>
    <w:p>
      <w:pPr>
        <w:spacing w:after="0" w:line="201" w:lineRule="exact"/>
        <w:rPr>
          <w:sz w:val="24"/>
          <w:szCs w:val="24"/>
          <w:color w:val="auto"/>
        </w:rPr>
      </w:pPr>
    </w:p>
    <w:p>
      <w:pPr>
        <w:ind w:left="5160"/>
        <w:spacing w:after="0"/>
        <w:rPr>
          <w:sz w:val="20"/>
          <w:szCs w:val="20"/>
          <w:color w:val="auto"/>
        </w:rPr>
      </w:pPr>
      <w:r>
        <w:rPr>
          <w:rFonts w:ascii="Arial" w:cs="Arial" w:eastAsia="Arial" w:hAnsi="Arial"/>
          <w:sz w:val="20"/>
          <w:szCs w:val="20"/>
          <w:b w:val="1"/>
          <w:bCs w:val="1"/>
          <w:color w:val="auto"/>
        </w:rPr>
        <w:t>July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2827020</wp:posOffset>
            </wp:positionH>
            <wp:positionV relativeFrom="paragraph">
              <wp:posOffset>133985</wp:posOffset>
            </wp:positionV>
            <wp:extent cx="166814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8145" cy="41910"/>
                    </a:xfrm>
                    <a:prstGeom prst="rect">
                      <a:avLst/>
                    </a:prstGeom>
                    <a:noFill/>
                  </pic:spPr>
                </pic:pic>
              </a:graphicData>
            </a:graphic>
          </wp:anchor>
        </w:drawing>
      </w:r>
    </w:p>
    <w:p>
      <w:pPr>
        <w:spacing w:after="0" w:line="317" w:lineRule="exact"/>
        <w:rPr>
          <w:sz w:val="24"/>
          <w:szCs w:val="24"/>
          <w:color w:val="auto"/>
        </w:rPr>
      </w:pPr>
    </w:p>
    <w:p>
      <w:pPr>
        <w:ind w:left="3480"/>
        <w:spacing w:after="0"/>
        <w:rPr>
          <w:sz w:val="20"/>
          <w:szCs w:val="20"/>
          <w:color w:val="auto"/>
        </w:rPr>
      </w:pPr>
      <w:r>
        <w:rPr>
          <w:rFonts w:ascii="Arial" w:cs="Arial" w:eastAsia="Arial" w:hAnsi="Arial"/>
          <w:sz w:val="20"/>
          <w:szCs w:val="20"/>
          <w:color w:val="auto"/>
        </w:rPr>
        <w:t>(Date of Event which Requires Filing of this Statement)</w:t>
      </w:r>
    </w:p>
    <w:p>
      <w:pPr>
        <w:spacing w:after="0" w:line="205"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05" w:lineRule="exact"/>
        <w:rPr>
          <w:sz w:val="24"/>
          <w:szCs w:val="24"/>
          <w:color w:val="auto"/>
        </w:rPr>
      </w:pPr>
    </w:p>
    <w:p>
      <w:pPr>
        <w:jc w:val="both"/>
        <w:ind w:left="5020" w:right="5000"/>
        <w:spacing w:after="0" w:line="298" w:lineRule="auto"/>
        <w:tabs>
          <w:tab w:leader="none" w:pos="5359"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 [ ] Rule 13d-1(c) [ ] Rule 13d-1(d)</w:t>
      </w:r>
    </w:p>
    <w:p>
      <w:pPr>
        <w:spacing w:after="0" w:line="125" w:lineRule="exact"/>
        <w:rPr>
          <w:rFonts w:ascii="Arial" w:cs="Arial" w:eastAsia="Arial" w:hAnsi="Arial"/>
          <w:sz w:val="18"/>
          <w:szCs w:val="18"/>
          <w:color w:val="auto"/>
        </w:rPr>
      </w:pPr>
    </w:p>
    <w:p>
      <w:pPr>
        <w:ind w:right="280"/>
        <w:spacing w:after="0" w:line="329"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8" w:lineRule="exact"/>
        <w:rPr>
          <w:sz w:val="24"/>
          <w:szCs w:val="24"/>
          <w:color w:val="auto"/>
        </w:rPr>
      </w:pPr>
    </w:p>
    <w:p>
      <w:pPr>
        <w:ind w:right="500"/>
        <w:spacing w:after="0" w:line="256"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31393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wp:posOffset>
            </wp:positionV>
            <wp:extent cx="1647190" cy="23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315835" cy="4166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5835" cy="4166870"/>
                    </a:xfrm>
                    <a:prstGeom prst="rect">
                      <a:avLst/>
                    </a:prstGeom>
                    <a:noFill/>
                  </pic:spPr>
                </pic:pic>
              </a:graphicData>
            </a:graphic>
          </wp:anchor>
        </w:drawing>
      </w:r>
    </w:p>
    <w:p>
      <w:pPr>
        <w:spacing w:after="0" w:line="393" w:lineRule="exact"/>
        <w:rPr>
          <w:sz w:val="24"/>
          <w:szCs w:val="24"/>
          <w:color w:val="auto"/>
        </w:rPr>
      </w:pPr>
    </w:p>
    <w:p>
      <w:pPr>
        <w:ind w:left="1380" w:hanging="776"/>
        <w:spacing w:after="0"/>
        <w:tabs>
          <w:tab w:leader="none" w:pos="13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w:t>
      </w:r>
    </w:p>
    <w:p>
      <w:pPr>
        <w:spacing w:after="0" w:line="18" w:lineRule="exact"/>
        <w:rPr>
          <w:rFonts w:ascii="Arial" w:cs="Arial" w:eastAsia="Arial" w:hAnsi="Arial"/>
          <w:sz w:val="20"/>
          <w:szCs w:val="20"/>
          <w:color w:val="auto"/>
        </w:rPr>
      </w:pPr>
    </w:p>
    <w:p>
      <w:pPr>
        <w:ind w:left="1380" w:right="480"/>
        <w:spacing w:after="0" w:line="253" w:lineRule="auto"/>
        <w:rPr>
          <w:rFonts w:ascii="Arial" w:cs="Arial" w:eastAsia="Arial" w:hAnsi="Arial"/>
          <w:sz w:val="20"/>
          <w:szCs w:val="20"/>
          <w:color w:val="auto"/>
        </w:rPr>
      </w:pPr>
      <w:r>
        <w:rPr>
          <w:rFonts w:ascii="Arial" w:cs="Arial" w:eastAsia="Arial" w:hAnsi="Arial"/>
          <w:sz w:val="20"/>
          <w:szCs w:val="20"/>
          <w:color w:val="auto"/>
        </w:rPr>
        <w:t>Orbis Investment Management (U.S.), LLC ("OIMUS"), Orbis Investment Management Limited ("OIML") and Orbis Asset Management Limited ("OAML")</w:t>
      </w:r>
    </w:p>
    <w:p>
      <w:pPr>
        <w:spacing w:after="0" w:line="189"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I.R.S. IDENTIFICATION NO. OF ABOVE PERSON (ENTITIES ONLY)</w:t>
      </w:r>
    </w:p>
    <w:p>
      <w:pPr>
        <w:spacing w:after="0" w:line="19"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OIMUS: 26-0583752</w:t>
      </w:r>
    </w:p>
    <w:p>
      <w:pPr>
        <w:spacing w:after="0" w:line="123" w:lineRule="exact"/>
        <w:rPr>
          <w:sz w:val="24"/>
          <w:szCs w:val="24"/>
          <w:color w:val="auto"/>
        </w:rPr>
      </w:pPr>
    </w:p>
    <w:p>
      <w:pPr>
        <w:ind w:left="1380" w:hanging="776"/>
        <w:spacing w:after="0"/>
        <w:tabs>
          <w:tab w:leader="none" w:pos="1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8" w:lineRule="exact"/>
        <w:rPr>
          <w:rFonts w:ascii="Arial" w:cs="Arial" w:eastAsia="Arial" w:hAnsi="Arial"/>
          <w:sz w:val="20"/>
          <w:szCs w:val="20"/>
          <w:color w:val="auto"/>
        </w:rPr>
      </w:pPr>
    </w:p>
    <w:p>
      <w:pPr>
        <w:ind w:left="1700" w:hanging="327"/>
        <w:spacing w:after="0"/>
        <w:tabs>
          <w:tab w:leader="none" w:pos="1700" w:val="left"/>
        </w:tabs>
        <w:numPr>
          <w:ilvl w:val="1"/>
          <w:numId w:val="3"/>
        </w:numPr>
        <w:rPr>
          <w:rFonts w:ascii="Arial" w:cs="Arial" w:eastAsia="Arial" w:hAnsi="Arial"/>
          <w:sz w:val="20"/>
          <w:szCs w:val="20"/>
          <w:color w:val="auto"/>
        </w:rPr>
      </w:pPr>
      <w:r>
        <w:rPr>
          <w:rFonts w:ascii="Arial" w:cs="Arial" w:eastAsia="Arial" w:hAnsi="Arial"/>
          <w:sz w:val="20"/>
          <w:szCs w:val="20"/>
          <w:color w:val="auto"/>
        </w:rPr>
        <w:t>[X]</w:t>
      </w:r>
    </w:p>
    <w:p>
      <w:pPr>
        <w:ind w:left="1720" w:hanging="347"/>
        <w:spacing w:after="0"/>
        <w:tabs>
          <w:tab w:leader="none" w:pos="1720" w:val="left"/>
        </w:tabs>
        <w:numPr>
          <w:ilvl w:val="1"/>
          <w:numId w:val="3"/>
        </w:numPr>
        <w:rPr>
          <w:rFonts w:ascii="Arial" w:cs="Arial" w:eastAsia="Arial" w:hAnsi="Arial"/>
          <w:sz w:val="20"/>
          <w:szCs w:val="20"/>
          <w:color w:val="auto"/>
        </w:rPr>
      </w:pPr>
      <w:r>
        <w:rPr>
          <w:rFonts w:ascii="Arial" w:cs="Arial" w:eastAsia="Arial" w:hAnsi="Arial"/>
          <w:sz w:val="20"/>
          <w:szCs w:val="20"/>
          <w:color w:val="auto"/>
        </w:rPr>
        <w:t>[  ]</w:t>
      </w:r>
    </w:p>
    <w:p>
      <w:pPr>
        <w:spacing w:after="0" w:line="123" w:lineRule="exact"/>
        <w:rPr>
          <w:sz w:val="24"/>
          <w:szCs w:val="24"/>
          <w:color w:val="auto"/>
        </w:rPr>
      </w:pPr>
    </w:p>
    <w:p>
      <w:pPr>
        <w:ind w:left="1380" w:hanging="776"/>
        <w:spacing w:after="0"/>
        <w:tabs>
          <w:tab w:leader="none" w:pos="1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72" w:lineRule="exact"/>
        <w:rPr>
          <w:sz w:val="24"/>
          <w:szCs w:val="24"/>
          <w:color w:val="auto"/>
        </w:rPr>
      </w:pPr>
    </w:p>
    <w:p>
      <w:pPr>
        <w:ind w:left="1380" w:hanging="776"/>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8" w:lineRule="exact"/>
        <w:rPr>
          <w:rFonts w:ascii="Arial" w:cs="Arial" w:eastAsia="Arial" w:hAnsi="Arial"/>
          <w:sz w:val="20"/>
          <w:szCs w:val="20"/>
          <w:color w:val="auto"/>
        </w:rPr>
      </w:pPr>
    </w:p>
    <w:p>
      <w:pPr>
        <w:ind w:left="1380" w:right="320"/>
        <w:spacing w:after="0" w:line="253" w:lineRule="auto"/>
        <w:rPr>
          <w:rFonts w:ascii="Arial" w:cs="Arial" w:eastAsia="Arial" w:hAnsi="Arial"/>
          <w:sz w:val="20"/>
          <w:szCs w:val="20"/>
          <w:color w:val="auto"/>
        </w:rPr>
      </w:pPr>
      <w:r>
        <w:rPr>
          <w:rFonts w:ascii="Arial" w:cs="Arial" w:eastAsia="Arial" w:hAnsi="Arial"/>
          <w:sz w:val="20"/>
          <w:szCs w:val="20"/>
          <w:color w:val="auto"/>
        </w:rPr>
        <w:t>OIMUS is a company organised under the laws of Delaware, U.S.A.; OAML and OIML are companies organised under the laws of Bermuda</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1320" w:type="dxa"/>
            <w:vAlign w:val="bottom"/>
            <w:tcBorders>
              <w:top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jc w:val="right"/>
              <w:ind w:right="198"/>
              <w:spacing w:after="0"/>
              <w:rPr>
                <w:sz w:val="20"/>
                <w:szCs w:val="20"/>
                <w:color w:val="auto"/>
              </w:rPr>
            </w:pPr>
            <w:r>
              <w:rPr>
                <w:rFonts w:ascii="Arial" w:cs="Arial" w:eastAsia="Arial" w:hAnsi="Arial"/>
                <w:sz w:val="20"/>
                <w:szCs w:val="20"/>
                <w:color w:val="auto"/>
              </w:rPr>
              <w:t>5</w:t>
            </w:r>
          </w:p>
        </w:tc>
        <w:tc>
          <w:tcPr>
            <w:tcW w:w="900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61"/>
        </w:trPr>
        <w:tc>
          <w:tcPr>
            <w:tcW w:w="18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9"/>
              </w:rPr>
              <w:t>NUMBER OF</w:t>
            </w: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64,605,991</w:t>
            </w:r>
          </w:p>
        </w:tc>
        <w:tc>
          <w:tcPr>
            <w:tcW w:w="0" w:type="dxa"/>
            <w:vAlign w:val="bottom"/>
          </w:tcPr>
          <w:p>
            <w:pPr>
              <w:spacing w:after="0"/>
              <w:rPr>
                <w:sz w:val="1"/>
                <w:szCs w:val="1"/>
                <w:color w:val="auto"/>
              </w:rPr>
            </w:pPr>
          </w:p>
        </w:tc>
      </w:tr>
      <w:tr>
        <w:trPr>
          <w:trHeight w:val="55"/>
        </w:trPr>
        <w:tc>
          <w:tcPr>
            <w:tcW w:w="1840" w:type="dxa"/>
            <w:vAlign w:val="bottom"/>
            <w:tcBorders>
              <w:right w:val="single" w:sz="8" w:color="auto"/>
            </w:tcBorders>
            <w:gridSpan w:val="2"/>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7"/>
              </w:rPr>
              <w:t>SHARES</w:t>
            </w:r>
          </w:p>
        </w:tc>
        <w:tc>
          <w:tcPr>
            <w:tcW w:w="680" w:type="dxa"/>
            <w:vAlign w:val="bottom"/>
            <w:tcBorders>
              <w:right w:val="single" w:sz="8" w:color="auto"/>
            </w:tcBorders>
          </w:tcPr>
          <w:p>
            <w:pPr>
              <w:jc w:val="right"/>
              <w:ind w:right="198"/>
              <w:spacing w:after="0"/>
              <w:rPr>
                <w:sz w:val="20"/>
                <w:szCs w:val="20"/>
                <w:color w:val="auto"/>
              </w:rPr>
            </w:pPr>
            <w:r>
              <w:rPr>
                <w:rFonts w:ascii="Arial" w:cs="Arial" w:eastAsia="Arial" w:hAnsi="Arial"/>
                <w:sz w:val="20"/>
                <w:szCs w:val="20"/>
                <w:color w:val="auto"/>
              </w:rPr>
              <w:t>6</w:t>
            </w:r>
          </w:p>
        </w:tc>
        <w:tc>
          <w:tcPr>
            <w:tcW w:w="9000" w:type="dxa"/>
            <w:vAlign w:val="bottom"/>
          </w:tcPr>
          <w:p>
            <w:pPr>
              <w:ind w:left="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27"/>
        </w:trPr>
        <w:tc>
          <w:tcPr>
            <w:tcW w:w="184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0"/>
                <w:szCs w:val="20"/>
                <w:color w:val="auto"/>
              </w:rPr>
              <w:t>BENEFICIALLY</w:t>
            </w:r>
          </w:p>
        </w:tc>
        <w:tc>
          <w:tcPr>
            <w:tcW w:w="680" w:type="dxa"/>
            <w:vAlign w:val="bottom"/>
            <w:tcBorders>
              <w:right w:val="single" w:sz="8" w:color="auto"/>
            </w:tcBorders>
          </w:tcPr>
          <w:p>
            <w:pPr>
              <w:spacing w:after="0"/>
              <w:rPr>
                <w:sz w:val="19"/>
                <w:szCs w:val="19"/>
                <w:color w:val="auto"/>
              </w:rPr>
            </w:pPr>
          </w:p>
        </w:tc>
        <w:tc>
          <w:tcPr>
            <w:tcW w:w="9000" w:type="dxa"/>
            <w:vAlign w:val="bottom"/>
          </w:tcPr>
          <w:p>
            <w:pPr>
              <w:ind w:left="60"/>
              <w:spacing w:after="0" w:line="228"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19"/>
        </w:trPr>
        <w:tc>
          <w:tcPr>
            <w:tcW w:w="1840" w:type="dxa"/>
            <w:vAlign w:val="bottom"/>
            <w:tcBorders>
              <w:right w:val="single" w:sz="8" w:color="auto"/>
            </w:tcBorders>
            <w:gridSpan w:val="2"/>
            <w:vMerge w:val="restart"/>
          </w:tcPr>
          <w:p>
            <w:pPr>
              <w:jc w:val="center"/>
              <w:ind w:right="20"/>
              <w:spacing w:after="0" w:line="212" w:lineRule="exact"/>
              <w:rPr>
                <w:sz w:val="20"/>
                <w:szCs w:val="20"/>
                <w:color w:val="auto"/>
              </w:rPr>
            </w:pPr>
            <w:r>
              <w:rPr>
                <w:rFonts w:ascii="Arial" w:cs="Arial" w:eastAsia="Arial" w:hAnsi="Arial"/>
                <w:sz w:val="20"/>
                <w:szCs w:val="20"/>
                <w:color w:val="auto"/>
              </w:rPr>
              <w:t>OWNED BY</w:t>
            </w:r>
          </w:p>
        </w:tc>
        <w:tc>
          <w:tcPr>
            <w:tcW w:w="680" w:type="dxa"/>
            <w:vAlign w:val="bottom"/>
            <w:tcBorders>
              <w:bottom w:val="single" w:sz="8" w:color="auto"/>
              <w:right w:val="single" w:sz="8" w:color="auto"/>
            </w:tcBorders>
          </w:tcPr>
          <w:p>
            <w:pPr>
              <w:spacing w:after="0"/>
              <w:rPr>
                <w:sz w:val="10"/>
                <w:szCs w:val="10"/>
                <w:color w:val="auto"/>
              </w:rPr>
            </w:pPr>
          </w:p>
        </w:tc>
        <w:tc>
          <w:tcPr>
            <w:tcW w:w="9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4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7</w:t>
            </w:r>
          </w:p>
        </w:tc>
        <w:tc>
          <w:tcPr>
            <w:tcW w:w="900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01"/>
        </w:trPr>
        <w:tc>
          <w:tcPr>
            <w:tcW w:w="18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20"/>
                <w:szCs w:val="20"/>
                <w:color w:val="auto"/>
              </w:rPr>
              <w:t>EACH</w:t>
            </w:r>
          </w:p>
        </w:tc>
        <w:tc>
          <w:tcPr>
            <w:tcW w:w="680" w:type="dxa"/>
            <w:vAlign w:val="bottom"/>
            <w:tcBorders>
              <w:right w:val="single" w:sz="8" w:color="auto"/>
            </w:tcBorders>
            <w:vMerge w:val="continue"/>
          </w:tcPr>
          <w:p>
            <w:pPr>
              <w:spacing w:after="0"/>
              <w:rPr>
                <w:sz w:val="17"/>
                <w:szCs w:val="17"/>
                <w:color w:val="auto"/>
              </w:rPr>
            </w:pPr>
          </w:p>
        </w:tc>
        <w:tc>
          <w:tcPr>
            <w:tcW w:w="9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95"/>
              </w:rPr>
              <w:t>REPORTING</w:t>
            </w: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64,605,991</w:t>
            </w:r>
          </w:p>
        </w:tc>
        <w:tc>
          <w:tcPr>
            <w:tcW w:w="0" w:type="dxa"/>
            <w:vAlign w:val="bottom"/>
          </w:tcPr>
          <w:p>
            <w:pPr>
              <w:spacing w:after="0"/>
              <w:rPr>
                <w:sz w:val="1"/>
                <w:szCs w:val="1"/>
                <w:color w:val="auto"/>
              </w:rPr>
            </w:pPr>
          </w:p>
        </w:tc>
      </w:tr>
      <w:tr>
        <w:trPr>
          <w:trHeight w:val="47"/>
        </w:trPr>
        <w:tc>
          <w:tcPr>
            <w:tcW w:w="18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6"/>
              </w:rPr>
              <w:t>PERSON WITH</w:t>
            </w: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840" w:type="dxa"/>
            <w:vAlign w:val="bottom"/>
            <w:tcBorders>
              <w:right w:val="single" w:sz="8" w:color="auto"/>
            </w:tcBorders>
            <w:gridSpan w:val="2"/>
            <w:vMerge w:val="continue"/>
          </w:tcPr>
          <w:p>
            <w:pPr>
              <w:spacing w:after="0"/>
              <w:rPr>
                <w:sz w:val="16"/>
                <w:szCs w:val="1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8</w:t>
            </w:r>
          </w:p>
        </w:tc>
        <w:tc>
          <w:tcPr>
            <w:tcW w:w="900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72"/>
        </w:trPr>
        <w:tc>
          <w:tcPr>
            <w:tcW w:w="132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9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55"/>
        </w:trPr>
        <w:tc>
          <w:tcPr>
            <w:tcW w:w="13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3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370" w:right="139" w:bottom="0" w:gutter="0" w:footer="0" w:header="0"/>
        </w:sectPr>
      </w:pPr>
    </w:p>
    <w:bookmarkStart w:id="1" w:name="page2"/>
    <w:bookmarkEnd w:id="1"/>
    <w:p>
      <w:pPr>
        <w:ind w:left="1320" w:right="2680" w:hanging="776"/>
        <w:spacing w:after="0" w:line="249" w:lineRule="auto"/>
        <w:tabs>
          <w:tab w:leader="none" w:pos="13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OAML: 136,659</w:t>
      </w:r>
    </w:p>
    <w:p>
      <w:pPr>
        <w:ind w:left="1320"/>
        <w:spacing w:after="0"/>
        <w:rPr>
          <w:rFonts w:ascii="Arial" w:cs="Arial" w:eastAsia="Arial" w:hAnsi="Arial"/>
          <w:sz w:val="20"/>
          <w:szCs w:val="20"/>
          <w:color w:val="auto"/>
        </w:rPr>
      </w:pPr>
      <w:r>
        <w:rPr>
          <w:rFonts w:ascii="Arial" w:cs="Arial" w:eastAsia="Arial" w:hAnsi="Arial"/>
          <w:sz w:val="20"/>
          <w:szCs w:val="20"/>
          <w:color w:val="auto"/>
        </w:rPr>
        <w:t>OIMUS: 477,003</w:t>
      </w:r>
    </w:p>
    <w:p>
      <w:pPr>
        <w:ind w:left="1320"/>
        <w:spacing w:after="0"/>
        <w:rPr>
          <w:rFonts w:ascii="Arial" w:cs="Arial" w:eastAsia="Arial" w:hAnsi="Arial"/>
          <w:sz w:val="20"/>
          <w:szCs w:val="20"/>
          <w:color w:val="auto"/>
        </w:rPr>
      </w:pPr>
      <w:r>
        <w:rPr>
          <w:rFonts w:ascii="Arial" w:cs="Arial" w:eastAsia="Arial" w:hAnsi="Arial"/>
          <w:sz w:val="20"/>
          <w:szCs w:val="20"/>
          <w:color w:val="auto"/>
        </w:rPr>
        <w:t>OIML: 63,992,329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-582295</wp:posOffset>
            </wp:positionV>
            <wp:extent cx="7315835" cy="1783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5835" cy="1783080"/>
                    </a:xfrm>
                    <a:prstGeom prst="rect">
                      <a:avLst/>
                    </a:prstGeom>
                    <a:noFill/>
                  </pic:spPr>
                </pic:pic>
              </a:graphicData>
            </a:graphic>
          </wp:anchor>
        </w:drawing>
      </w:r>
    </w:p>
    <w:p>
      <w:pPr>
        <w:spacing w:after="0" w:line="103" w:lineRule="exact"/>
        <w:rPr>
          <w:sz w:val="20"/>
          <w:szCs w:val="20"/>
          <w:color w:val="auto"/>
        </w:rPr>
      </w:pPr>
    </w:p>
    <w:p>
      <w:pPr>
        <w:ind w:left="1320" w:hanging="827"/>
        <w:spacing w:after="0"/>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w:t>
      </w:r>
    </w:p>
    <w:p>
      <w:pPr>
        <w:spacing w:after="0" w:line="371" w:lineRule="exact"/>
        <w:rPr>
          <w:rFonts w:ascii="Arial" w:cs="Arial" w:eastAsia="Arial" w:hAnsi="Arial"/>
          <w:sz w:val="20"/>
          <w:szCs w:val="20"/>
          <w:color w:val="auto"/>
        </w:rPr>
      </w:pPr>
    </w:p>
    <w:p>
      <w:pPr>
        <w:ind w:left="1320" w:right="4380" w:hanging="823"/>
        <w:spacing w:after="0" w:line="272" w:lineRule="auto"/>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PERCENT OF CLASS REPRESENTED BY AMOUNT IN ROW (9) 6.22%</w:t>
      </w:r>
    </w:p>
    <w:p>
      <w:pPr>
        <w:spacing w:after="0" w:line="80" w:lineRule="exact"/>
        <w:rPr>
          <w:rFonts w:ascii="Arial" w:cs="Arial" w:eastAsia="Arial" w:hAnsi="Arial"/>
          <w:sz w:val="20"/>
          <w:szCs w:val="20"/>
          <w:color w:val="auto"/>
        </w:rPr>
      </w:pPr>
    </w:p>
    <w:p>
      <w:pPr>
        <w:ind w:left="1320" w:hanging="827"/>
        <w:spacing w:after="0"/>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8" w:lineRule="exact"/>
        <w:rPr>
          <w:rFonts w:ascii="Arial" w:cs="Arial" w:eastAsia="Arial" w:hAnsi="Arial"/>
          <w:sz w:val="20"/>
          <w:szCs w:val="20"/>
          <w:color w:val="auto"/>
        </w:rPr>
      </w:pPr>
    </w:p>
    <w:p>
      <w:pPr>
        <w:ind w:left="1320"/>
        <w:spacing w:after="0"/>
        <w:rPr>
          <w:rFonts w:ascii="Arial" w:cs="Arial" w:eastAsia="Arial" w:hAnsi="Arial"/>
          <w:sz w:val="20"/>
          <w:szCs w:val="20"/>
          <w:color w:val="auto"/>
        </w:rPr>
      </w:pPr>
      <w:r>
        <w:rPr>
          <w:rFonts w:ascii="Arial" w:cs="Arial" w:eastAsia="Arial" w:hAnsi="Arial"/>
          <w:sz w:val="20"/>
          <w:szCs w:val="20"/>
          <w:color w:val="auto"/>
        </w:rPr>
        <w:t>FI (OIML); OO (OAML and OIMUS)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132715</wp:posOffset>
            </wp:positionV>
            <wp:extent cx="731393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300990</wp:posOffset>
            </wp:positionV>
            <wp:extent cx="1647190" cy="232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CUSIP No.: 595112103</w:t>
      </w:r>
    </w:p>
    <w:p>
      <w:pPr>
        <w:spacing w:after="0" w:line="255"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1(a).</w:t>
        <w:tab/>
        <w:t>NAME OF ISSUER: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Micron Technology, Inc</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1(b).</w:t>
        <w:tab/>
        <w:t>ADDRESS OF ISSUER'S PRINCIPAL EXECUTIVE OFFICES: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8000 S. Federal Way</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P.O. Box 6</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Boise, ID 83707-0006</w:t>
      </w:r>
    </w:p>
    <w:p>
      <w:pPr>
        <w:spacing w:after="0" w:line="171"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2(a).</w:t>
        <w:tab/>
        <w:t>NAME OF PERSON FILING:</w:t>
      </w:r>
    </w:p>
    <w:p>
      <w:pPr>
        <w:spacing w:after="0" w:line="69" w:lineRule="exact"/>
        <w:rPr>
          <w:sz w:val="20"/>
          <w:szCs w:val="20"/>
          <w:color w:val="auto"/>
        </w:rPr>
      </w:pPr>
    </w:p>
    <w:p>
      <w:pPr>
        <w:ind w:left="1380" w:right="420"/>
        <w:spacing w:after="0" w:line="272" w:lineRule="auto"/>
        <w:rPr>
          <w:sz w:val="20"/>
          <w:szCs w:val="20"/>
          <w:color w:val="auto"/>
        </w:rPr>
      </w:pPr>
      <w:r>
        <w:rPr>
          <w:rFonts w:ascii="Arial" w:cs="Arial" w:eastAsia="Arial" w:hAnsi="Arial"/>
          <w:sz w:val="20"/>
          <w:szCs w:val="20"/>
          <w:color w:val="auto"/>
        </w:rPr>
        <w:t>Orbis Investment Management (U.S.), LLC ("OIMUS"), Orbis Investment Management Limited ("OIML") and Orbis Asset Management Limited ("OAML")</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2(b).</w:t>
        <w:tab/>
        <w:t>ADDRESS OF PRINCIPAL BUSINESS OFFICE OR, IF NONE, RESIDENCE:</w:t>
      </w:r>
    </w:p>
    <w:p>
      <w:pPr>
        <w:spacing w:after="0" w:line="69" w:lineRule="exact"/>
        <w:rPr>
          <w:sz w:val="20"/>
          <w:szCs w:val="20"/>
          <w:color w:val="auto"/>
        </w:rPr>
      </w:pPr>
    </w:p>
    <w:p>
      <w:pPr>
        <w:ind w:left="1380" w:right="280"/>
        <w:spacing w:after="0" w:line="272" w:lineRule="auto"/>
        <w:rPr>
          <w:sz w:val="20"/>
          <w:szCs w:val="20"/>
          <w:color w:val="auto"/>
        </w:rPr>
      </w:pPr>
      <w:r>
        <w:rPr>
          <w:rFonts w:ascii="Arial" w:cs="Arial" w:eastAsia="Arial" w:hAnsi="Arial"/>
          <w:sz w:val="20"/>
          <w:szCs w:val="20"/>
          <w:color w:val="auto"/>
        </w:rPr>
        <w:t>For OIML and OAML: Orbis House, 25 Front Street, Hamilton Bermuda HM11; For OIMUS: 600 Montgomery Street, Suite 3800, San Francisco, CA 94111, USA</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69" w:lineRule="exact"/>
        <w:rPr>
          <w:sz w:val="20"/>
          <w:szCs w:val="20"/>
          <w:color w:val="auto"/>
        </w:rPr>
      </w:pPr>
    </w:p>
    <w:p>
      <w:pPr>
        <w:ind w:left="1380" w:right="260"/>
        <w:spacing w:after="0" w:line="272" w:lineRule="auto"/>
        <w:rPr>
          <w:sz w:val="20"/>
          <w:szCs w:val="20"/>
          <w:color w:val="auto"/>
        </w:rPr>
      </w:pPr>
      <w:r>
        <w:rPr>
          <w:rFonts w:ascii="Arial" w:cs="Arial" w:eastAsia="Arial" w:hAnsi="Arial"/>
          <w:sz w:val="20"/>
          <w:szCs w:val="20"/>
          <w:color w:val="auto"/>
        </w:rPr>
        <w:t>OIMUS is a company organised under the laws of Delaware, U.S.A.; OAML and OIML are companies organised under the laws of Bermuda</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2(d).</w:t>
        <w:tab/>
        <w:t>TITLE OF CLASS OF SECURITIES: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Common Stock</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20"/>
          <w:szCs w:val="20"/>
          <w:b w:val="1"/>
          <w:bCs w:val="1"/>
          <w:color w:val="auto"/>
        </w:rPr>
        <w:t>CUSIP NUMBER: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595112103</w:t>
      </w:r>
    </w:p>
    <w:p>
      <w:pPr>
        <w:spacing w:after="0" w:line="189" w:lineRule="exact"/>
        <w:rPr>
          <w:sz w:val="20"/>
          <w:szCs w:val="20"/>
          <w:color w:val="auto"/>
        </w:rPr>
      </w:pPr>
    </w:p>
    <w:p>
      <w:pPr>
        <w:ind w:left="1320" w:hanging="1305"/>
        <w:spacing w:after="0" w:line="276" w:lineRule="auto"/>
        <w:tabs>
          <w:tab w:leader="none" w:pos="13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SECTION 240.13d-1(b), or 13d-2(b) or (c) CHECK WHETHER THE PERSON FILING IS A:</w:t>
      </w:r>
    </w:p>
    <w:p>
      <w:pPr>
        <w:spacing w:after="0" w:line="26" w:lineRule="exact"/>
        <w:rPr>
          <w:sz w:val="20"/>
          <w:szCs w:val="20"/>
          <w:color w:val="auto"/>
        </w:rPr>
      </w:pPr>
    </w:p>
    <w:tbl>
      <w:tblPr>
        <w:tblLayout w:type="fixed"/>
        <w:tblInd w:w="1340" w:type="dxa"/>
        <w:tblCellMar>
          <w:top w:w="0" w:type="dxa"/>
          <w:left w:w="0" w:type="dxa"/>
          <w:bottom w:w="0" w:type="dxa"/>
          <w:right w:w="0" w:type="dxa"/>
        </w:tblCellMar>
      </w:tblPr>
      <w:tr>
        <w:trPr>
          <w:trHeight w:val="261"/>
        </w:trPr>
        <w:tc>
          <w:tcPr>
            <w:tcW w:w="440" w:type="dxa"/>
            <w:vAlign w:val="bottom"/>
          </w:tcPr>
          <w:p>
            <w:pPr>
              <w:spacing w:after="0"/>
              <w:rPr>
                <w:sz w:val="20"/>
                <w:szCs w:val="20"/>
                <w:color w:val="auto"/>
              </w:rPr>
            </w:pPr>
            <w:r>
              <w:rPr>
                <w:rFonts w:ascii="Arial" w:cs="Arial" w:eastAsia="Arial" w:hAnsi="Arial"/>
                <w:sz w:val="20"/>
                <w:szCs w:val="20"/>
                <w:color w:val="auto"/>
              </w:rPr>
              <w:t>(a)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Broker or dealer registered under Section 15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(b)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Bank as defined in Section 3(a)(6)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(c)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270"/>
        </w:trPr>
        <w:tc>
          <w:tcPr>
            <w:tcW w:w="440" w:type="dxa"/>
            <w:vAlign w:val="bottom"/>
          </w:tcPr>
          <w:p>
            <w:pPr>
              <w:spacing w:after="0"/>
              <w:rPr>
                <w:sz w:val="20"/>
                <w:szCs w:val="20"/>
                <w:color w:val="auto"/>
              </w:rPr>
            </w:pPr>
            <w:r>
              <w:rPr>
                <w:rFonts w:ascii="Arial" w:cs="Arial" w:eastAsia="Arial" w:hAnsi="Arial"/>
                <w:sz w:val="20"/>
                <w:szCs w:val="20"/>
                <w:color w:val="auto"/>
              </w:rPr>
              <w:t>(d)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w w:val="92"/>
              </w:rPr>
              <w:t>Investment company registered under Section 8 of the Investment Company Act of 1940</w:t>
            </w:r>
          </w:p>
        </w:tc>
      </w:tr>
    </w:tbl>
    <w:p>
      <w:pPr>
        <w:ind w:left="1640"/>
        <w:spacing w:after="0"/>
        <w:rPr>
          <w:sz w:val="20"/>
          <w:szCs w:val="20"/>
          <w:color w:val="auto"/>
        </w:rPr>
      </w:pPr>
      <w:r>
        <w:rPr>
          <w:rFonts w:ascii="Arial" w:cs="Arial" w:eastAsia="Arial" w:hAnsi="Arial"/>
          <w:sz w:val="20"/>
          <w:szCs w:val="20"/>
          <w:color w:val="auto"/>
        </w:rPr>
        <w:t>(15 U.S.C 80a-8);</w:t>
      </w:r>
    </w:p>
    <w:p>
      <w:pPr>
        <w:spacing w:after="0" w:line="34" w:lineRule="exact"/>
        <w:rPr>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investment adviser in accordance with 240.13d-1(b)(1)(ii)(E);</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240.13d-1(b)(1)(ii)(F);</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parent holding company or control person in accordance with 240.13d-1(b)(1)(ii)(G);</w:t>
      </w:r>
    </w:p>
    <w:p>
      <w:pPr>
        <w:spacing w:after="0" w:line="51" w:lineRule="exact"/>
        <w:rPr>
          <w:rFonts w:ascii="Arial" w:cs="Arial" w:eastAsia="Arial" w:hAnsi="Arial"/>
          <w:sz w:val="20"/>
          <w:szCs w:val="20"/>
          <w:color w:val="auto"/>
        </w:rPr>
      </w:pPr>
    </w:p>
    <w:p>
      <w:pPr>
        <w:ind w:left="1640" w:right="236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savings associations as defined in Section 3(b) of the Federal Deposit Insurance Act (12 U.S.C. 1813);</w:t>
      </w:r>
    </w:p>
    <w:p>
      <w:pPr>
        <w:ind w:left="1640" w:right="70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A non-U.S. institution in accordance with 240.13d-1(b)(1)(ii)(J); for OIML</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Group, in accordance with 240.13d-1(b)(1)(ii)(K). If filing as a non-U.S. institution</w:t>
      </w:r>
    </w:p>
    <w:p>
      <w:pPr>
        <w:spacing w:after="0" w:line="18"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in accordance with 240.13d1(b)(1)(ii)(J), please specify the type of institution: equivalent to IA (for OIML)</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94" w:lineRule="exact"/>
        <w:rPr>
          <w:sz w:val="20"/>
          <w:szCs w:val="20"/>
          <w:color w:val="auto"/>
        </w:rPr>
      </w:pPr>
    </w:p>
    <w:p>
      <w:pPr>
        <w:ind w:left="1340" w:right="300"/>
        <w:spacing w:after="0" w:line="267"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 w:lineRule="exact"/>
        <w:rPr>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51"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OAML: 136,659</w:t>
      </w:r>
    </w:p>
    <w:p>
      <w:pPr>
        <w:spacing w:after="0" w:line="18"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OIMUS: 477,003</w:t>
      </w:r>
    </w:p>
    <w:p>
      <w:pPr>
        <w:ind w:left="1640"/>
        <w:spacing w:after="0"/>
        <w:rPr>
          <w:rFonts w:ascii="Arial" w:cs="Arial" w:eastAsia="Arial" w:hAnsi="Arial"/>
          <w:sz w:val="20"/>
          <w:szCs w:val="20"/>
          <w:color w:val="auto"/>
        </w:rPr>
      </w:pPr>
      <w:r>
        <w:rPr>
          <w:rFonts w:ascii="Arial" w:cs="Arial" w:eastAsia="Arial" w:hAnsi="Arial"/>
          <w:sz w:val="20"/>
          <w:szCs w:val="20"/>
          <w:color w:val="auto"/>
        </w:rPr>
        <w:t>OIML: 63,992,329</w:t>
      </w:r>
    </w:p>
    <w:p>
      <w:pPr>
        <w:sectPr>
          <w:pgSz w:w="11900" w:h="16838" w:orient="portrait"/>
          <w:cols w:equalWidth="0" w:num="1">
            <w:col w:w="11460"/>
          </w:cols>
          <w:pgMar w:left="300" w:top="120" w:right="139" w:bottom="0" w:gutter="0" w:footer="0" w:header="0"/>
        </w:sectPr>
      </w:pPr>
    </w:p>
    <w:bookmarkStart w:id="2" w:name="page3"/>
    <w:bookmarkEnd w:id="2"/>
    <w:p>
      <w:pPr>
        <w:ind w:left="1340"/>
        <w:spacing w:after="0"/>
        <w:rPr>
          <w:sz w:val="20"/>
          <w:szCs w:val="20"/>
          <w:color w:val="auto"/>
        </w:rPr>
      </w:pPr>
      <w:r>
        <w:rPr>
          <w:rFonts w:ascii="Arial" w:cs="Arial" w:eastAsia="Arial" w:hAnsi="Arial"/>
          <w:sz w:val="20"/>
          <w:szCs w:val="20"/>
          <w:color w:val="auto"/>
        </w:rPr>
        <w:t>(b) Percent of class:</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6.22%</w:t>
      </w:r>
    </w:p>
    <w:p>
      <w:pPr>
        <w:spacing w:after="0" w:line="52"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(c) Number of shares as to which the person has:</w:t>
      </w:r>
    </w:p>
    <w:p>
      <w:pPr>
        <w:spacing w:after="0" w:line="31"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  Sole power to vote or to direct the vote:</w:t>
      </w:r>
    </w:p>
    <w:p>
      <w:pPr>
        <w:spacing w:after="0" w:line="26"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64,605,991</w:t>
      </w:r>
    </w:p>
    <w:p>
      <w:pPr>
        <w:spacing w:after="0" w:line="26"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(ii) Shared power to vote or to direct the vote:</w:t>
      </w:r>
    </w:p>
    <w:p>
      <w:pPr>
        <w:spacing w:after="0" w:line="26"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0</w:t>
      </w:r>
    </w:p>
    <w:p>
      <w:pPr>
        <w:spacing w:after="0" w:line="26"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(iii) Sole power to dispose or to direct the disposition of:</w:t>
      </w:r>
    </w:p>
    <w:p>
      <w:pPr>
        <w:spacing w:after="0" w:line="38"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64,605,991</w:t>
      </w:r>
    </w:p>
    <w:p>
      <w:pPr>
        <w:spacing w:after="0" w:line="2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49"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0</w:t>
      </w:r>
    </w:p>
    <w:p>
      <w:pPr>
        <w:sectPr>
          <w:pgSz w:w="11900" w:h="16838" w:orient="portrait"/>
          <w:cols w:equalWidth="0" w:num="1">
            <w:col w:w="11400"/>
          </w:cols>
          <w:pgMar w:left="300" w:top="120" w:right="199" w:bottom="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OWNERSHIP OF FIVE PERCENT OR LESS OF A CLASS:</w:t>
      </w:r>
    </w:p>
    <w:p>
      <w:pPr>
        <w:spacing w:after="0" w:line="69" w:lineRule="exact"/>
        <w:rPr>
          <w:sz w:val="20"/>
          <w:szCs w:val="20"/>
          <w:color w:val="auto"/>
        </w:rPr>
      </w:pPr>
    </w:p>
    <w:p>
      <w:pPr>
        <w:sectPr>
          <w:pgSz w:w="11900" w:h="16838" w:orient="portrait"/>
          <w:cols w:equalWidth="0" w:num="2">
            <w:col w:w="760" w:space="560"/>
            <w:col w:w="10080"/>
          </w:cols>
          <w:pgMar w:left="300" w:top="120" w:right="199" w:bottom="0" w:gutter="0" w:footer="0" w:header="0"/>
          <w:type w:val="continuous"/>
        </w:sectPr>
      </w:pPr>
    </w:p>
    <w:p>
      <w:pPr>
        <w:ind w:left="1380" w:right="720"/>
        <w:spacing w:after="0" w:line="272"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400"/>
          </w:cols>
          <w:pgMar w:left="300" w:top="120" w:right="199" w:bottom="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OWNERSHIP OF MORE THAN FIVE PERCENT ON BEHALF OF ANOTHER PERSON:</w:t>
      </w:r>
    </w:p>
    <w:p>
      <w:pPr>
        <w:spacing w:after="0" w:line="69" w:lineRule="exact"/>
        <w:rPr>
          <w:sz w:val="20"/>
          <w:szCs w:val="20"/>
          <w:color w:val="auto"/>
        </w:rPr>
      </w:pPr>
    </w:p>
    <w:p>
      <w:pPr>
        <w:sectPr>
          <w:pgSz w:w="11900" w:h="16838" w:orient="portrait"/>
          <w:cols w:equalWidth="0" w:num="2">
            <w:col w:w="760" w:space="560"/>
            <w:col w:w="10080"/>
          </w:cols>
          <w:pgMar w:left="300" w:top="120" w:right="199" w:bottom="0" w:gutter="0" w:footer="0" w:header="0"/>
          <w:type w:val="continuous"/>
        </w:sectPr>
      </w:pPr>
    </w:p>
    <w:p>
      <w:pPr>
        <w:ind w:left="1380"/>
        <w:spacing w:after="0" w:line="256" w:lineRule="auto"/>
        <w:rPr>
          <w:sz w:val="20"/>
          <w:szCs w:val="20"/>
          <w:color w:val="auto"/>
        </w:rPr>
      </w:pPr>
      <w:r>
        <w:rPr>
          <w:rFonts w:ascii="Arial" w:cs="Arial" w:eastAsia="Arial" w:hAnsi="Arial"/>
          <w:sz w:val="20"/>
          <w:szCs w:val="20"/>
          <w:color w:val="auto"/>
        </w:rPr>
        <w:t>Another person has the right to receive and the power to direct the receipt of dividends from, or the proceeds from the sale of 477,003 shares of common stock of Micron Technology, Inc beneficially owned by Orbis Investment Management (U.S.), LLC.</w:t>
      </w:r>
    </w:p>
    <w:p>
      <w:pPr>
        <w:spacing w:after="0" w:line="186" w:lineRule="exact"/>
        <w:rPr>
          <w:sz w:val="20"/>
          <w:szCs w:val="20"/>
          <w:color w:val="auto"/>
        </w:rPr>
      </w:pPr>
    </w:p>
    <w:p>
      <w:pPr>
        <w:ind w:left="1380"/>
        <w:spacing w:after="0" w:line="256" w:lineRule="auto"/>
        <w:rPr>
          <w:sz w:val="20"/>
          <w:szCs w:val="20"/>
          <w:color w:val="auto"/>
        </w:rPr>
      </w:pPr>
      <w:r>
        <w:rPr>
          <w:rFonts w:ascii="Arial" w:cs="Arial" w:eastAsia="Arial" w:hAnsi="Arial"/>
          <w:sz w:val="20"/>
          <w:szCs w:val="20"/>
          <w:color w:val="auto"/>
        </w:rPr>
        <w:t>Other persons have the right to receive and the power to direct the receipt of dividends from, or the proceeds from the sale of 63,992,329 shares of common stock of Micron Technology, Inc beneficially owned by Orbis Investment Management Limited.</w:t>
      </w:r>
    </w:p>
    <w:p>
      <w:pPr>
        <w:spacing w:after="0" w:line="186" w:lineRule="exact"/>
        <w:rPr>
          <w:sz w:val="20"/>
          <w:szCs w:val="20"/>
          <w:color w:val="auto"/>
        </w:rPr>
      </w:pPr>
    </w:p>
    <w:p>
      <w:pPr>
        <w:ind w:left="1380"/>
        <w:spacing w:after="0" w:line="329" w:lineRule="auto"/>
        <w:rPr>
          <w:sz w:val="20"/>
          <w:szCs w:val="20"/>
          <w:color w:val="auto"/>
        </w:rPr>
      </w:pPr>
      <w:r>
        <w:rPr>
          <w:rFonts w:ascii="Arial" w:cs="Arial" w:eastAsia="Arial" w:hAnsi="Arial"/>
          <w:sz w:val="18"/>
          <w:szCs w:val="18"/>
          <w:color w:val="auto"/>
        </w:rPr>
        <w:t>Other persons have the right to receive and the power to direct the receipt of dividends from, or the proceeds from the sale of 136,659 shares of common stock of Micron Technology, Inc beneficially owned by Orbis Asset Management Limited.</w:t>
      </w:r>
    </w:p>
    <w:p>
      <w:pPr>
        <w:sectPr>
          <w:pgSz w:w="11900" w:h="16838" w:orient="portrait"/>
          <w:cols w:equalWidth="0" w:num="1">
            <w:col w:w="11400"/>
          </w:cols>
          <w:pgMar w:left="300" w:top="120" w:right="199" w:bottom="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360"/>
        <w:spacing w:after="0" w:line="276" w:lineRule="auto"/>
        <w:rPr>
          <w:sz w:val="20"/>
          <w:szCs w:val="20"/>
          <w:color w:val="auto"/>
        </w:rPr>
      </w:pP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760" w:space="560"/>
            <w:col w:w="10080"/>
          </w:cols>
          <w:pgMar w:left="300" w:top="120" w:right="199" w:bottom="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IDENTIFICATION AND CLASSIFICATION OF MEMBERS OF THE GROUP:</w:t>
      </w:r>
    </w:p>
    <w:p>
      <w:pPr>
        <w:spacing w:after="0" w:line="69" w:lineRule="exact"/>
        <w:rPr>
          <w:sz w:val="20"/>
          <w:szCs w:val="20"/>
          <w:color w:val="auto"/>
        </w:rPr>
      </w:pPr>
    </w:p>
    <w:p>
      <w:pPr>
        <w:sectPr>
          <w:pgSz w:w="11900" w:h="16838" w:orient="portrait"/>
          <w:cols w:equalWidth="0" w:num="2">
            <w:col w:w="760" w:space="560"/>
            <w:col w:w="10080"/>
          </w:cols>
          <w:pgMar w:left="300" w:top="120" w:right="199" w:bottom="0" w:gutter="0" w:footer="0" w:header="0"/>
          <w:type w:val="continuous"/>
        </w:sectPr>
      </w:pPr>
    </w:p>
    <w:p>
      <w:pPr>
        <w:ind w:left="1380" w:right="20"/>
        <w:spacing w:after="0" w:line="246" w:lineRule="auto"/>
        <w:rPr>
          <w:sz w:val="20"/>
          <w:szCs w:val="20"/>
          <w:color w:val="auto"/>
        </w:rPr>
      </w:pPr>
      <w:r>
        <w:rPr>
          <w:rFonts w:ascii="Arial" w:cs="Arial" w:eastAsia="Arial" w:hAnsi="Arial"/>
          <w:sz w:val="20"/>
          <w:szCs w:val="20"/>
          <w:color w:val="auto"/>
        </w:rPr>
        <w:t>Orbis Investment Management (U.S.), LLC ("OIMUS"), Orbis Investment Management Limited ("OIML") and Orbis Asset Management Limited ("OAML") are together making this filing because they may be deemed to constitute a "group" for the purposes of Section 13(d)(3) of the Securities Exchange Act of 1934, as amended. Information with respect to each of OIMUS, OIML and OAML (collectively, the "Reporting Persons") is given solely by each such Reporting Person and no Reporting Person has responsibility for the accuracy or completeness of information supplied by the other Reporting Person.</w:t>
      </w:r>
    </w:p>
    <w:p>
      <w:pPr>
        <w:spacing w:after="0" w:line="199" w:lineRule="exact"/>
        <w:rPr>
          <w:sz w:val="20"/>
          <w:szCs w:val="20"/>
          <w:color w:val="auto"/>
        </w:rPr>
      </w:pPr>
    </w:p>
    <w:p>
      <w:pPr>
        <w:ind w:left="1380" w:right="1920"/>
        <w:spacing w:after="0" w:line="272" w:lineRule="auto"/>
        <w:rPr>
          <w:sz w:val="20"/>
          <w:szCs w:val="20"/>
          <w:color w:val="auto"/>
        </w:rPr>
      </w:pPr>
      <w:r>
        <w:rPr>
          <w:rFonts w:ascii="Arial" w:cs="Arial" w:eastAsia="Arial" w:hAnsi="Arial"/>
          <w:sz w:val="20"/>
          <w:szCs w:val="20"/>
          <w:color w:val="auto"/>
        </w:rPr>
        <w:t>OIMUS is the beneficial owner of 477,003 shares of common stock or 0.05% of the 1,038,475,112 common stock of Micron Technology, Inc believed to be outstanding.</w:t>
      </w:r>
    </w:p>
    <w:p>
      <w:pPr>
        <w:spacing w:after="0" w:line="170" w:lineRule="exact"/>
        <w:rPr>
          <w:sz w:val="20"/>
          <w:szCs w:val="20"/>
          <w:color w:val="auto"/>
        </w:rPr>
      </w:pPr>
    </w:p>
    <w:p>
      <w:pPr>
        <w:ind w:left="1380" w:right="1800"/>
        <w:spacing w:after="0" w:line="272" w:lineRule="auto"/>
        <w:rPr>
          <w:sz w:val="20"/>
          <w:szCs w:val="20"/>
          <w:color w:val="auto"/>
        </w:rPr>
      </w:pPr>
      <w:r>
        <w:rPr>
          <w:rFonts w:ascii="Arial" w:cs="Arial" w:eastAsia="Arial" w:hAnsi="Arial"/>
          <w:sz w:val="20"/>
          <w:szCs w:val="20"/>
          <w:color w:val="auto"/>
        </w:rPr>
        <w:t>OIML is the beneficial owner of 63,992,329 shares of common stock or 6.16% of the 1,038,475,112 common stock of Micron Technology, Inc believed to be outstanding.</w:t>
      </w:r>
    </w:p>
    <w:p>
      <w:pPr>
        <w:spacing w:after="0" w:line="170" w:lineRule="exact"/>
        <w:rPr>
          <w:sz w:val="20"/>
          <w:szCs w:val="20"/>
          <w:color w:val="auto"/>
        </w:rPr>
      </w:pPr>
    </w:p>
    <w:p>
      <w:pPr>
        <w:ind w:left="1380" w:right="1980"/>
        <w:spacing w:after="0" w:line="272" w:lineRule="auto"/>
        <w:rPr>
          <w:sz w:val="20"/>
          <w:szCs w:val="20"/>
          <w:color w:val="auto"/>
        </w:rPr>
      </w:pPr>
      <w:r>
        <w:rPr>
          <w:rFonts w:ascii="Arial" w:cs="Arial" w:eastAsia="Arial" w:hAnsi="Arial"/>
          <w:sz w:val="20"/>
          <w:szCs w:val="20"/>
          <w:color w:val="auto"/>
        </w:rPr>
        <w:t>OAML is the beneficial owner of 136,659 shares of common stock or 0.01% of the 1,038,475,112 common stock of Micron Technology, Inc believed to be outstanding.</w:t>
      </w:r>
    </w:p>
    <w:p>
      <w:pPr>
        <w:sectPr>
          <w:pgSz w:w="11900" w:h="16838" w:orient="portrait"/>
          <w:cols w:equalWidth="0" w:num="1">
            <w:col w:w="11400"/>
          </w:cols>
          <w:pgMar w:left="300" w:top="120" w:right="199" w:bottom="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 OF DISSOLUTION OF GROUP:</w:t>
      </w:r>
    </w:p>
    <w:p>
      <w:pPr>
        <w:spacing w:after="0" w:line="200" w:lineRule="exact"/>
        <w:rPr>
          <w:sz w:val="20"/>
          <w:szCs w:val="20"/>
          <w:color w:val="auto"/>
        </w:rPr>
      </w:pPr>
    </w:p>
    <w:p>
      <w:pPr>
        <w:sectPr>
          <w:pgSz w:w="11900" w:h="16838" w:orient="portrait"/>
          <w:cols w:equalWidth="0" w:num="2">
            <w:col w:w="760" w:space="560"/>
            <w:col w:w="10080"/>
          </w:cols>
          <w:pgMar w:left="300" w:top="120" w:right="199" w:bottom="0" w:gutter="0" w:footer="0" w:header="0"/>
          <w:type w:val="continuous"/>
        </w:sect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w:t>
      </w:r>
    </w:p>
    <w:p>
      <w:pPr>
        <w:spacing w:after="0" w:line="69" w:lineRule="exact"/>
        <w:rPr>
          <w:sz w:val="20"/>
          <w:szCs w:val="20"/>
          <w:color w:val="auto"/>
        </w:rPr>
      </w:pPr>
    </w:p>
    <w:p>
      <w:pPr>
        <w:sectPr>
          <w:pgSz w:w="11900" w:h="16838" w:orient="portrait"/>
          <w:cols w:equalWidth="0" w:num="2">
            <w:col w:w="860" w:space="460"/>
            <w:col w:w="10080"/>
          </w:cols>
          <w:pgMar w:left="300" w:top="120" w:right="199" w:bottom="0" w:gutter="0" w:footer="0" w:header="0"/>
          <w:type w:val="continuous"/>
        </w:sectPr>
      </w:pPr>
    </w:p>
    <w:p>
      <w:pPr>
        <w:ind w:left="1380" w:right="60"/>
        <w:spacing w:after="0" w:line="251" w:lineRule="auto"/>
        <w:rPr>
          <w:sz w:val="20"/>
          <w:szCs w:val="20"/>
          <w:color w:val="auto"/>
        </w:rPr>
      </w:pPr>
      <w:r>
        <w:rPr>
          <w:rFonts w:ascii="Arial" w:cs="Arial" w:eastAsia="Arial" w:hAnsi="Arial"/>
          <w:sz w:val="20"/>
          <w:szCs w:val="20"/>
          <w:color w:val="auto"/>
        </w:rPr>
        <w:t>By signing below I certify that, to the best of my knowledge and belief, the foreign regulatory scheme applicable to Orbis Investment Management Limited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SIGNATURE</w:t>
      </w:r>
    </w:p>
    <w:p>
      <w:pPr>
        <w:spacing w:after="0" w:line="200" w:lineRule="exact"/>
        <w:rPr>
          <w:sz w:val="20"/>
          <w:szCs w:val="20"/>
          <w:color w:val="auto"/>
        </w:rPr>
      </w:pPr>
    </w:p>
    <w:p>
      <w:pPr>
        <w:spacing w:after="0" w:line="308" w:lineRule="exact"/>
        <w:rPr>
          <w:sz w:val="20"/>
          <w:szCs w:val="20"/>
          <w:color w:val="auto"/>
        </w:rPr>
      </w:pPr>
    </w:p>
    <w:p>
      <w:pPr>
        <w:ind w:left="2120" w:right="2260"/>
        <w:spacing w:after="0" w:line="272"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388"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August 09, 2013</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Date</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Orbis Investment Management (U.S.), LLC</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Orbis Investment Management Limited</w:t>
      </w:r>
    </w:p>
    <w:p>
      <w:pPr>
        <w:sectPr>
          <w:pgSz w:w="11900" w:h="16838" w:orient="portrait"/>
          <w:cols w:equalWidth="0" w:num="1">
            <w:col w:w="11400"/>
          </w:cols>
          <w:pgMar w:left="300" w:top="120" w:right="199" w:bottom="0" w:gutter="0" w:footer="0" w:header="0"/>
          <w:type w:val="continuous"/>
        </w:sectPr>
      </w:pPr>
    </w:p>
    <w:bookmarkStart w:id="3" w:name="page4"/>
    <w:bookmarkEnd w:id="3"/>
    <w:p>
      <w:pPr>
        <w:jc w:val="center"/>
        <w:ind w:right="-199"/>
        <w:spacing w:after="0"/>
        <w:rPr>
          <w:sz w:val="20"/>
          <w:szCs w:val="20"/>
          <w:color w:val="auto"/>
        </w:rPr>
      </w:pPr>
      <w:r>
        <w:rPr>
          <w:rFonts w:ascii="Arial" w:cs="Arial" w:eastAsia="Arial" w:hAnsi="Arial"/>
          <w:sz w:val="20"/>
          <w:szCs w:val="20"/>
          <w:color w:val="auto"/>
        </w:rPr>
        <w:t>Orbis Asset Management Limited</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/s/ James Dorr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54610</wp:posOffset>
            </wp:positionV>
            <wp:extent cx="36849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4905" cy="41910"/>
                    </a:xfrm>
                    <a:prstGeom prst="rect">
                      <a:avLst/>
                    </a:prstGeom>
                    <a:noFill/>
                  </pic:spPr>
                </pic:pic>
              </a:graphicData>
            </a:graphic>
          </wp:anchor>
        </w:drawing>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Signature</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James Dorr, General Counsel of Orbis Investment Management Limited and Orbis Asset Management Limited; Director of North Rock</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Holdings Corp., a member of Orbis Investment Management (U.S.),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54610</wp:posOffset>
            </wp:positionV>
            <wp:extent cx="36849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4905" cy="41910"/>
                    </a:xfrm>
                    <a:prstGeom prst="rect">
                      <a:avLst/>
                    </a:prstGeom>
                    <a:noFill/>
                  </pic:spPr>
                </pic:pic>
              </a:graphicData>
            </a:graphic>
          </wp:anchor>
        </w:drawing>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CUSIP No.: 595112103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CUSIP No.: 595112103</w:t>
      </w:r>
    </w:p>
    <w:sectPr>
      <w:pgSz w:w="11900" w:h="16838" w:orient="portrait"/>
      <w:cols w:equalWidth="0" w:num="1">
        <w:col w:w="11320"/>
      </w:cols>
      <w:pgMar w:left="24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2019-12-05T20:50:10Z</dcterms:created>
  <dcterms:modified xsi:type="dcterms:W3CDTF">2019-12-05T20:50:10Z</dcterms:modified>
</cp:coreProperties>
</file>