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23, 2014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4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40"/>
        <w:spacing w:after="0" w:line="269" w:lineRule="auto"/>
        <w:rPr>
          <w:sz w:val="20"/>
          <w:szCs w:val="20"/>
          <w:color w:val="auto"/>
        </w:rPr>
      </w:pPr>
      <w:r>
        <w:rPr>
          <w:rFonts w:ascii="Arial" w:cs="Arial" w:eastAsia="Arial" w:hAnsi="Arial"/>
          <w:sz w:val="17"/>
          <w:szCs w:val="17"/>
          <w:color w:val="auto"/>
        </w:rPr>
        <w:t>On July 23, 2014, Micron Technology, Inc., a Delaware corporation (“Micron” or the “Company”), entered into a purchase agreement (the “Purchase Agreement”) with Morgan Stanley &amp; Co. LLC, Goldman, Sachs &amp; Co. and Credit Suisse Securities (USA) LLC, as representatives of the several initial purchasers named therein (collectively, the “Initial Purchasers”), to issue and sell $1.15 billion aggregate principal amount of 5.50% Senior Notes due 2025 (the “Notes”) in the United States to qualified institutional buyers pursuant to Rule 144A under the Securities Act of 1933, as amended (the “Securities Act”), and outside the United States to non-U.S. persons pursuant to Regulation S under the Securities Act. The Company intends to use a portion of the net proceeds from the offering to pay the costs of extinguishing its obligations with respect to its outstanding 1.875% Convertible Senior Notes due 2031 (the “2031B Notes”), which may include payments in settlement of conversions of, or to repurchase or redeem, the 2031B Notes. The Company expects to use the balance of the net proceeds for the retirement of other convertible notes and debt and other general corporate purposes. The Purchase Agreement contains customary representations, warranties and covenants by the Company together with customary closing conditions. Under the terms of the Purchase Agreement, the Company has agreed to indemnify the Initial Purchasers against certain liabilities. The Purchase Agreement is filed as Exhibit 10.1 to this Current Report on Form 8-K and is incorporated by reference herein. The summary of the foregoing transactions is qualified in its entirety by reference to the text of the Purchase Agreement.</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On July 23, 2014, Micron issued a press release with respect to the pricing of its offer and sale of senior notes due 2025. A copy of this press release is filed as Exhibit 99.1 to this report and is incorporated herein by reference.</w:t>
      </w:r>
    </w:p>
    <w:p>
      <w:pPr>
        <w:spacing w:after="0" w:line="166" w:lineRule="exact"/>
        <w:rPr>
          <w:sz w:val="24"/>
          <w:szCs w:val="24"/>
          <w:color w:val="auto"/>
        </w:rPr>
      </w:pPr>
    </w:p>
    <w:p>
      <w:pPr>
        <w:jc w:val="center"/>
        <w:ind w:right="792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4"/>
          <w:szCs w:val="24"/>
          <w:color w:val="auto"/>
        </w:rPr>
      </w:pPr>
    </w:p>
    <w:p>
      <w:pPr>
        <w:spacing w:after="0"/>
        <w:tabs>
          <w:tab w:leader="none" w:pos="5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ind w:left="1280" w:hanging="906"/>
        <w:spacing w:after="0" w:line="259"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Purchase Agreement, dated as of July 23, 2014, by and among Micron Technology, Inc. and Morgan Stanley &amp; Co. LLC, Goldman, Sachs &amp; Co. and Credit Suisse Securities (USA) LLC, as representatives of the initial purchasers.</w:t>
      </w:r>
    </w:p>
    <w:p>
      <w:pPr>
        <w:sectPr>
          <w:pgSz w:w="11900" w:h="16838" w:orient="portrait"/>
          <w:cols w:equalWidth="0" w:num="1">
            <w:col w:w="11420"/>
          </w:cols>
          <w:pgMar w:left="240" w:top="544" w:right="239" w:bottom="0" w:gutter="0" w:footer="0" w:header="0"/>
          <w:type w:val="continuous"/>
        </w:sectPr>
      </w:pPr>
    </w:p>
    <w:bookmarkStart w:id="1" w:name="page2"/>
    <w:bookmarkEnd w:id="1"/>
    <w:p>
      <w:pPr>
        <w:ind w:left="380"/>
        <w:spacing w:after="0"/>
        <w:tabs>
          <w:tab w:leader="none" w:pos="12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Micron Technology, Inc., dated July 23, 2014, announcing pricing of senior notes offering.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20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July 24, 2014</w:t>
            </w:r>
          </w:p>
        </w:tc>
        <w:tc>
          <w:tcPr>
            <w:tcW w:w="2960" w:type="dxa"/>
            <w:vAlign w:val="bottom"/>
          </w:tcPr>
          <w:p>
            <w:pPr>
              <w:ind w:left="22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Foster</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960" w:type="dxa"/>
            <w:vAlign w:val="bottom"/>
          </w:tcPr>
          <w:p>
            <w:pPr>
              <w:ind w:left="22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960" w:type="dxa"/>
            <w:vAlign w:val="bottom"/>
          </w:tcPr>
          <w:p>
            <w:pPr>
              <w:ind w:left="220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960" w:type="dxa"/>
            <w:vAlign w:val="bottom"/>
          </w:tcPr>
          <w:p>
            <w:pPr>
              <w:ind w:left="2120"/>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w:t>
      </w:r>
    </w:p>
    <w:p>
      <w:pPr>
        <w:spacing w:after="0" w:line="202" w:lineRule="exact"/>
        <w:rPr>
          <w:sz w:val="20"/>
          <w:szCs w:val="20"/>
          <w:color w:val="auto"/>
        </w:rPr>
      </w:pPr>
    </w:p>
    <w:p>
      <w:pPr>
        <w:spacing w:after="0"/>
        <w:tabs>
          <w:tab w:leader="none" w:pos="5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280" w:right="40" w:hanging="906"/>
        <w:spacing w:after="0" w:line="259"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Purchase Agreement, dated as of July 23, 2014, by and among Micron Technology, Inc. and Morgan Stanley &amp; Co. LLC, Goldman, Sachs &amp; Co. and Credit Suisse Securities (USA) LLC, as representatives of the initial purchasers.</w:t>
      </w:r>
    </w:p>
    <w:p>
      <w:pPr>
        <w:spacing w:after="0" w:line="186"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Micron Technology, Inc., dated July 23, 2014, announcing pricing of senior notes offering.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SENIOR NOTES DUE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420"/>
            <w:col w:w="1078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purchasers named in Schedule I hereto (the “</w:t>
      </w:r>
      <w:r>
        <w:rPr>
          <w:rFonts w:ascii="Arial" w:cs="Arial" w:eastAsia="Arial" w:hAnsi="Arial"/>
          <w:sz w:val="18"/>
          <w:szCs w:val="18"/>
          <w:b w:val="1"/>
          <w:bCs w:val="1"/>
          <w:color w:val="auto"/>
        </w:rPr>
        <w:t>Initial Purchasers</w:t>
      </w:r>
      <w:r>
        <w:rPr>
          <w:rFonts w:ascii="Arial" w:cs="Arial" w:eastAsia="Arial" w:hAnsi="Arial"/>
          <w:sz w:val="18"/>
          <w:szCs w:val="18"/>
          <w:color w:val="auto"/>
        </w:rPr>
        <w:t>”) $1,150,000,000 principal amount of its 5.50% Senior Notes due 2025 (the “</w:t>
      </w:r>
      <w:r>
        <w:rPr>
          <w:rFonts w:ascii="Arial" w:cs="Arial" w:eastAsia="Arial" w:hAnsi="Arial"/>
          <w:sz w:val="18"/>
          <w:szCs w:val="18"/>
          <w:b w:val="1"/>
          <w:bCs w:val="1"/>
          <w:color w:val="auto"/>
        </w:rPr>
        <w:t>2025 Notes</w:t>
      </w:r>
      <w:r>
        <w:rPr>
          <w:rFonts w:ascii="Arial" w:cs="Arial" w:eastAsia="Arial" w:hAnsi="Arial"/>
          <w:sz w:val="18"/>
          <w:szCs w:val="18"/>
          <w:color w:val="auto"/>
        </w:rPr>
        <w:t>” or the “</w:t>
      </w:r>
      <w:r>
        <w:rPr>
          <w:rFonts w:ascii="Arial" w:cs="Arial" w:eastAsia="Arial" w:hAnsi="Arial"/>
          <w:sz w:val="18"/>
          <w:szCs w:val="18"/>
          <w:b w:val="1"/>
          <w:bCs w:val="1"/>
          <w:color w:val="auto"/>
        </w:rPr>
        <w:t>Securities</w:t>
      </w:r>
      <w:r>
        <w:rPr>
          <w:rFonts w:ascii="Arial" w:cs="Arial" w:eastAsia="Arial" w:hAnsi="Arial"/>
          <w:sz w:val="18"/>
          <w:szCs w:val="18"/>
          <w:color w:val="auto"/>
        </w:rPr>
        <w:t>”), to be issued pursuant to the provisions of an Indenture to be entered into on or prior to the Closing Date (as hereinafter defined) and dated as of July 28, 2014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The Securities will be offered without being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to qualified institutional buyers in compliance with the exemption from registration provided by Rule 144A under the Securities Act and in offshore transactions in reliance on Regulation S under the Securities Act (“</w:t>
      </w:r>
      <w:r>
        <w:rPr>
          <w:rFonts w:ascii="Arial" w:cs="Arial" w:eastAsia="Arial" w:hAnsi="Arial"/>
          <w:sz w:val="18"/>
          <w:szCs w:val="18"/>
          <w:b w:val="1"/>
          <w:bCs w:val="1"/>
          <w:color w:val="auto"/>
        </w:rPr>
        <w:t>Regulation S</w:t>
      </w:r>
      <w:r>
        <w:rPr>
          <w:rFonts w:ascii="Arial" w:cs="Arial" w:eastAsia="Arial" w:hAnsi="Arial"/>
          <w:sz w:val="18"/>
          <w:szCs w:val="18"/>
          <w:color w:val="auto"/>
        </w:rPr>
        <w:t>”).</w:t>
      </w:r>
    </w:p>
    <w:p>
      <w:pPr>
        <w:spacing w:after="0" w:line="18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Initial Purchasers and their direct and indirect transferees will be entitled to the benefits of a Registration Rights Agreement to be entered into on or prior to the Closing Dated and dated July 28, 2014 between the Company and the Initial Purchasers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w:t>
      </w:r>
    </w:p>
    <w:p>
      <w:pPr>
        <w:spacing w:after="0" w:line="14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connection with the sale of the Securities, the Company has prepared a preliminary offering memorandum dated July 23, 2014 (the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Memorandum</w:t>
      </w:r>
      <w:r>
        <w:rPr>
          <w:rFonts w:ascii="Arial" w:cs="Arial" w:eastAsia="Arial" w:hAnsi="Arial"/>
          <w:sz w:val="18"/>
          <w:szCs w:val="18"/>
          <w:color w:val="auto"/>
        </w:rPr>
        <w:t>”) and will prepare a final offering memorandum (the “</w:t>
      </w:r>
      <w:r>
        <w:rPr>
          <w:rFonts w:ascii="Arial" w:cs="Arial" w:eastAsia="Arial" w:hAnsi="Arial"/>
          <w:sz w:val="18"/>
          <w:szCs w:val="18"/>
          <w:b w:val="1"/>
          <w:bCs w:val="1"/>
          <w:color w:val="auto"/>
        </w:rPr>
        <w:t>Final Memorandum</w:t>
      </w:r>
      <w:r>
        <w:rPr>
          <w:rFonts w:ascii="Arial" w:cs="Arial" w:eastAsia="Arial" w:hAnsi="Arial"/>
          <w:sz w:val="18"/>
          <w:szCs w:val="18"/>
          <w:color w:val="auto"/>
        </w:rPr>
        <w:t>”) including or incorporating by reference a description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Securities, the terms of the offering and a description of the Company. For purposes of this Agreement, “</w:t>
      </w:r>
      <w:r>
        <w:rPr>
          <w:rFonts w:ascii="Arial" w:cs="Arial" w:eastAsia="Arial" w:hAnsi="Arial"/>
          <w:sz w:val="18"/>
          <w:szCs w:val="18"/>
          <w:b w:val="1"/>
          <w:bCs w:val="1"/>
          <w:color w:val="auto"/>
        </w:rPr>
        <w:t>Additional Written Offering</w:t>
      </w:r>
      <w:r>
        <w:rPr>
          <w:rFonts w:ascii="Arial" w:cs="Arial" w:eastAsia="Arial" w:hAnsi="Arial"/>
          <w:sz w:val="18"/>
          <w:szCs w:val="18"/>
          <w:color w:val="auto"/>
        </w:rPr>
        <w:t xml:space="preserve"> </w:t>
      </w:r>
      <w:r>
        <w:rPr>
          <w:rFonts w:ascii="Arial" w:cs="Arial" w:eastAsia="Arial" w:hAnsi="Arial"/>
          <w:sz w:val="18"/>
          <w:szCs w:val="18"/>
          <w:b w:val="1"/>
          <w:bCs w:val="1"/>
          <w:color w:val="auto"/>
        </w:rPr>
        <w:t>Communication</w:t>
      </w:r>
      <w:r>
        <w:rPr>
          <w:rFonts w:ascii="Arial" w:cs="Arial" w:eastAsia="Arial" w:hAnsi="Arial"/>
          <w:sz w:val="18"/>
          <w:szCs w:val="18"/>
          <w:color w:val="auto"/>
        </w:rPr>
        <w:t>” means any written communication (as defined in Rule 405 under the Securities Act) that constitutes an offer to sell or a solicitation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offer to buy the Securities other than the Preliminary Memorandum or the Final Memorandum, and “</w:t>
      </w:r>
      <w:r>
        <w:rPr>
          <w:rFonts w:ascii="Arial" w:cs="Arial" w:eastAsia="Arial" w:hAnsi="Arial"/>
          <w:sz w:val="18"/>
          <w:szCs w:val="18"/>
          <w:b w:val="1"/>
          <w:bCs w:val="1"/>
          <w:color w:val="auto"/>
        </w:rPr>
        <w:t>Time of Sale Memorandum</w:t>
      </w:r>
      <w:r>
        <w:rPr>
          <w:rFonts w:ascii="Arial" w:cs="Arial" w:eastAsia="Arial" w:hAnsi="Arial"/>
          <w:sz w:val="18"/>
          <w:szCs w:val="18"/>
          <w:color w:val="auto"/>
        </w:rPr>
        <w:t>” means the Preliminary Memorandum together with the Additional Written Offering Communications, if any, each identified in Schedule II hereto, and as described on such Schedule. As used herein, the terms Preliminary Memorandum, Time of Sale Memorandum and Final Memorandum shall include the documents, if any,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therein on the date hereof, in each case, to the extent and in the manner contemplated thereby.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Preliminary Memorandum, the Time of Sale Memorandum, the Final Memorandum or any Additional Written Offering Communication shall include all documents subsequently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69"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right="20" w:firstLine="645"/>
        <w:spacing w:after="0" w:line="269" w:lineRule="auto"/>
        <w:tabs>
          <w:tab w:leader="none" w:pos="1954" w:val="left"/>
        </w:tabs>
        <w:numPr>
          <w:ilvl w:val="1"/>
          <w:numId w:val="1"/>
        </w:numPr>
        <w:rPr>
          <w:rFonts w:ascii="Arial" w:cs="Arial" w:eastAsia="Arial" w:hAnsi="Arial"/>
          <w:sz w:val="17"/>
          <w:szCs w:val="17"/>
          <w:color w:val="auto"/>
        </w:rPr>
      </w:pPr>
      <w:r>
        <w:rPr>
          <w:rFonts w:ascii="Arial" w:cs="Arial" w:eastAsia="Arial" w:hAnsi="Arial"/>
          <w:sz w:val="17"/>
          <w:szCs w:val="17"/>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and the applicable rules and regulations of the Commission thereunder, (ii) the Time of Sale Memorandum does not, and at the time of each sale of the Securities in connection with the offering when the Final Memorandum is not yet available to prospective purchasers and at the Closing Date (as defined in Section 4), the Time of Sale Memorandum, as then amended or supplemented by the Company, if applicable, will not, contain any untrue statement of a material fact or omit to state a material fact necessary to make the statements therein, in the light of the circumstances under which they were made, not misleading, (iii) the Preliminary Memorandum does not contain and the Final Memorandum, in the form used by the Initial Purchasers to confirm sales and on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Preliminary Memorandum, the Time of Sale Memorandum or the Final Memorandum based upon information relating to any Initial Purchaser furnished to the Company in writing by such Initial Purchaser through you expressly for use therein.</w:t>
      </w:r>
    </w:p>
    <w:p>
      <w:pPr>
        <w:spacing w:after="0" w:line="179"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if any, identified in Schedule II hereto, and electronic road shows, if any, furnished to you before first use, the Company has not prepared, used or referred to, and will not, without your prior consent, prepare, use or refer to, any Additional Written Offering Communication.</w:t>
      </w:r>
    </w:p>
    <w:p>
      <w:pPr>
        <w:sectPr>
          <w:pgSz w:w="11900" w:h="16838" w:orient="portrait"/>
          <w:cols w:equalWidth="0" w:num="1">
            <w:col w:w="11420"/>
          </w:cols>
          <w:pgMar w:left="240" w:top="121" w:right="239" w:bottom="0" w:gutter="0" w:footer="0" w:header="0"/>
          <w:type w:val="continuous"/>
        </w:sectPr>
      </w:pPr>
    </w:p>
    <w:bookmarkStart w:id="3" w:name="page4"/>
    <w:bookmarkEnd w:id="3"/>
    <w:p>
      <w:pPr>
        <w:ind w:right="100" w:firstLine="645"/>
        <w:spacing w:after="0" w:line="347" w:lineRule="auto"/>
        <w:tabs>
          <w:tab w:leader="none" w:pos="1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Each of the Company and Elpida Memory, Inc. (“</w:t>
      </w:r>
      <w:r>
        <w:rPr>
          <w:rFonts w:ascii="Arial" w:cs="Arial" w:eastAsia="Arial" w:hAnsi="Arial"/>
          <w:sz w:val="16"/>
          <w:szCs w:val="16"/>
          <w:b w:val="1"/>
          <w:bCs w:val="1"/>
          <w:color w:val="auto"/>
        </w:rPr>
        <w:t>Elpida</w:t>
      </w:r>
      <w:r>
        <w:rPr>
          <w:rFonts w:ascii="Arial" w:cs="Arial" w:eastAsia="Arial" w:hAnsi="Arial"/>
          <w:sz w:val="16"/>
          <w:szCs w:val="16"/>
          <w:color w:val="auto"/>
        </w:rPr>
        <w:t>”) has been duly incorporated, is validly existing as a corporation under the laws of the jurisdiction of its incorporation, has the corporate power and authority to own its property and to conduct its business as described in</w:t>
      </w:r>
    </w:p>
    <w:p>
      <w:pPr>
        <w:spacing w:after="0" w:line="12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Time of Sale Memorandum (except, in the case of Elpida only, as has been previously disclosed to the Initial Purchasers) and is duly qualified to transact business in each jurisdiction identified on Schedule III hereto in which the conduct of its business or its ownership or leasing of property requires such qualification or is subject to material liability or disability by reason of failure to be so qualified in any such jurisdiction. The Company is in good standing in each jurisdiction identified on Schedule III hereto.</w:t>
      </w:r>
    </w:p>
    <w:p>
      <w:pPr>
        <w:spacing w:after="0" w:line="187" w:lineRule="exact"/>
        <w:rPr>
          <w:sz w:val="20"/>
          <w:szCs w:val="20"/>
          <w:color w:val="auto"/>
        </w:rPr>
      </w:pPr>
    </w:p>
    <w:p>
      <w:pPr>
        <w:ind w:left="1300" w:hanging="65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360" w:firstLine="645"/>
        <w:spacing w:after="0" w:line="342" w:lineRule="auto"/>
        <w:tabs>
          <w:tab w:leader="none" w:pos="130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Time of Sale Memorandum, and all of the shares of Common Stock outstanding prior to the issuance of the Securities have been duly authorized and are validly issued, fully paid and non-assessable.</w:t>
      </w:r>
    </w:p>
    <w:p>
      <w:pPr>
        <w:spacing w:after="0" w:line="123" w:lineRule="exact"/>
        <w:rPr>
          <w:rFonts w:ascii="Arial" w:cs="Arial" w:eastAsia="Arial" w:hAnsi="Arial"/>
          <w:sz w:val="16"/>
          <w:szCs w:val="16"/>
          <w:color w:val="auto"/>
        </w:rPr>
      </w:pPr>
    </w:p>
    <w:p>
      <w:pPr>
        <w:ind w:right="20" w:firstLine="645"/>
        <w:spacing w:after="0" w:line="272" w:lineRule="auto"/>
        <w:tabs>
          <w:tab w:leader="none" w:pos="130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executed and authenticated in accordance with the provisions of the Indenture and delivered to and paid for by the Initial Purchasers in accordance with the terms of this Agreement (assuming due authentication by the Trustee in the manner described in the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will be entitled to the benefits of the Indenture pursuant to which such Securities are to be issued.</w:t>
      </w:r>
    </w:p>
    <w:p>
      <w:pPr>
        <w:spacing w:after="0" w:line="177" w:lineRule="exact"/>
        <w:rPr>
          <w:rFonts w:ascii="Arial" w:cs="Arial" w:eastAsia="Arial" w:hAnsi="Arial"/>
          <w:sz w:val="17"/>
          <w:szCs w:val="17"/>
          <w:color w:val="auto"/>
        </w:rPr>
      </w:pPr>
    </w:p>
    <w:p>
      <w:pPr>
        <w:ind w:right="160" w:firstLine="645"/>
        <w:spacing w:after="0" w:line="255" w:lineRule="auto"/>
        <w:tabs>
          <w:tab w:leader="none" w:pos="1317"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Indenture and the Registration Rights Agreement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with respect to the Registration Rights Agreement, except as rights of indemnification and contribution may be limited under applicable law; and the Securities, the Indenture and the Registration Rights Agreement will conform in all material respects to the descriptions thereof in the Time of Sale Memorandum and the Final Memorandum.</w:t>
      </w:r>
    </w:p>
    <w:p>
      <w:pPr>
        <w:spacing w:after="0" w:line="193" w:lineRule="exact"/>
        <w:rPr>
          <w:rFonts w:ascii="Arial" w:cs="Arial" w:eastAsia="Arial" w:hAnsi="Arial"/>
          <w:sz w:val="18"/>
          <w:szCs w:val="18"/>
          <w:color w:val="auto"/>
        </w:rPr>
      </w:pPr>
    </w:p>
    <w:p>
      <w:pPr>
        <w:ind w:right="60" w:firstLine="645"/>
        <w:spacing w:after="0" w:line="342" w:lineRule="auto"/>
        <w:tabs>
          <w:tab w:leader="none" w:pos="130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the Indenture, the Registration Rights Agreement, and the Securities will not conflict with or result in a breach of or violation of any of the terms or</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provisions of or constitute a default under any agreement or other 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the Indenture, the Registration Rights Agreement and the Securities, except for those that have been, or will have been prior to the Closing Date, obtained, such as may be required by the securities or Blue Sky laws of the various states in connection with the offer and sale of the Securities and by Federal and state securities laws with respect to the Company’s obligations under the Registration Rights Agreement, except, where the failure to obtain such consents, individually or in the aggregate, would not have a Material Adverse Effect on the offering of the Securities.</w:t>
      </w:r>
    </w:p>
    <w:p>
      <w:pPr>
        <w:spacing w:after="0" w:line="183" w:lineRule="exact"/>
        <w:rPr>
          <w:sz w:val="20"/>
          <w:szCs w:val="20"/>
          <w:color w:val="auto"/>
        </w:rPr>
      </w:pPr>
    </w:p>
    <w:p>
      <w:pPr>
        <w:jc w:val="both"/>
        <w:ind w:right="20" w:firstLine="645"/>
        <w:spacing w:after="0" w:line="264" w:lineRule="auto"/>
        <w:tabs>
          <w:tab w:leader="none" w:pos="1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Memorandum.</w:t>
      </w:r>
    </w:p>
    <w:p>
      <w:pPr>
        <w:spacing w:after="0" w:line="181" w:lineRule="exact"/>
        <w:rPr>
          <w:rFonts w:ascii="Arial" w:cs="Arial" w:eastAsia="Arial" w:hAnsi="Arial"/>
          <w:sz w:val="18"/>
          <w:szCs w:val="18"/>
          <w:color w:val="auto"/>
        </w:rPr>
      </w:pPr>
    </w:p>
    <w:p>
      <w:pPr>
        <w:ind w:right="100" w:firstLine="645"/>
        <w:spacing w:after="0" w:line="257" w:lineRule="auto"/>
        <w:tabs>
          <w:tab w:leader="none" w:pos="1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than as set forth in the Time of Sale Memorandum, (i) there are no legal or governmental proceedings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proceedings are threatened by governmental authorities or by others.</w:t>
      </w:r>
    </w:p>
    <w:p>
      <w:pPr>
        <w:spacing w:after="0" w:line="188" w:lineRule="exact"/>
        <w:rPr>
          <w:rFonts w:ascii="Arial" w:cs="Arial" w:eastAsia="Arial" w:hAnsi="Arial"/>
          <w:sz w:val="18"/>
          <w:szCs w:val="18"/>
          <w:color w:val="auto"/>
        </w:rPr>
      </w:pPr>
    </w:p>
    <w:p>
      <w:pPr>
        <w:ind w:right="200" w:firstLine="645"/>
        <w:spacing w:after="0" w:line="302" w:lineRule="auto"/>
        <w:tabs>
          <w:tab w:leader="none" w:pos="1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subsidiaries are in compliance with the Environmental Laws in all material respects, and there is no pending or, to the Company’s knowledge,</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threatened, action or proceeding against the Company and its subsidiaries alleging violations of the Environmental Laws.</w:t>
      </w:r>
    </w:p>
    <w:p>
      <w:pPr>
        <w:spacing w:after="0" w:line="225" w:lineRule="exact"/>
        <w:rPr>
          <w:sz w:val="20"/>
          <w:szCs w:val="20"/>
          <w:color w:val="auto"/>
        </w:rPr>
      </w:pPr>
    </w:p>
    <w:p>
      <w:pPr>
        <w:ind w:right="220" w:firstLine="645"/>
        <w:spacing w:after="0" w:line="312" w:lineRule="auto"/>
        <w:tabs>
          <w:tab w:leader="none" w:pos="131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knowhow necessary to conduct the business now or proposed to be conducted by the Company and its subsidiaries as described in the Time of Sale Memorandum, except where the</w:t>
      </w:r>
    </w:p>
    <w:p>
      <w:pPr>
        <w:sectPr>
          <w:pgSz w:w="11900" w:h="16838" w:orient="portrait"/>
          <w:cols w:equalWidth="0" w:num="1">
            <w:col w:w="10760"/>
          </w:cols>
          <w:pgMar w:left="900" w:top="121" w:right="239" w:bottom="0" w:gutter="0" w:footer="0" w:header="0"/>
        </w:sectPr>
      </w:pPr>
    </w:p>
    <w:bookmarkStart w:id="4" w:name="page5"/>
    <w:bookmarkEnd w:id="4"/>
    <w:p>
      <w:pPr>
        <w:spacing w:after="0" w:line="9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failure to own, possess or acquire such rights would not reasonably be expected to have a Material Adverse Effect, and except as disclosed in the Time of Sale Memorandum, the Company has not received any notice of infringement of or conflict with (and knows of no such infringement of or conflict with) asserted rights of others with respect to any patents, trademarks, service marks, trade names, copyrights, mask work rights or know how that would be reasonably likely to result in a Material Adverse Effect upon the Company and its subsidiaries.</w:t>
      </w:r>
    </w:p>
    <w:p>
      <w:pPr>
        <w:spacing w:after="0" w:line="171" w:lineRule="exact"/>
        <w:rPr>
          <w:sz w:val="20"/>
          <w:szCs w:val="20"/>
          <w:color w:val="auto"/>
        </w:rPr>
      </w:pPr>
    </w:p>
    <w:p>
      <w:pPr>
        <w:ind w:right="280" w:firstLine="645"/>
        <w:spacing w:after="0" w:line="273"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affiliate (as defined in Rule 501(b) of Regulation D under the Securities Act, an “</w:t>
      </w:r>
      <w:r>
        <w:rPr>
          <w:rFonts w:ascii="Arial" w:cs="Arial" w:eastAsia="Arial" w:hAnsi="Arial"/>
          <w:sz w:val="17"/>
          <w:szCs w:val="17"/>
          <w:b w:val="1"/>
          <w:bCs w:val="1"/>
          <w:color w:val="auto"/>
        </w:rPr>
        <w:t>Affiliate</w:t>
      </w:r>
      <w:r>
        <w:rPr>
          <w:rFonts w:ascii="Arial" w:cs="Arial" w:eastAsia="Arial" w:hAnsi="Arial"/>
          <w:sz w:val="17"/>
          <w:szCs w:val="17"/>
          <w:color w:val="auto"/>
        </w:rPr>
        <w:t>”) of the Company has directly, or through any agent, (i) sold, offered for sale, solicited offers to buy or otherwise negotiated in respect of, any security (as defined in the Securities Act) that is or will be integrated with the sale of the Securities in a manner that would require the registration under the Securities Act of the Securities or (ii) offered, solicited offers to buy or sold the Securities by any form of general solicitation or general advertising (as those terms are used in Regulation D under the Securities Act) or in any manner involving a public offering within the meaning of Section 4(2) of the Securities Act.</w:t>
      </w:r>
    </w:p>
    <w:p>
      <w:pPr>
        <w:spacing w:after="0" w:line="178" w:lineRule="exact"/>
        <w:rPr>
          <w:rFonts w:ascii="Arial" w:cs="Arial" w:eastAsia="Arial" w:hAnsi="Arial"/>
          <w:sz w:val="17"/>
          <w:szCs w:val="17"/>
          <w:color w:val="auto"/>
        </w:rPr>
      </w:pPr>
    </w:p>
    <w:p>
      <w:pPr>
        <w:jc w:val="both"/>
        <w:ind w:right="80" w:firstLine="645"/>
        <w:spacing w:after="0" w:line="302" w:lineRule="auto"/>
        <w:tabs>
          <w:tab w:leader="none" w:pos="1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 of the Company, its Affiliates or any person acting on its or their behalf has engaged or will engage in any directed selling efforts (within the meaning of Regulation S) with respect to the Securities and the Company and its Affiliates and any person acting on its or their behalf have complied and will comply with the offering restrictions requirement of Regulation S, except no representation, warranty or agreement is made by the Company in this paragraph with respect to the Initial Purchasers, their Affiliates or any person acting on their behalf.</w:t>
      </w:r>
    </w:p>
    <w:p>
      <w:pPr>
        <w:spacing w:after="0" w:line="154" w:lineRule="exact"/>
        <w:rPr>
          <w:rFonts w:ascii="Arial" w:cs="Arial" w:eastAsia="Arial" w:hAnsi="Arial"/>
          <w:sz w:val="16"/>
          <w:szCs w:val="16"/>
          <w:color w:val="auto"/>
        </w:rPr>
      </w:pPr>
    </w:p>
    <w:p>
      <w:pPr>
        <w:ind w:right="180" w:firstLine="645"/>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Memorandum and the Final Memorandum under the caption “Description of Notes,” insofar as they purport to constitute a summary of the terms of the Indenture, the Registration Rights Agreement and the Securities, fairly summarize such terms in all material respects.</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Assuming the accuracy of the representations and warranties of the Initial Purchasers herein, it is not necessary in connection</w:t>
      </w: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 the offer, sale and delivery of the Securities to the Initial Purchasers in the manner contemplated by this Agreement to register the Securities under the Securities Act or to qualify the Indenture under the Trust Indenture Act of 1939, as amended.</w:t>
      </w:r>
    </w:p>
    <w:p>
      <w:pPr>
        <w:spacing w:after="0" w:line="170" w:lineRule="exact"/>
        <w:rPr>
          <w:sz w:val="20"/>
          <w:szCs w:val="20"/>
          <w:color w:val="auto"/>
        </w:rPr>
      </w:pPr>
    </w:p>
    <w:p>
      <w:pPr>
        <w:ind w:left="1300" w:hanging="65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225" w:lineRule="exact"/>
        <w:rPr>
          <w:rFonts w:ascii="Arial" w:cs="Arial" w:eastAsia="Arial" w:hAnsi="Arial"/>
          <w:sz w:val="18"/>
          <w:szCs w:val="18"/>
          <w:color w:val="auto"/>
        </w:rPr>
      </w:pPr>
    </w:p>
    <w:p>
      <w:pPr>
        <w:ind w:right="20" w:firstLine="645"/>
        <w:spacing w:after="0" w:line="264" w:lineRule="auto"/>
        <w:tabs>
          <w:tab w:leader="none" w:pos="1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181" w:lineRule="exact"/>
        <w:rPr>
          <w:rFonts w:ascii="Arial" w:cs="Arial" w:eastAsia="Arial" w:hAnsi="Arial"/>
          <w:sz w:val="18"/>
          <w:szCs w:val="18"/>
          <w:color w:val="auto"/>
        </w:rPr>
      </w:pPr>
    </w:p>
    <w:p>
      <w:pPr>
        <w:ind w:right="100" w:firstLine="645"/>
        <w:spacing w:after="0" w:line="289" w:lineRule="auto"/>
        <w:tabs>
          <w:tab w:leader="none" w:pos="131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The Company maintains internal accounting controls sufficient to provide reasonable assurance that interactive data in eXtensible Business Reporting Language included or incorporated by reference in each of the Preliminary Memorandum, the Time of Sale Memorandum and the Final Memorandum is prepared in accordance with the Commission’s rules and guidelines applicable thereto. Except as disclosed in the Time of Sale Memorandum, the Company’s internal control over financial reporting and the Company’s internal control over financial reporting was effective as of August 29, 2013 and the Company is not aware of any material weaknesses in its internal control over financial reporting.</w:t>
      </w:r>
    </w:p>
    <w:p>
      <w:pPr>
        <w:spacing w:after="0" w:line="166" w:lineRule="exact"/>
        <w:rPr>
          <w:rFonts w:ascii="Arial" w:cs="Arial" w:eastAsia="Arial" w:hAnsi="Arial"/>
          <w:sz w:val="16"/>
          <w:szCs w:val="16"/>
          <w:color w:val="auto"/>
        </w:rPr>
      </w:pPr>
    </w:p>
    <w:p>
      <w:pPr>
        <w:ind w:firstLine="645"/>
        <w:spacing w:after="0" w:line="286"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Time of Sale Memorandum, since the date of the latest audited financial statements included or incorporated by reference in the Time of Sale Memorandum, there has been no change in the Company’s internal control over financial reporting that has materially affected, or is reasonably likely to materially affect, the Company’s internal control over financial reporting.</w:t>
      </w:r>
    </w:p>
    <w:p>
      <w:pPr>
        <w:spacing w:after="0" w:line="165" w:lineRule="exact"/>
        <w:rPr>
          <w:rFonts w:ascii="Arial" w:cs="Arial" w:eastAsia="Arial" w:hAnsi="Arial"/>
          <w:sz w:val="17"/>
          <w:szCs w:val="17"/>
          <w:color w:val="auto"/>
        </w:rPr>
      </w:pPr>
    </w:p>
    <w:p>
      <w:pPr>
        <w:ind w:right="240" w:firstLine="645"/>
        <w:spacing w:after="0" w:line="264"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principal executive officer and principal financial officer by others within those entities; and such disclosure controls and procedures were effective as of the quarter ended May 29, 2014.</w:t>
      </w:r>
    </w:p>
    <w:p>
      <w:pPr>
        <w:spacing w:after="0" w:line="170" w:lineRule="exact"/>
        <w:rPr>
          <w:sz w:val="20"/>
          <w:szCs w:val="20"/>
          <w:color w:val="auto"/>
        </w:rPr>
      </w:pPr>
    </w:p>
    <w:p>
      <w:pPr>
        <w:ind w:right="460" w:firstLine="645"/>
        <w:spacing w:after="0" w:line="264"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each of its subsidiaries maintain a system of internal accounting controls sufficient to provide reasonable assurance that the interactive data in eXtensible Business Reporting Language included or incorporated by reference in each of the Preliminary Memorandum, the Time of Sale Memorandum and the Final Memorandum is accurate.</w:t>
      </w:r>
    </w:p>
    <w:p>
      <w:pPr>
        <w:spacing w:after="0" w:line="181" w:lineRule="exact"/>
        <w:rPr>
          <w:rFonts w:ascii="Arial" w:cs="Arial" w:eastAsia="Arial" w:hAnsi="Arial"/>
          <w:sz w:val="18"/>
          <w:szCs w:val="18"/>
          <w:color w:val="auto"/>
        </w:rPr>
      </w:pPr>
    </w:p>
    <w:p>
      <w:pPr>
        <w:ind w:right="200" w:firstLine="645"/>
        <w:spacing w:after="0" w:line="259" w:lineRule="auto"/>
        <w:tabs>
          <w:tab w:leader="none" w:pos="1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used in preparing the pro forma financial statements included or incorporated by reference in each of the Preliminary Memorandum, the Time of Sale Memorandum and the Final Memorandum are reasonable. The related pro forma adjustments give appropriate effect to those assumptions, and the pro forma columns therein reflect the proper application of those adjustments to the corresponding historical financial statement amounts.</w:t>
      </w:r>
    </w:p>
    <w:p>
      <w:pPr>
        <w:spacing w:after="0" w:line="186" w:lineRule="exact"/>
        <w:rPr>
          <w:rFonts w:ascii="Arial" w:cs="Arial" w:eastAsia="Arial" w:hAnsi="Arial"/>
          <w:sz w:val="18"/>
          <w:szCs w:val="18"/>
          <w:color w:val="auto"/>
        </w:rPr>
      </w:pPr>
    </w:p>
    <w:p>
      <w:pPr>
        <w:ind w:right="40" w:firstLine="645"/>
        <w:spacing w:after="0" w:line="293"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affiliates have conducted</w:t>
      </w:r>
    </w:p>
    <w:p>
      <w:pPr>
        <w:sectPr>
          <w:pgSz w:w="11900" w:h="16934" w:orient="portrait"/>
          <w:cols w:equalWidth="0" w:num="1">
            <w:col w:w="10760"/>
          </w:cols>
          <w:pgMar w:left="900" w:top="125" w:right="239" w:bottom="0" w:gutter="0" w:footer="0" w:header="0"/>
        </w:sectPr>
      </w:pPr>
    </w:p>
    <w:bookmarkStart w:id="5" w:name="page6"/>
    <w:bookmarkEnd w:id="5"/>
    <w:p>
      <w:pPr>
        <w:ind w:left="660" w:right="480"/>
        <w:spacing w:after="0" w:line="342" w:lineRule="auto"/>
        <w:rPr>
          <w:sz w:val="20"/>
          <w:szCs w:val="20"/>
          <w:color w:val="auto"/>
        </w:rPr>
      </w:pPr>
      <w:r>
        <w:rPr>
          <w:rFonts w:ascii="Arial" w:cs="Arial" w:eastAsia="Arial" w:hAnsi="Arial"/>
          <w:sz w:val="16"/>
          <w:szCs w:val="16"/>
          <w:color w:val="auto"/>
        </w:rPr>
        <w:t>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24" w:lineRule="exact"/>
        <w:rPr>
          <w:sz w:val="20"/>
          <w:szCs w:val="20"/>
          <w:color w:val="auto"/>
        </w:rPr>
      </w:pPr>
    </w:p>
    <w:p>
      <w:pPr>
        <w:ind w:left="660" w:right="160" w:firstLine="645"/>
        <w:spacing w:after="0" w:line="297" w:lineRule="auto"/>
        <w:tabs>
          <w:tab w:leader="none" w:pos="196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60"/>
        <w:spacing w:after="0" w:line="266" w:lineRule="auto"/>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0" w:lineRule="exact"/>
        <w:rPr>
          <w:sz w:val="20"/>
          <w:szCs w:val="20"/>
          <w:color w:val="auto"/>
        </w:rPr>
      </w:pPr>
    </w:p>
    <w:p>
      <w:pPr>
        <w:ind w:left="660" w:right="580" w:firstLine="645"/>
        <w:spacing w:after="0" w:line="277" w:lineRule="auto"/>
        <w:tabs>
          <w:tab w:leader="none" w:pos="19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66" w:lineRule="exact"/>
        <w:rPr>
          <w:rFonts w:ascii="Arial" w:cs="Arial" w:eastAsia="Arial" w:hAnsi="Arial"/>
          <w:sz w:val="18"/>
          <w:szCs w:val="18"/>
          <w:color w:val="auto"/>
        </w:rPr>
      </w:pPr>
    </w:p>
    <w:p>
      <w:pPr>
        <w:ind w:left="1300" w:firstLine="1301"/>
        <w:spacing w:after="0" w:line="282" w:lineRule="auto"/>
        <w:tabs>
          <w:tab w:leader="none" w:pos="326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nor</w:t>
      </w:r>
    </w:p>
    <w:p>
      <w:pPr>
        <w:spacing w:after="0" w:line="165" w:lineRule="exact"/>
        <w:rPr>
          <w:rFonts w:ascii="Arial" w:cs="Arial" w:eastAsia="Arial" w:hAnsi="Arial"/>
          <w:sz w:val="18"/>
          <w:szCs w:val="18"/>
          <w:color w:val="auto"/>
        </w:rPr>
      </w:pPr>
    </w:p>
    <w:p>
      <w:pPr>
        <w:ind w:left="1300" w:right="640" w:firstLine="1301"/>
        <w:spacing w:after="0" w:line="277" w:lineRule="auto"/>
        <w:tabs>
          <w:tab w:leader="none" w:pos="3255" w:val="left"/>
        </w:tabs>
        <w:numPr>
          <w:ilvl w:val="2"/>
          <w:numId w:val="1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Libya, North Korea, Sudan and Syria).</w:t>
      </w:r>
    </w:p>
    <w:p>
      <w:pPr>
        <w:spacing w:after="0" w:line="170" w:lineRule="exact"/>
        <w:rPr>
          <w:rFonts w:ascii="Arial" w:cs="Arial" w:eastAsia="Arial" w:hAnsi="Arial"/>
          <w:sz w:val="18"/>
          <w:szCs w:val="18"/>
          <w:color w:val="auto"/>
        </w:rPr>
      </w:pPr>
    </w:p>
    <w:p>
      <w:pPr>
        <w:ind w:left="1460" w:right="460" w:firstLine="655"/>
        <w:spacing w:after="0" w:line="277" w:lineRule="auto"/>
        <w:tabs>
          <w:tab w:leader="none" w:pos="262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right="40" w:firstLine="1301"/>
        <w:spacing w:after="0" w:line="277" w:lineRule="auto"/>
        <w:tabs>
          <w:tab w:leader="none" w:pos="326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right="60" w:firstLine="1301"/>
        <w:spacing w:after="0" w:line="277" w:lineRule="auto"/>
        <w:tabs>
          <w:tab w:leader="none" w:pos="3255"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460" w:right="200" w:firstLine="655"/>
        <w:spacing w:after="0" w:line="264" w:lineRule="auto"/>
        <w:tabs>
          <w:tab w:leader="none" w:pos="26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past 3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sz w:val="20"/>
          <w:szCs w:val="20"/>
          <w:color w:val="auto"/>
        </w:rPr>
      </w:pPr>
    </w:p>
    <w:p>
      <w:pPr>
        <w:jc w:val="both"/>
        <w:ind w:left="660" w:right="140" w:firstLine="645"/>
        <w:spacing w:after="0" w:line="264" w:lineRule="auto"/>
        <w:tabs>
          <w:tab w:leader="none" w:pos="19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each of the Preliminary Memorandum, the Time of Sale Memorandum and the Final Memorandum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Agreements to Sell and Purchase</w:t>
      </w:r>
      <w:r>
        <w:rPr>
          <w:rFonts w:ascii="Arial" w:cs="Arial" w:eastAsia="Arial" w:hAnsi="Arial"/>
          <w:sz w:val="16"/>
          <w:szCs w:val="16"/>
          <w:color w:val="auto"/>
        </w:rPr>
        <w:t>. The Company hereby agrees to sell to the several Initial Purchasers, and each Initial Purchaser, upon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representations and warranties herein contained, but subject to the conditions hereinafter stated, agrees, severally and not jointly, to purchase from the Company the respective principal amounts of Securities set forth in Schedule I hereto opposite its name at a purchase price of 99.30% of the principal amount thereof (the “</w:t>
      </w:r>
      <w:r>
        <w:rPr>
          <w:rFonts w:ascii="Arial" w:cs="Arial" w:eastAsia="Arial" w:hAnsi="Arial"/>
          <w:sz w:val="18"/>
          <w:szCs w:val="18"/>
          <w:b w:val="1"/>
          <w:bCs w:val="1"/>
          <w:color w:val="auto"/>
        </w:rPr>
        <w:t>Purchase Price</w:t>
      </w:r>
      <w:r>
        <w:rPr>
          <w:rFonts w:ascii="Arial" w:cs="Arial" w:eastAsia="Arial" w:hAnsi="Arial"/>
          <w:sz w:val="18"/>
          <w:szCs w:val="18"/>
          <w:color w:val="auto"/>
        </w:rPr>
        <w:t>”), plus accrued interest, if any, from July 28, 2014 to the Closing Date.</w:t>
      </w:r>
    </w:p>
    <w:p>
      <w:pPr>
        <w:spacing w:after="0" w:line="181" w:lineRule="exact"/>
        <w:rPr>
          <w:sz w:val="20"/>
          <w:szCs w:val="20"/>
          <w:color w:val="auto"/>
        </w:rPr>
      </w:pPr>
    </w:p>
    <w:p>
      <w:pPr>
        <w:ind w:right="480" w:firstLine="656"/>
        <w:spacing w:after="0" w:line="308" w:lineRule="auto"/>
        <w:tabs>
          <w:tab w:leader="none" w:pos="129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Terms of Offering</w:t>
      </w:r>
      <w:r>
        <w:rPr>
          <w:rFonts w:ascii="Arial" w:cs="Arial" w:eastAsia="Arial" w:hAnsi="Arial"/>
          <w:sz w:val="17"/>
          <w:szCs w:val="17"/>
          <w:color w:val="auto"/>
        </w:rPr>
        <w:t>. You have advised the Company that the Initial Purchasers will make an offering of the Securities purchased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Purchasers hereunder as soon as practicable after this Agreement is entered into as in your judgment is advisable.</w:t>
      </w:r>
    </w:p>
    <w:p>
      <w:pPr>
        <w:spacing w:after="0" w:line="146" w:lineRule="exact"/>
        <w:rPr>
          <w:rFonts w:ascii="Arial" w:cs="Arial" w:eastAsia="Arial" w:hAnsi="Arial"/>
          <w:sz w:val="17"/>
          <w:szCs w:val="17"/>
          <w:color w:val="auto"/>
        </w:rPr>
      </w:pPr>
    </w:p>
    <w:p>
      <w:pPr>
        <w:ind w:right="60" w:firstLine="656"/>
        <w:spacing w:after="0" w:line="257" w:lineRule="auto"/>
        <w:tabs>
          <w:tab w:leader="none" w:pos="129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you at the office of Wilson Sonsini Goodrich &amp; Rosati, Professional Corporation, 650 Page Mill Road, Palo Alto, California, at approximately 7:00 a.m., California time, on July 28, 2014,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Initial Purchasers, with any transfer taxes payable in connection with the transfer of the Securities to the Initial Purchasers duly paid, against payment of the Purchase Price therefor.</w:t>
      </w:r>
    </w:p>
    <w:p>
      <w:pPr>
        <w:spacing w:after="0" w:line="187" w:lineRule="exact"/>
        <w:rPr>
          <w:sz w:val="20"/>
          <w:szCs w:val="20"/>
          <w:color w:val="auto"/>
        </w:rPr>
      </w:pPr>
    </w:p>
    <w:p>
      <w:pPr>
        <w:ind w:right="20" w:firstLine="656"/>
        <w:spacing w:after="0" w:line="27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Conditions to the Initial Purchasers’ Obligations</w:t>
      </w:r>
      <w:r>
        <w:rPr>
          <w:rFonts w:ascii="Arial" w:cs="Arial" w:eastAsia="Arial" w:hAnsi="Arial"/>
          <w:sz w:val="18"/>
          <w:szCs w:val="18"/>
          <w:color w:val="auto"/>
        </w:rPr>
        <w:t>. The several obligations of the Initial Purchasers to purchase and pay for the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are subject to the following conditions:</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auto"/>
        </w:rPr>
      </w:pPr>
    </w:p>
    <w:p>
      <w:pPr>
        <w:ind w:left="1460" w:right="60" w:firstLine="655"/>
        <w:spacing w:after="0" w:line="342" w:lineRule="auto"/>
        <w:tabs>
          <w:tab w:leader="none" w:pos="2616" w:val="left"/>
        </w:tabs>
        <w:numPr>
          <w:ilvl w:val="2"/>
          <w:numId w:val="14"/>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w:t>
      </w:r>
    </w:p>
    <w:p>
      <w:pPr>
        <w:sectPr>
          <w:pgSz w:w="11900" w:h="16838" w:orient="portrait"/>
          <w:cols w:equalWidth="0" w:num="1">
            <w:col w:w="11420"/>
          </w:cols>
          <w:pgMar w:left="240" w:top="125" w:right="239" w:bottom="0" w:gutter="0" w:footer="0" w:header="0"/>
        </w:sectPr>
      </w:pPr>
    </w:p>
    <w:bookmarkStart w:id="6" w:name="page7"/>
    <w:bookmarkEnd w:id="6"/>
    <w:p>
      <w:pPr>
        <w:ind w:left="804" w:right="880"/>
        <w:spacing w:after="0" w:line="277" w:lineRule="auto"/>
        <w:rPr>
          <w:sz w:val="20"/>
          <w:szCs w:val="20"/>
          <w:color w:val="auto"/>
        </w:rPr>
      </w:pPr>
      <w:r>
        <w:rPr>
          <w:rFonts w:ascii="Arial" w:cs="Arial" w:eastAsia="Arial" w:hAnsi="Arial"/>
          <w:sz w:val="18"/>
          <w:szCs w:val="18"/>
          <w:color w:val="auto"/>
        </w:rPr>
        <w:t>of the debt securities of the Company by any “nationally recognized statistical rating organization,” as such term is defined in Section 3(a)(62) of the Exchange Act; and</w:t>
      </w:r>
    </w:p>
    <w:p>
      <w:pPr>
        <w:spacing w:after="0" w:line="170" w:lineRule="exact"/>
        <w:rPr>
          <w:sz w:val="20"/>
          <w:szCs w:val="20"/>
          <w:color w:val="auto"/>
        </w:rPr>
      </w:pPr>
    </w:p>
    <w:p>
      <w:pPr>
        <w:ind w:left="804" w:right="120" w:firstLine="655"/>
        <w:spacing w:after="0" w:line="277" w:lineRule="auto"/>
        <w:tabs>
          <w:tab w:leader="none" w:pos="19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shall not have occurred any material change, or any development involving a prospective Material Adverse Effect, in the condition, financial or otherwise, or in the earnings,</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04"/>
        <w:spacing w:after="0" w:line="264" w:lineRule="auto"/>
        <w:rPr>
          <w:sz w:val="20"/>
          <w:szCs w:val="20"/>
          <w:color w:val="auto"/>
        </w:rPr>
      </w:pPr>
      <w:r>
        <w:rPr>
          <w:rFonts w:ascii="Arial" w:cs="Arial" w:eastAsia="Arial" w:hAnsi="Arial"/>
          <w:sz w:val="18"/>
          <w:szCs w:val="18"/>
          <w:color w:val="auto"/>
        </w:rPr>
        <w:t>business or operations of the Company and its subsidiaries, taken as a whole, from that set forth in the Time of Sale Memorandum that, in your judgment, is material and adverse and that makes it, in your judgment, impracticable to market the Securities on the terms and in the manner contemplated in the Time of Sale Memorandum.</w:t>
      </w:r>
    </w:p>
    <w:p>
      <w:pPr>
        <w:spacing w:after="0" w:line="181" w:lineRule="exact"/>
        <w:rPr>
          <w:sz w:val="20"/>
          <w:szCs w:val="20"/>
          <w:color w:val="auto"/>
        </w:rPr>
      </w:pPr>
    </w:p>
    <w:p>
      <w:pPr>
        <w:ind w:left="4" w:right="100" w:firstLine="645"/>
        <w:spacing w:after="0" w:line="290" w:lineRule="auto"/>
        <w:tabs>
          <w:tab w:leader="none" w:pos="13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Purchasers shall have received on the Closing Date a certificate, dated the Closing Date and signed by the chief executive officer or the chief financial officer of the Company, to the effect set forth in Section 5(a)(i)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has complied in all material respects with all of the agreements and satisfied all of the conditions on its part to be performed or satisfied hereunder on or before the Closing Date, and (iii) since the date of the most recent financial statements included in the Time of Sale Memorandum, there has been no material adverse change in the financial condition, earnings, business or properties of the Company and its subsidiaries, taken as a whole, except as set forth or contemplated in the Time of Sale Memorandum.</w:t>
      </w:r>
    </w:p>
    <w:p>
      <w:pPr>
        <w:spacing w:after="0" w:line="166" w:lineRule="exact"/>
        <w:rPr>
          <w:sz w:val="20"/>
          <w:szCs w:val="20"/>
          <w:color w:val="auto"/>
        </w:rPr>
      </w:pPr>
    </w:p>
    <w:p>
      <w:pPr>
        <w:ind w:left="644"/>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jc w:val="both"/>
        <w:ind w:left="4" w:right="360" w:firstLine="645"/>
        <w:spacing w:after="0" w:line="264"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Wilson Sonsini Goodrich &amp; Rosati, Professional Corporation, outside counsel for the Company, dated the Closing Date, to the effect set forth in Exhibit A. Such opinion shall be rendered to the Initial Purchasers at the request of the Company and shall so state therein.</w:t>
      </w:r>
    </w:p>
    <w:p>
      <w:pPr>
        <w:spacing w:after="0" w:line="181" w:lineRule="exact"/>
        <w:rPr>
          <w:rFonts w:ascii="Arial" w:cs="Arial" w:eastAsia="Arial" w:hAnsi="Arial"/>
          <w:sz w:val="18"/>
          <w:szCs w:val="18"/>
          <w:color w:val="auto"/>
        </w:rPr>
      </w:pPr>
    </w:p>
    <w:p>
      <w:pPr>
        <w:ind w:left="4" w:right="360" w:firstLine="645"/>
        <w:spacing w:after="0" w:line="277" w:lineRule="auto"/>
        <w:tabs>
          <w:tab w:leader="none" w:pos="13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Joel L. Poppen, the Company’s General Counsel, dated the Closing Date, to the effect set forth in Exhibit B.</w:t>
      </w:r>
    </w:p>
    <w:p>
      <w:pPr>
        <w:spacing w:after="0" w:line="170" w:lineRule="exact"/>
        <w:rPr>
          <w:rFonts w:ascii="Arial" w:cs="Arial" w:eastAsia="Arial" w:hAnsi="Arial"/>
          <w:sz w:val="18"/>
          <w:szCs w:val="18"/>
          <w:color w:val="auto"/>
        </w:rPr>
      </w:pPr>
    </w:p>
    <w:p>
      <w:pPr>
        <w:ind w:left="4" w:right="360" w:firstLine="645"/>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 opinion of Simpson Thacher &amp; Bartlett LLP, counsel for the Initial Purchasers, dated the Closing Date, in form and substance reasonably satisfactory to the Initial Purchasers.</w:t>
      </w:r>
    </w:p>
    <w:p>
      <w:pPr>
        <w:spacing w:after="0" w:line="170" w:lineRule="exact"/>
        <w:rPr>
          <w:rFonts w:ascii="Arial" w:cs="Arial" w:eastAsia="Arial" w:hAnsi="Arial"/>
          <w:sz w:val="18"/>
          <w:szCs w:val="18"/>
          <w:color w:val="auto"/>
        </w:rPr>
      </w:pPr>
    </w:p>
    <w:p>
      <w:pPr>
        <w:jc w:val="both"/>
        <w:ind w:left="4" w:right="380" w:firstLine="645"/>
        <w:spacing w:after="0" w:line="342" w:lineRule="auto"/>
        <w:tabs>
          <w:tab w:leader="none" w:pos="13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Initial Purchasers shall have received on each of the date hereof and the Closing Date a letter, dated the date hereof or the Closing Date, as applicable, in form and substance satisfactory to the Initial Purchasers, from PricewaterhouseCoopers LLP, independent public</w:t>
      </w:r>
    </w:p>
    <w:p>
      <w:pPr>
        <w:spacing w:after="0" w:line="1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accountants, containing statements and information of the type ordinarily included in accountants’ “comfort letters” to underwriters with respect to the financial statements and certain financial information contained in or incorporated by reference into the Time of Sale Memorandum and the Final Memorandum; provided that the letter delivered on the Closing Date shall use a “cut-off date” not earlier than July 21, 2014.</w:t>
      </w:r>
    </w:p>
    <w:p>
      <w:pPr>
        <w:spacing w:after="0" w:line="166" w:lineRule="exact"/>
        <w:rPr>
          <w:sz w:val="20"/>
          <w:szCs w:val="20"/>
          <w:color w:val="auto"/>
        </w:rPr>
      </w:pPr>
    </w:p>
    <w:p>
      <w:pPr>
        <w:ind w:left="4" w:right="160" w:firstLine="645"/>
        <w:spacing w:after="0" w:line="297" w:lineRule="auto"/>
        <w:tabs>
          <w:tab w:leader="none" w:pos="1321"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Initial Purchasers shall have received on each of the date hereof and the Closing Date a letter, dated the date hereof or the Closing Date, as applicable, in form and substance satisfactory to the Initial Purchasers, from KPMG LLP, independent public accountants, containing statements and information of the type ordinarily included in accountants’ “comfort letters” to underwriters with respect to the financial statements of Inotera Memories, Inc. (“</w:t>
      </w:r>
      <w:r>
        <w:rPr>
          <w:rFonts w:ascii="Arial" w:cs="Arial" w:eastAsia="Arial" w:hAnsi="Arial"/>
          <w:sz w:val="16"/>
          <w:szCs w:val="16"/>
          <w:b w:val="1"/>
          <w:bCs w:val="1"/>
          <w:color w:val="auto"/>
        </w:rPr>
        <w:t>Inotera</w:t>
      </w:r>
      <w:r>
        <w:rPr>
          <w:rFonts w:ascii="Arial" w:cs="Arial" w:eastAsia="Arial" w:hAnsi="Arial"/>
          <w:sz w:val="16"/>
          <w:szCs w:val="16"/>
          <w:color w:val="auto"/>
        </w:rPr>
        <w:t>”) contained in or incorporated by reference into the Time of Sale Memorandum and the Final Memorandum; provided that the letter delivered on the Closing Date shall use a “cut-off date” not earlier than December 31, 2012.</w:t>
      </w:r>
    </w:p>
    <w:p>
      <w:pPr>
        <w:spacing w:after="0" w:line="158" w:lineRule="exact"/>
        <w:rPr>
          <w:rFonts w:ascii="Arial" w:cs="Arial" w:eastAsia="Arial" w:hAnsi="Arial"/>
          <w:sz w:val="16"/>
          <w:szCs w:val="16"/>
          <w:color w:val="auto"/>
        </w:rPr>
      </w:pPr>
    </w:p>
    <w:p>
      <w:pPr>
        <w:ind w:left="4" w:right="60" w:firstLine="645"/>
        <w:spacing w:after="0" w:line="276" w:lineRule="auto"/>
        <w:tabs>
          <w:tab w:leader="none" w:pos="1308"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Initial Purchasers shall have received on each of the date hereof and the Closing Date a letter, dated the date hereof or the Closing Date, as applicable, in form and substance satisfactory to the Initial Purchasers, from Ernst &amp; Young ShinNihon LLC, independent auditors, containing statements and information of the type ordinarily included in accountants’ “comfort letters” to underwriters with respect to the financial statements of Elpida contained in or incorporated by reference into the Time of Sale Memorandum and the Final Memorandum; provided that the letter delivered on the Closing Date shall use a “cut-off date” not earlier than February 28, 2013.</w:t>
      </w:r>
    </w:p>
    <w:p>
      <w:pPr>
        <w:spacing w:after="0" w:line="172" w:lineRule="exact"/>
        <w:rPr>
          <w:rFonts w:ascii="Arial" w:cs="Arial" w:eastAsia="Arial" w:hAnsi="Arial"/>
          <w:sz w:val="17"/>
          <w:szCs w:val="17"/>
          <w:color w:val="auto"/>
        </w:rPr>
      </w:pPr>
    </w:p>
    <w:p>
      <w:pPr>
        <w:ind w:left="4" w:right="240" w:firstLine="645"/>
        <w:spacing w:after="0" w:line="302" w:lineRule="auto"/>
        <w:tabs>
          <w:tab w:leader="none" w:pos="1322"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indentures,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Initial Purchaser as follows:</w:t>
      </w:r>
    </w:p>
    <w:p>
      <w:pPr>
        <w:spacing w:after="0" w:line="225" w:lineRule="exact"/>
        <w:rPr>
          <w:rFonts w:ascii="Arial" w:cs="Arial" w:eastAsia="Arial" w:hAnsi="Arial"/>
          <w:sz w:val="18"/>
          <w:szCs w:val="18"/>
          <w:color w:val="auto"/>
        </w:rPr>
      </w:pPr>
    </w:p>
    <w:p>
      <w:pPr>
        <w:ind w:left="4" w:right="240" w:firstLine="645"/>
        <w:spacing w:after="0" w:line="31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furnish to you in New York City, without charge, prior to 7:00 a.m., California time, on the business day next succeeding the date of this Agreement and during the period mentioned in Section 6(d) or (e), electronic copies of the Time of Sale Memorandum, the Final Memorandum, any documents incorporated by reference therein and any supplements and amendments thereto as you may reasonably request.</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60" w:firstLine="645"/>
        <w:spacing w:after="0" w:line="342" w:lineRule="auto"/>
        <w:tabs>
          <w:tab w:leader="none" w:pos="13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Before amending or supplementing the Preliminary Memorandum, the Time of Sale Memorandum or the Final Memorandum, to furnish to you a copy of each such proposed amendment or supplement and not to use any such proposed amendment or supplement to which you</w:t>
      </w:r>
    </w:p>
    <w:p>
      <w:pPr>
        <w:sectPr>
          <w:pgSz w:w="11900" w:h="16838" w:orient="portrait"/>
          <w:cols w:equalWidth="0" w:num="1">
            <w:col w:w="10744"/>
          </w:cols>
          <w:pgMar w:left="896" w:top="125" w:right="259" w:bottom="0" w:gutter="0" w:footer="0" w:header="0"/>
        </w:sectPr>
      </w:pPr>
    </w:p>
    <w:bookmarkStart w:id="7" w:name="page8"/>
    <w:bookmarkEnd w:id="7"/>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reasonably object, except as may be required by applicable law.</w:t>
      </w:r>
    </w:p>
    <w:p>
      <w:pPr>
        <w:spacing w:after="0" w:line="225" w:lineRule="exact"/>
        <w:rPr>
          <w:sz w:val="20"/>
          <w:szCs w:val="20"/>
          <w:color w:val="auto"/>
        </w:rPr>
      </w:pPr>
    </w:p>
    <w:p>
      <w:pPr>
        <w:ind w:left="4" w:right="60" w:firstLine="645"/>
        <w:spacing w:after="0" w:line="342"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123" w:lineRule="exact"/>
        <w:rPr>
          <w:rFonts w:ascii="Arial" w:cs="Arial" w:eastAsia="Arial" w:hAnsi="Arial"/>
          <w:sz w:val="16"/>
          <w:szCs w:val="16"/>
          <w:color w:val="auto"/>
        </w:rPr>
      </w:pPr>
    </w:p>
    <w:p>
      <w:pPr>
        <w:ind w:left="4" w:right="60" w:firstLine="645"/>
        <w:spacing w:after="0" w:line="271" w:lineRule="auto"/>
        <w:tabs>
          <w:tab w:leader="none" w:pos="130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not misleading, or if, in the opinion of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when delivered to a prospective purchaser, be misleading or so that the Time of Sale Memorandum, as amended or supplemented, will comply with applicable law.</w:t>
      </w:r>
    </w:p>
    <w:p>
      <w:pPr>
        <w:spacing w:after="0" w:line="178" w:lineRule="exact"/>
        <w:rPr>
          <w:rFonts w:ascii="Arial" w:cs="Arial" w:eastAsia="Arial" w:hAnsi="Arial"/>
          <w:sz w:val="17"/>
          <w:szCs w:val="17"/>
          <w:color w:val="auto"/>
        </w:rPr>
      </w:pPr>
    </w:p>
    <w:p>
      <w:pPr>
        <w:ind w:left="4" w:firstLine="645"/>
        <w:spacing w:after="0" w:line="291"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when the Final Memorandum is delivered to a purchaser, not misleading, or if, in the opinion of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when the Final Memorandum is delivered to a purchaser, be misleading or so that the Final Memorandum, as amended or supplemented, will comply with applicable law.</w:t>
      </w:r>
    </w:p>
    <w:p>
      <w:pPr>
        <w:spacing w:after="0" w:line="167" w:lineRule="exact"/>
        <w:rPr>
          <w:rFonts w:ascii="Arial" w:cs="Arial" w:eastAsia="Arial" w:hAnsi="Arial"/>
          <w:sz w:val="16"/>
          <w:szCs w:val="16"/>
          <w:color w:val="auto"/>
        </w:rPr>
      </w:pPr>
    </w:p>
    <w:p>
      <w:pPr>
        <w:ind w:left="4" w:firstLine="645"/>
        <w:spacing w:after="0" w:line="277" w:lineRule="auto"/>
        <w:tabs>
          <w:tab w:leader="none" w:pos="1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and Canada as you shall reasonably request in writing prior</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180"/>
        <w:spacing w:after="0" w:line="264" w:lineRule="auto"/>
        <w:rPr>
          <w:sz w:val="20"/>
          <w:szCs w:val="20"/>
          <w:color w:val="auto"/>
        </w:rPr>
      </w:pPr>
      <w:r>
        <w:rPr>
          <w:rFonts w:ascii="Arial" w:cs="Arial" w:eastAsia="Arial" w:hAnsi="Arial"/>
          <w:sz w:val="18"/>
          <w:szCs w:val="18"/>
          <w:color w:val="auto"/>
        </w:rPr>
        <w:t>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1" w:lineRule="exact"/>
        <w:rPr>
          <w:sz w:val="20"/>
          <w:szCs w:val="20"/>
          <w:color w:val="auto"/>
        </w:rPr>
      </w:pPr>
    </w:p>
    <w:p>
      <w:pPr>
        <w:ind w:left="4" w:firstLine="645"/>
        <w:spacing w:after="0" w:line="282" w:lineRule="auto"/>
        <w:tabs>
          <w:tab w:leader="none" w:pos="1321" w:val="left"/>
        </w:tabs>
        <w:numPr>
          <w:ilvl w:val="1"/>
          <w:numId w:val="22"/>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issuance and sale of the Securities and all other fees or expenses in connection with the preparation of the Preliminary Memorandum, the Time of Sale Memorandum, the Final Memorandum, any Additional Written Offering Communication prepared by or on behalf of, used by, or referred to by the Company and any amendments and supplements to any of the foregoing, including all printing costs associated therewith, and the mailing and delivering of copies thereof to the Initial Purchasers, in the quantities herein above specified, (ii) all costs and expenses related to the transfer and delivery of the Securities to the Initial Purchasers,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Initial Purchasers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w:t>
      </w:r>
    </w:p>
    <w:p>
      <w:pPr>
        <w:spacing w:after="0" w:line="12" w:lineRule="exact"/>
        <w:rPr>
          <w:rFonts w:ascii="Arial" w:cs="Arial" w:eastAsia="Arial" w:hAnsi="Arial"/>
          <w:sz w:val="16"/>
          <w:szCs w:val="16"/>
          <w:color w:val="auto"/>
        </w:rPr>
      </w:pPr>
    </w:p>
    <w:p>
      <w:pPr>
        <w:ind w:left="4" w:right="100" w:hanging="4"/>
        <w:spacing w:after="0" w:line="255"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 Section,</w:t>
      </w:r>
    </w:p>
    <w:p>
      <w:pPr>
        <w:spacing w:after="0" w:line="19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300"/>
        <w:spacing w:after="0" w:line="264" w:lineRule="auto"/>
        <w:rPr>
          <w:sz w:val="20"/>
          <w:szCs w:val="20"/>
          <w:color w:val="auto"/>
        </w:rPr>
      </w:pPr>
      <w:r>
        <w:rPr>
          <w:rFonts w:ascii="Arial" w:cs="Arial" w:eastAsia="Arial" w:hAnsi="Arial"/>
          <w:sz w:val="18"/>
          <w:szCs w:val="18"/>
          <w:color w:val="auto"/>
        </w:rPr>
        <w:t>Section 8, and the last paragraph of Section 10,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181" w:lineRule="exact"/>
        <w:rPr>
          <w:sz w:val="20"/>
          <w:szCs w:val="20"/>
          <w:color w:val="auto"/>
        </w:rPr>
      </w:pPr>
    </w:p>
    <w:p>
      <w:pPr>
        <w:ind w:left="4" w:right="380" w:firstLine="645"/>
        <w:spacing w:after="0" w:line="277" w:lineRule="auto"/>
        <w:tabs>
          <w:tab w:leader="none" w:pos="13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Memorandum under the caption “Use of Proceeds.”</w:t>
      </w:r>
    </w:p>
    <w:p>
      <w:pPr>
        <w:spacing w:after="0" w:line="170" w:lineRule="exact"/>
        <w:rPr>
          <w:rFonts w:ascii="Arial" w:cs="Arial" w:eastAsia="Arial" w:hAnsi="Arial"/>
          <w:sz w:val="18"/>
          <w:szCs w:val="18"/>
          <w:color w:val="auto"/>
        </w:rPr>
      </w:pPr>
    </w:p>
    <w:p>
      <w:pPr>
        <w:ind w:left="4" w:right="40" w:firstLine="645"/>
        <w:spacing w:after="0" w:line="264" w:lineRule="auto"/>
        <w:tabs>
          <w:tab w:leader="none" w:pos="13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the Company nor its Affiliates will sell, offer for sale or solicit offers to buy or otherwise negotiate in respect of any security (as defined in the Securities Act) that could be integrated with the sale of the Securities in a manner that would require the registration under the Securities Act of the Securities.</w:t>
      </w:r>
    </w:p>
    <w:p>
      <w:pPr>
        <w:spacing w:after="0" w:line="181" w:lineRule="exact"/>
        <w:rPr>
          <w:rFonts w:ascii="Arial" w:cs="Arial" w:eastAsia="Arial" w:hAnsi="Arial"/>
          <w:sz w:val="18"/>
          <w:szCs w:val="18"/>
          <w:color w:val="auto"/>
        </w:rPr>
      </w:pPr>
    </w:p>
    <w:p>
      <w:pPr>
        <w:ind w:left="4" w:firstLine="645"/>
        <w:spacing w:after="0" w:line="264" w:lineRule="auto"/>
        <w:tabs>
          <w:tab w:leader="none" w:pos="13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to solicit any offer to buy or offer or sell the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181" w:lineRule="exact"/>
        <w:rPr>
          <w:rFonts w:ascii="Arial" w:cs="Arial" w:eastAsia="Arial" w:hAnsi="Arial"/>
          <w:sz w:val="18"/>
          <w:szCs w:val="18"/>
          <w:color w:val="auto"/>
        </w:rPr>
      </w:pPr>
    </w:p>
    <w:p>
      <w:pPr>
        <w:ind w:left="4" w:right="80" w:firstLine="645"/>
        <w:spacing w:after="0" w:line="342" w:lineRule="auto"/>
        <w:tabs>
          <w:tab w:leader="none" w:pos="13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While any of the Securities remain “restricted securities” within the meaning of the Securities Act, to make available, upon request, to any seller of such Securities the information specified in Rule 144A(d)(4) under the Securities Act, unless the Company is then subject to</w:t>
      </w:r>
    </w:p>
    <w:p>
      <w:pPr>
        <w:sectPr>
          <w:pgSz w:w="11900" w:h="16975" w:orient="portrait"/>
          <w:cols w:equalWidth="0" w:num="1">
            <w:col w:w="10764"/>
          </w:cols>
          <w:pgMar w:left="896" w:top="125"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Section 13 or 15(d) of the Exchange Act.</w:t>
      </w:r>
    </w:p>
    <w:p>
      <w:pPr>
        <w:spacing w:after="0" w:line="225" w:lineRule="exact"/>
        <w:rPr>
          <w:sz w:val="20"/>
          <w:szCs w:val="20"/>
          <w:color w:val="auto"/>
        </w:rPr>
      </w:pPr>
    </w:p>
    <w:p>
      <w:pPr>
        <w:ind w:left="660" w:right="20" w:firstLine="645"/>
        <w:spacing w:after="0" w:line="259" w:lineRule="auto"/>
        <w:tabs>
          <w:tab w:leader="none" w:pos="19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 of the Company, its Affiliates or any person acting on its or their behalf (other than the Initial Purchasers, their Affiliates or any person acting on their behalf) will engage in any directed selling efforts (as that term is defined in Regulation S) with respect to the Securities, and the Company and its Affiliates and each person acting on its or their behalf (other than the Initial Purchasers, their Affiliates or any person acting on their behalf) will comply with the offering restrictions requirement of Regulation S.</w:t>
      </w:r>
    </w:p>
    <w:p>
      <w:pPr>
        <w:spacing w:after="0" w:line="186" w:lineRule="exact"/>
        <w:rPr>
          <w:rFonts w:ascii="Arial" w:cs="Arial" w:eastAsia="Arial" w:hAnsi="Arial"/>
          <w:sz w:val="18"/>
          <w:szCs w:val="18"/>
          <w:color w:val="auto"/>
        </w:rPr>
      </w:pPr>
    </w:p>
    <w:p>
      <w:pPr>
        <w:jc w:val="both"/>
        <w:ind w:left="660" w:right="40" w:firstLine="645"/>
        <w:spacing w:after="0" w:line="264"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period of one year after the Closing Date, the Company will not, and will use its commercially reasonable efforts to not permit any of its affiliates (as defined in Rule 144 under the Securities Act) to, resell any of the Securities that constitute “restricted securities” under Rule 144 that have been reacquired by any of them.</w:t>
      </w:r>
    </w:p>
    <w:p>
      <w:pPr>
        <w:spacing w:after="0" w:line="181"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to take any action prohibited by Regulation M under the Exchange Act in connection with the distribution of the Securities contemplated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also agrees that, without the prior written consent of Morgan Stanley &amp; Co. LLC on behalf of the Initial Purchasers, it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87" w:lineRule="exact"/>
        <w:rPr>
          <w:sz w:val="20"/>
          <w:szCs w:val="20"/>
          <w:color w:val="auto"/>
        </w:rPr>
      </w:pPr>
    </w:p>
    <w:p>
      <w:pPr>
        <w:ind w:right="120" w:firstLine="656"/>
        <w:spacing w:after="0" w:line="270" w:lineRule="auto"/>
        <w:tabs>
          <w:tab w:leader="none" w:pos="129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Offering of Securities; Restrictions on Transfer</w:t>
      </w:r>
      <w:r>
        <w:rPr>
          <w:rFonts w:ascii="Arial" w:cs="Arial" w:eastAsia="Arial" w:hAnsi="Arial"/>
          <w:sz w:val="17"/>
          <w:szCs w:val="17"/>
          <w:color w:val="auto"/>
        </w:rPr>
        <w:t>. (a) Each Initial Purchaser, severally and not jointly, represents and warrants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 is a qualified institutional buyer as defined in Rule 144A under the Securities Act (a “</w:t>
      </w:r>
      <w:r>
        <w:rPr>
          <w:rFonts w:ascii="Arial" w:cs="Arial" w:eastAsia="Arial" w:hAnsi="Arial"/>
          <w:sz w:val="17"/>
          <w:szCs w:val="17"/>
          <w:b w:val="1"/>
          <w:bCs w:val="1"/>
          <w:color w:val="auto"/>
        </w:rPr>
        <w:t>QIB</w:t>
      </w:r>
      <w:r>
        <w:rPr>
          <w:rFonts w:ascii="Arial" w:cs="Arial" w:eastAsia="Arial" w:hAnsi="Arial"/>
          <w:sz w:val="17"/>
          <w:szCs w:val="17"/>
          <w:color w:val="auto"/>
        </w:rPr>
        <w:t>”). Each Initial Purchaser, severally and not jointly, agrees with the Company that (i) it will not solicit offers for, or offer or sell, such Securities by any form of general solicitation or general advertising (as those terms are used in Regulation D under the Securities Act) or in any manner involving a public offering within the meaning of Section 4(2) of the Securities Act and (ii) it will solicit offers for such Securities only from, and will offer such Securities only to, persons inside the United States that it reasonably believes to be QIBs. In addition, each Initial Purchaser, severally and not jointly, agrees with the Company that, in the case of offers outside the United States, it will solicit offers for such Securities only from, and will offer such Securities only to, persons other than U.S. persons (“</w:t>
      </w:r>
      <w:r>
        <w:rPr>
          <w:rFonts w:ascii="Arial" w:cs="Arial" w:eastAsia="Arial" w:hAnsi="Arial"/>
          <w:sz w:val="17"/>
          <w:szCs w:val="17"/>
          <w:b w:val="1"/>
          <w:bCs w:val="1"/>
          <w:color w:val="auto"/>
        </w:rPr>
        <w:t>foreign</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purchasers</w:t>
      </w:r>
      <w:r>
        <w:rPr>
          <w:rFonts w:ascii="Arial" w:cs="Arial" w:eastAsia="Arial" w:hAnsi="Arial"/>
          <w:sz w:val="17"/>
          <w:szCs w:val="17"/>
          <w:color w:val="auto"/>
        </w:rPr>
        <w:t>,” which term shall include dealers or other professional fiduciaries in the United States acting on a discretionary basis for foreign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(other than an estate or trust)) in reliance upon Regulation S under the Securities Act that in purchasing such Securities are deemed to have represented and agreed as provided in the Final Memorandum under the caption “Transfer Restrictions”.</w:t>
      </w:r>
    </w:p>
    <w:p>
      <w:pPr>
        <w:spacing w:after="0" w:line="177" w:lineRule="exact"/>
        <w:rPr>
          <w:rFonts w:ascii="Arial" w:cs="Arial" w:eastAsia="Arial" w:hAnsi="Arial"/>
          <w:sz w:val="17"/>
          <w:szCs w:val="17"/>
          <w:color w:val="auto"/>
        </w:rPr>
      </w:pPr>
    </w:p>
    <w:p>
      <w:pPr>
        <w:ind w:left="660" w:right="180" w:firstLine="645"/>
        <w:spacing w:after="0" w:line="277" w:lineRule="auto"/>
        <w:tabs>
          <w:tab w:leader="none" w:pos="1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Initial Purchaser, severally and not jointly, represents, warrants, and agrees (on behalf of itself, its Affiliates and any person acting on its or their behalf) with respect to offers and sales outside the United States that:</w:t>
      </w:r>
    </w:p>
    <w:p>
      <w:pPr>
        <w:spacing w:after="0" w:line="170" w:lineRule="exact"/>
        <w:rPr>
          <w:rFonts w:ascii="Arial" w:cs="Arial" w:eastAsia="Arial" w:hAnsi="Arial"/>
          <w:sz w:val="18"/>
          <w:szCs w:val="18"/>
          <w:color w:val="auto"/>
        </w:rPr>
      </w:pPr>
    </w:p>
    <w:p>
      <w:pPr>
        <w:jc w:val="both"/>
        <w:ind w:left="1460" w:right="60" w:firstLine="655"/>
        <w:spacing w:after="0" w:line="259" w:lineRule="auto"/>
        <w:tabs>
          <w:tab w:leader="none" w:pos="2616" w:val="left"/>
        </w:tabs>
        <w:numPr>
          <w:ilvl w:val="2"/>
          <w:numId w:val="26"/>
        </w:numPr>
        <w:rPr>
          <w:rFonts w:ascii="Arial" w:cs="Arial" w:eastAsia="Arial" w:hAnsi="Arial"/>
          <w:sz w:val="18"/>
          <w:szCs w:val="18"/>
          <w:color w:val="auto"/>
        </w:rPr>
      </w:pPr>
      <w:r>
        <w:rPr>
          <w:rFonts w:ascii="Arial" w:cs="Arial" w:eastAsia="Arial" w:hAnsi="Arial"/>
          <w:sz w:val="18"/>
          <w:szCs w:val="18"/>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186" w:lineRule="exact"/>
        <w:rPr>
          <w:rFonts w:ascii="Arial" w:cs="Arial" w:eastAsia="Arial" w:hAnsi="Arial"/>
          <w:sz w:val="18"/>
          <w:szCs w:val="18"/>
          <w:color w:val="auto"/>
        </w:rPr>
      </w:pPr>
    </w:p>
    <w:p>
      <w:pPr>
        <w:ind w:left="1460" w:firstLine="655"/>
        <w:spacing w:after="0" w:line="264" w:lineRule="auto"/>
        <w:tabs>
          <w:tab w:leader="none" w:pos="2625" w:val="left"/>
        </w:tabs>
        <w:numPr>
          <w:ilvl w:val="2"/>
          <w:numId w:val="26"/>
        </w:numPr>
        <w:rPr>
          <w:rFonts w:ascii="Arial" w:cs="Arial" w:eastAsia="Arial" w:hAnsi="Arial"/>
          <w:sz w:val="18"/>
          <w:szCs w:val="18"/>
          <w:color w:val="auto"/>
        </w:rPr>
      </w:pPr>
      <w:r>
        <w:rPr>
          <w:rFonts w:ascii="Arial" w:cs="Arial" w:eastAsia="Arial" w:hAnsi="Arial"/>
          <w:sz w:val="18"/>
          <w:szCs w:val="18"/>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460" w:right="160" w:firstLine="655"/>
        <w:spacing w:after="0" w:line="264" w:lineRule="auto"/>
        <w:tabs>
          <w:tab w:leader="none" w:pos="2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Securities have not been registered under the Securities Act and may not be offered or sold within the United States or to, or for the account or benefit of, U.S. persons except in accordance with Rule 144A under the Securities Act or pursuant to another exemption from the registration requirements of the Securities Act;</w:t>
      </w:r>
    </w:p>
    <w:p>
      <w:pPr>
        <w:spacing w:after="0" w:line="181" w:lineRule="exact"/>
        <w:rPr>
          <w:rFonts w:ascii="Arial" w:cs="Arial" w:eastAsia="Arial" w:hAnsi="Arial"/>
          <w:sz w:val="18"/>
          <w:szCs w:val="18"/>
          <w:color w:val="auto"/>
        </w:rPr>
      </w:pPr>
    </w:p>
    <w:p>
      <w:pPr>
        <w:ind w:left="1460" w:right="60" w:firstLine="655"/>
        <w:spacing w:after="0" w:line="255" w:lineRule="auto"/>
        <w:tabs>
          <w:tab w:leader="none" w:pos="26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Initial Purchaser has offered the Securities and will offer and sell the Securities (A) as part of their distribution at any time and (B) otherwise until 40 days after the later of the commencement of the offering and the Closing, only in accordance with Rule 903 of Regulation S or as otherwise permitted in Section 7(a); accordingly, neither such Initial Purchaser, its Affiliates nor any persons acting on its or their behalf have engaged or will engage in any directed selling efforts (within the meaning of Regulation S) with respect to the Securities, and any such Initial Purchaser, its Affiliates and any such persons have complied and will comply with the offering restrictions requirement of Regulation S;</w:t>
      </w:r>
    </w:p>
    <w:p>
      <w:pPr>
        <w:spacing w:after="0" w:line="193" w:lineRule="exact"/>
        <w:rPr>
          <w:rFonts w:ascii="Arial" w:cs="Arial" w:eastAsia="Arial" w:hAnsi="Arial"/>
          <w:sz w:val="18"/>
          <w:szCs w:val="18"/>
          <w:color w:val="auto"/>
        </w:rPr>
      </w:pPr>
    </w:p>
    <w:p>
      <w:pPr>
        <w:ind w:left="1460" w:right="100" w:firstLine="655"/>
        <w:spacing w:after="0" w:line="259" w:lineRule="auto"/>
        <w:tabs>
          <w:tab w:leader="none" w:pos="26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Initial Purchaser, in relation to each Member State of the European Economic Area which has implemented the Prospectus Directive (each, a “</w:t>
      </w:r>
      <w:r>
        <w:rPr>
          <w:rFonts w:ascii="Arial" w:cs="Arial" w:eastAsia="Arial" w:hAnsi="Arial"/>
          <w:sz w:val="18"/>
          <w:szCs w:val="18"/>
          <w:b w:val="1"/>
          <w:bCs w:val="1"/>
          <w:color w:val="auto"/>
        </w:rPr>
        <w:t>Relevant Member State</w:t>
      </w:r>
      <w:r>
        <w:rPr>
          <w:rFonts w:ascii="Arial" w:cs="Arial" w:eastAsia="Arial" w:hAnsi="Arial"/>
          <w:sz w:val="18"/>
          <w:szCs w:val="18"/>
          <w:color w:val="auto"/>
        </w:rPr>
        <w:t>”), has represented and agreed that with effect from and including the date on which the Prospectus Directive is implemented in that Relevant Member State it has not made and will not make an offer of Securities to the public in that Relevant Member State, other than:</w:t>
      </w:r>
    </w:p>
    <w:p>
      <w:pPr>
        <w:spacing w:after="0" w:line="186" w:lineRule="exact"/>
        <w:rPr>
          <w:rFonts w:ascii="Arial" w:cs="Arial" w:eastAsia="Arial" w:hAnsi="Arial"/>
          <w:sz w:val="18"/>
          <w:szCs w:val="18"/>
          <w:color w:val="auto"/>
        </w:rPr>
      </w:pPr>
    </w:p>
    <w:p>
      <w:pPr>
        <w:ind w:left="3260" w:hanging="659"/>
        <w:spacing w:after="0"/>
        <w:tabs>
          <w:tab w:leader="none" w:pos="3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right="40" w:firstLine="1301"/>
        <w:spacing w:after="0" w:line="259" w:lineRule="auto"/>
        <w:tabs>
          <w:tab w:leader="none" w:pos="32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Morgan Stanley &amp; Co. LLC on behalf of the Initial Purchasers for any such offer; or</w:t>
      </w:r>
    </w:p>
    <w:p>
      <w:pPr>
        <w:spacing w:after="0" w:line="186" w:lineRule="exact"/>
        <w:rPr>
          <w:rFonts w:ascii="Arial" w:cs="Arial" w:eastAsia="Arial" w:hAnsi="Arial"/>
          <w:sz w:val="18"/>
          <w:szCs w:val="18"/>
          <w:color w:val="auto"/>
        </w:rPr>
      </w:pPr>
    </w:p>
    <w:p>
      <w:pPr>
        <w:ind w:left="1300" w:right="300" w:firstLine="1301"/>
        <w:spacing w:after="0" w:line="342" w:lineRule="auto"/>
        <w:tabs>
          <w:tab w:leader="none" w:pos="325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 of the Prospectus Directive, provided that no such offer of Securities shall require the Company or any Initial Purchaser to publish a prospectus pursuant to Article 3 of the Prospectus Directive.</w:t>
      </w:r>
    </w:p>
    <w:p>
      <w:pPr>
        <w:sectPr>
          <w:pgSz w:w="11900" w:h="16838" w:orient="portrait"/>
          <w:cols w:equalWidth="0" w:num="1">
            <w:col w:w="11420"/>
          </w:cols>
          <w:pgMar w:left="240" w:top="125"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For the purposes of the above,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that Member State, and the expression “2010 PD Amending Directive” means Directive 2010/73/EU;</w:t>
      </w:r>
    </w:p>
    <w:p>
      <w:pPr>
        <w:spacing w:after="0" w:line="178" w:lineRule="exact"/>
        <w:rPr>
          <w:sz w:val="20"/>
          <w:szCs w:val="20"/>
          <w:color w:val="auto"/>
        </w:rPr>
      </w:pPr>
    </w:p>
    <w:p>
      <w:pPr>
        <w:ind w:left="1460" w:right="60" w:firstLine="655"/>
        <w:spacing w:after="0" w:line="297" w:lineRule="auto"/>
        <w:tabs>
          <w:tab w:leader="none" w:pos="26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such Initial Purchaser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received by it in connection with the issue or sale of the Securities in circumstances in which Section 21(1) of such Act does not apply to us and it has complied and will comply with all applicable provisions of such Act with respect to anything done by it in relation to any Securities in, from or otherwise involving the United Kingdom;</w:t>
      </w:r>
    </w:p>
    <w:p>
      <w:pPr>
        <w:spacing w:after="0" w:line="158" w:lineRule="exact"/>
        <w:rPr>
          <w:rFonts w:ascii="Arial" w:cs="Arial" w:eastAsia="Arial" w:hAnsi="Arial"/>
          <w:sz w:val="16"/>
          <w:szCs w:val="16"/>
          <w:color w:val="auto"/>
        </w:rPr>
      </w:pPr>
    </w:p>
    <w:p>
      <w:pPr>
        <w:ind w:left="1460" w:right="20" w:firstLine="655"/>
        <w:spacing w:after="0" w:line="270" w:lineRule="auto"/>
        <w:tabs>
          <w:tab w:leader="none" w:pos="26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Initial Purchaser agrees that the Securities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which are or are intended to be disposed of only to persons outside Hong Kong or only to “professional investors” within the meaning of the Securities and Futures Ordinance (Cap.571, Laws of Hong Kong) and any rules made thereunder;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80" w:firstLine="655"/>
        <w:spacing w:after="0" w:line="284" w:lineRule="auto"/>
        <w:tabs>
          <w:tab w:leader="none" w:pos="263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such Initial Purchaser understands that the prospectus has not been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w:t>
      </w:r>
    </w:p>
    <w:p>
      <w:pPr>
        <w:spacing w:after="0" w:line="4" w:lineRule="exact"/>
        <w:rPr>
          <w:rFonts w:ascii="Arial" w:cs="Arial" w:eastAsia="Arial" w:hAnsi="Arial"/>
          <w:sz w:val="16"/>
          <w:szCs w:val="16"/>
          <w:color w:val="auto"/>
        </w:rPr>
      </w:pPr>
    </w:p>
    <w:p>
      <w:pPr>
        <w:ind w:left="1460" w:right="20" w:firstLine="7"/>
        <w:spacing w:after="0" w:line="268" w:lineRule="auto"/>
        <w:tabs>
          <w:tab w:leader="none" w:pos="17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 Where the Securities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2" w:lineRule="exact"/>
        <w:rPr>
          <w:rFonts w:ascii="Arial" w:cs="Arial" w:eastAsia="Arial" w:hAnsi="Arial"/>
          <w:sz w:val="17"/>
          <w:szCs w:val="17"/>
          <w:color w:val="auto"/>
        </w:rPr>
      </w:pPr>
    </w:p>
    <w:p>
      <w:pPr>
        <w:ind w:left="1460" w:right="120" w:firstLine="655"/>
        <w:spacing w:after="0" w:line="279" w:lineRule="auto"/>
        <w:tabs>
          <w:tab w:leader="none" w:pos="2611" w:val="left"/>
        </w:tabs>
        <w:numPr>
          <w:ilvl w:val="1"/>
          <w:numId w:val="30"/>
        </w:numPr>
        <w:rPr>
          <w:rFonts w:ascii="Arial" w:cs="Arial" w:eastAsia="Arial" w:hAnsi="Arial"/>
          <w:sz w:val="17"/>
          <w:szCs w:val="17"/>
          <w:color w:val="auto"/>
        </w:rPr>
      </w:pPr>
      <w:r>
        <w:rPr>
          <w:rFonts w:ascii="Arial" w:cs="Arial" w:eastAsia="Arial" w:hAnsi="Arial"/>
          <w:sz w:val="17"/>
          <w:szCs w:val="17"/>
          <w:color w:val="auto"/>
        </w:rPr>
        <w:t>such Initial Purchaser understands that the Securities have not been and will not be registered under the Securities and Exchange Law of Japan, and represents that it has not offered or sold, and agrees not to offer or sell, directly or indirectly, any Securities in Japan or for the account of any resident thereof except pursuant to any exemption from the registration requirements of the Securities and Exchange Law of Japan and otherwise in compliance with applicable provisions of Japanese law; and</w:t>
      </w:r>
    </w:p>
    <w:p>
      <w:pPr>
        <w:spacing w:after="0" w:line="171" w:lineRule="exact"/>
        <w:rPr>
          <w:rFonts w:ascii="Arial" w:cs="Arial" w:eastAsia="Arial" w:hAnsi="Arial"/>
          <w:sz w:val="17"/>
          <w:szCs w:val="17"/>
          <w:color w:val="auto"/>
        </w:rPr>
      </w:pPr>
    </w:p>
    <w:p>
      <w:pPr>
        <w:ind w:left="1460" w:right="40" w:firstLine="655"/>
        <w:spacing w:after="0" w:line="308" w:lineRule="auto"/>
        <w:tabs>
          <w:tab w:leader="none" w:pos="2602" w:val="left"/>
        </w:tabs>
        <w:numPr>
          <w:ilvl w:val="1"/>
          <w:numId w:val="30"/>
        </w:numPr>
        <w:rPr>
          <w:rFonts w:ascii="Arial" w:cs="Arial" w:eastAsia="Arial" w:hAnsi="Arial"/>
          <w:sz w:val="17"/>
          <w:szCs w:val="17"/>
          <w:color w:val="auto"/>
        </w:rPr>
      </w:pPr>
      <w:r>
        <w:rPr>
          <w:rFonts w:ascii="Arial" w:cs="Arial" w:eastAsia="Arial" w:hAnsi="Arial"/>
          <w:sz w:val="17"/>
          <w:szCs w:val="17"/>
          <w:color w:val="auto"/>
        </w:rPr>
        <w:t>such Initial Purchaser agrees that, at or prior to confirmation of sales of the Securities, it will have sent to each distributor, dealer or person receiving a selling concession, fee or other remuneration that purchases Securities from it during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restricted period a confirmation or notice to substantially the following effect:</w:t>
      </w:r>
    </w:p>
    <w:p>
      <w:pPr>
        <w:spacing w:after="0" w:line="225" w:lineRule="exact"/>
        <w:rPr>
          <w:sz w:val="20"/>
          <w:szCs w:val="20"/>
          <w:color w:val="auto"/>
        </w:rPr>
      </w:pPr>
    </w:p>
    <w:p>
      <w:pPr>
        <w:ind w:left="1960" w:right="80" w:firstLine="648"/>
        <w:spacing w:after="0" w:line="257" w:lineRule="auto"/>
        <w:rPr>
          <w:sz w:val="20"/>
          <w:szCs w:val="20"/>
          <w:color w:val="auto"/>
        </w:rPr>
      </w:pPr>
      <w:r>
        <w:rPr>
          <w:rFonts w:ascii="Arial" w:cs="Arial" w:eastAsia="Arial" w:hAnsi="Arial"/>
          <w:sz w:val="18"/>
          <w:szCs w:val="18"/>
          <w:color w:val="auto"/>
        </w:rPr>
        <w:t>“The Securities covered hereby have not been registered under the U.S. Securities Act of 1933 (the “Securities Act”) and may not be offered and sold within the United States or to, or for the account or benefit of, U.S. persons (i) as part of their distribution at any time or (ii) otherwise until 40 days after the later of the commencement of the offering and the closing date, except in either case in accordance with Regulation S (or Rule 144A if available) under the Securities Act. Terms used above have the meaning given to them by Regulation 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this Section 7(b) have the meanings given to them by Regulation S.</w:t>
      </w:r>
    </w:p>
    <w:p>
      <w:pPr>
        <w:spacing w:after="0" w:line="225" w:lineRule="exact"/>
        <w:rPr>
          <w:sz w:val="20"/>
          <w:szCs w:val="20"/>
          <w:color w:val="auto"/>
        </w:rPr>
      </w:pPr>
    </w:p>
    <w:p>
      <w:pPr>
        <w:ind w:firstLine="656"/>
        <w:spacing w:after="0" w:line="297" w:lineRule="auto"/>
        <w:tabs>
          <w:tab w:leader="none" w:pos="129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Initial Purchaser, the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agents of the Initial Purchasers and each person, if any, who controls any Initial Purchaser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w:t>
      </w:r>
    </w:p>
    <w:p>
      <w:pPr>
        <w:sectPr>
          <w:pgSz w:w="11900" w:h="16838" w:orient="portrait"/>
          <w:cols w:equalWidth="0" w:num="1">
            <w:col w:w="11420"/>
          </w:cols>
          <w:pgMar w:left="240" w:top="125" w:right="239" w:bottom="0" w:gutter="0" w:footer="0" w:header="0"/>
        </w:sectPr>
      </w:pPr>
    </w:p>
    <w:bookmarkStart w:id="10" w:name="page11"/>
    <w:bookmarkEnd w:id="10"/>
    <w:p>
      <w:pPr>
        <w:ind w:right="140"/>
        <w:spacing w:after="0" w:line="273" w:lineRule="auto"/>
        <w:rPr>
          <w:sz w:val="20"/>
          <w:szCs w:val="20"/>
          <w:color w:val="auto"/>
        </w:rPr>
      </w:pPr>
      <w:r>
        <w:rPr>
          <w:rFonts w:ascii="Arial" w:cs="Arial" w:eastAsia="Arial" w:hAnsi="Arial"/>
          <w:sz w:val="17"/>
          <w:szCs w:val="17"/>
          <w:color w:val="auto"/>
        </w:rPr>
        <w:t>Preliminary Memorandum, the Time of Sale Memorandum or any amendment or supplement thereto, any Additional Written Offering Communication prepared by or on behalf of, used by, or referred to by the Company, any “road show” as defined in Rule 433(h) under the Securities Act (a “road show”)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 relating to any Initial Purchaser furnished to the Company in writing by such Initial Purchaser through you expressly for use therein.</w:t>
      </w:r>
    </w:p>
    <w:p>
      <w:pPr>
        <w:spacing w:after="0" w:line="178" w:lineRule="exact"/>
        <w:rPr>
          <w:sz w:val="20"/>
          <w:szCs w:val="20"/>
          <w:color w:val="auto"/>
        </w:rPr>
      </w:pPr>
    </w:p>
    <w:p>
      <w:pPr>
        <w:ind w:left="660" w:firstLine="645"/>
        <w:spacing w:after="0" w:line="259" w:lineRule="auto"/>
        <w:tabs>
          <w:tab w:leader="none" w:pos="1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Initial Purchaser agrees, severally and not jointly, to indemnify and hold harmless the Company, each of its directors, officers, employees and agents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97" w:lineRule="auto"/>
        <w:rPr>
          <w:sz w:val="20"/>
          <w:szCs w:val="20"/>
          <w:color w:val="auto"/>
        </w:rPr>
      </w:pPr>
      <w:r>
        <w:rPr>
          <w:rFonts w:ascii="Arial" w:cs="Arial" w:eastAsia="Arial" w:hAnsi="Arial"/>
          <w:sz w:val="16"/>
          <w:szCs w:val="16"/>
          <w:color w:val="auto"/>
        </w:rPr>
        <w:t>writing by such Initial Purchaser through you expressly for use in the Preliminary Memorandum, the Time of Sale Memorandum, any Additional Written Offering Communication prepared by or on behalf of, used by or referred to by the Company, road show, or the Final Memorandum or any amendment or supplement thereto, it being understood and agreed that the only such information consists of the following paragraphs in the Preliminary Memorandum and the Final Memorandum: the first sentence of the fourth paragraph, the fourth and fifth sentences of the eighth paragraph, the ninth paragraph and the tenth paragraph under “Plan of Distribution” in the Preliminary Memorandum and the Final Memorandum.</w:t>
      </w:r>
    </w:p>
    <w:p>
      <w:pPr>
        <w:spacing w:after="0" w:line="158" w:lineRule="exact"/>
        <w:rPr>
          <w:sz w:val="20"/>
          <w:szCs w:val="20"/>
          <w:color w:val="auto"/>
        </w:rPr>
      </w:pPr>
    </w:p>
    <w:p>
      <w:pPr>
        <w:ind w:left="660" w:right="140" w:firstLine="645"/>
        <w:spacing w:after="0" w:line="283" w:lineRule="auto"/>
        <w:tabs>
          <w:tab w:leader="none" w:pos="1967"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w:t>
      </w:r>
    </w:p>
    <w:p>
      <w:pPr>
        <w:spacing w:after="0" w:line="5" w:lineRule="exact"/>
        <w:rPr>
          <w:rFonts w:ascii="Arial" w:cs="Arial" w:eastAsia="Arial" w:hAnsi="Arial"/>
          <w:sz w:val="16"/>
          <w:szCs w:val="16"/>
          <w:color w:val="auto"/>
        </w:rPr>
      </w:pPr>
    </w:p>
    <w:p>
      <w:pPr>
        <w:ind w:left="660" w:right="60" w:hanging="4"/>
        <w:spacing w:after="0" w:line="268" w:lineRule="auto"/>
        <w:tabs>
          <w:tab w:leader="none" w:pos="9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73" w:lineRule="exact"/>
        <w:rPr>
          <w:sz w:val="20"/>
          <w:szCs w:val="20"/>
          <w:color w:val="auto"/>
        </w:rPr>
      </w:pPr>
    </w:p>
    <w:p>
      <w:pPr>
        <w:ind w:left="660" w:firstLine="645"/>
        <w:spacing w:after="0" w:line="285" w:lineRule="auto"/>
        <w:tabs>
          <w:tab w:leader="none" w:pos="19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Purchasers on the other hand in connection with the statements or omissions that resulted in such losses, claims, damages or liabilities,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and not joint.</w:t>
      </w:r>
    </w:p>
    <w:p>
      <w:pPr>
        <w:spacing w:after="0" w:line="177" w:lineRule="exact"/>
        <w:rPr>
          <w:rFonts w:ascii="Arial" w:cs="Arial" w:eastAsia="Arial" w:hAnsi="Arial"/>
          <w:sz w:val="16"/>
          <w:szCs w:val="16"/>
          <w:color w:val="auto"/>
        </w:rPr>
      </w:pPr>
    </w:p>
    <w:p>
      <w:pPr>
        <w:ind w:left="660" w:right="100" w:firstLine="645"/>
        <w:spacing w:after="0" w:line="277" w:lineRule="auto"/>
        <w:tabs>
          <w:tab w:leader="none" w:pos="19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and the Initial Purchasers agree that it would not be just or equitable if contribution pursuant to this Section 8 were determined by pro rata allocation (even if the Initial Purchasers were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64" w:gutter="0" w:footer="0" w:header="0"/>
        </w:sectPr>
      </w:pPr>
    </w:p>
    <w:bookmarkStart w:id="11" w:name="page12"/>
    <w:bookmarkEnd w:id="11"/>
    <w:p>
      <w:pPr>
        <w:spacing w:after="0" w:line="2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Initial Purchaser shall be required to contribute any amount in excess of the amount by which the total price at which the Securities resold by it in the initial placement of such Securities were offered to investors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78" w:lineRule="exact"/>
        <w:rPr>
          <w:sz w:val="20"/>
          <w:szCs w:val="20"/>
          <w:color w:val="auto"/>
        </w:rPr>
      </w:pPr>
    </w:p>
    <w:p>
      <w:pPr>
        <w:ind w:left="660" w:right="140" w:firstLine="645"/>
        <w:spacing w:after="0" w:line="291" w:lineRule="auto"/>
        <w:tabs>
          <w:tab w:leader="none" w:pos="1961"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660" w:right="40" w:hanging="4"/>
        <w:spacing w:after="0" w:line="255" w:lineRule="auto"/>
        <w:tabs>
          <w:tab w:leader="none" w:pos="9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90" w:lineRule="exact"/>
        <w:rPr>
          <w:sz w:val="20"/>
          <w:szCs w:val="20"/>
          <w:color w:val="auto"/>
        </w:rPr>
      </w:pPr>
    </w:p>
    <w:p>
      <w:pPr>
        <w:ind w:firstLine="656"/>
        <w:spacing w:after="0" w:line="290" w:lineRule="auto"/>
        <w:tabs>
          <w:tab w:leader="none" w:pos="129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Initial Purchasers may terminate this Agreement by notice given by you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your judgment, is material and adverse and that, singly or together with any other event specified in this Section 9, makes it, in your judgment, impracticable or inadvisable to proceed with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offer, sale or delivery of the Securities on the terms and in the manner contemplated in the Time of Sale Memorandum or the Final Memorandum.</w:t>
      </w:r>
    </w:p>
    <w:p>
      <w:pPr>
        <w:spacing w:after="0" w:line="237"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Effectiveness; Defaulting Initial Purchasers</w:t>
      </w:r>
      <w:r>
        <w:rPr>
          <w:rFonts w:ascii="Arial" w:cs="Arial" w:eastAsia="Arial" w:hAnsi="Arial"/>
          <w:sz w:val="16"/>
          <w:szCs w:val="16"/>
          <w:color w:val="auto"/>
        </w:rPr>
        <w:t>. This Agreement shall become effective upon the execution and delivery hereof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on the Closing Date, any one or more of the Initial Purchasers shall fail or refuse to purchase Securities that it or they have agreed to purchase hereunder on such date, and the aggregate principal amount of Securities which such defaulting Initial Purchaser or Initial Purchasers agreed but failed or refused to purchase is not more than one tenth of the aggregate principal amount of Securities to be purchased on such date, the other Initial Purchasers shall be obligated severally in the proportions that the principal amount of Securities set forth opposite their respective names in Schedule I bears to the aggregate principal amount of Securities set forth opposite the names of all such non-defaulting Initial Purchasers, or in such other proportions as you may specify, to purchase the Securities that such defaulting Initial Purchaser or Initial Purchasers agreed but failed or refused to purchase on such date; provided that in no event shall the principal amount of Securities that any Initial Purchaser has agreed to purchase pursuant to this Agreement be increased pursuant to this Section 10 by an amount in excess of one ninth of such principal amount of Securities without the written consent of such Initial Purchaser. If, on the Closing Date any Initial Purchaser or Initial Purchasers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Initial Purchaser or of the Company. In any such case either you or the Company shall have the right to postpone the Closing Date, but in no event for longer than seven days, in order that the required changes, if any, in the Time of Sale Memorandum, the Final Memorandum or in any other documents or arrangements may be effected. Any action taken under this paragraph shall not relieve any defaulting Initial Purchaser from liability in respect of any default of such Initial Purchaser under this Agreement.</w:t>
      </w:r>
    </w:p>
    <w:p>
      <w:pPr>
        <w:spacing w:after="0" w:line="16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this Agreement shall be terminated by the Initial Purchasers,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Initial Purchasers or such Initial Purchasers as have so terminated this Agreement with respect to themselves, severally, for all out of pocket expenses (including the fees and disbursements of their counsel) reasonably incurred by such Initial Purchasers in connection with this Agreement or the offering contemplated 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firstLine="656"/>
        <w:spacing w:after="0" w:line="259" w:lineRule="auto"/>
        <w:tabs>
          <w:tab w:leader="none" w:pos="128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186" w:lineRule="exact"/>
        <w:rPr>
          <w:rFonts w:ascii="Arial" w:cs="Arial" w:eastAsia="Arial" w:hAnsi="Arial"/>
          <w:sz w:val="18"/>
          <w:szCs w:val="18"/>
          <w:color w:val="auto"/>
        </w:rPr>
      </w:pPr>
    </w:p>
    <w:p>
      <w:pPr>
        <w:ind w:left="660" w:right="40" w:firstLine="645"/>
        <w:spacing w:after="0" w:line="297" w:lineRule="auto"/>
        <w:tabs>
          <w:tab w:leader="none" w:pos="19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and (iii) the Initial Purchasers may have interests that differ from those of the Company. The Company waives to the full extent permitted by applicable law any claims it may have against the Initial Purchasers arising from an alleged breach of fiduciary duty in connection with the offering of the Securities.</w:t>
      </w:r>
    </w:p>
    <w:p>
      <w:pPr>
        <w:spacing w:after="0" w:line="158" w:lineRule="exact"/>
        <w:rPr>
          <w:rFonts w:ascii="Arial" w:cs="Arial" w:eastAsia="Arial" w:hAnsi="Arial"/>
          <w:sz w:val="16"/>
          <w:szCs w:val="16"/>
          <w:color w:val="auto"/>
        </w:rPr>
      </w:pPr>
    </w:p>
    <w:p>
      <w:pPr>
        <w:ind w:right="40" w:firstLine="656"/>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ectPr>
          <w:pgSz w:w="11900" w:h="16862" w:orient="portrait"/>
          <w:cols w:equalWidth="0" w:num="1">
            <w:col w:w="11400"/>
          </w:cols>
          <w:pgMar w:left="240" w:top="125" w:right="259" w:bottom="0" w:gutter="0" w:footer="0" w:header="0"/>
        </w:sectPr>
      </w:pPr>
    </w:p>
    <w:bookmarkStart w:id="12" w:name="page13"/>
    <w:bookmarkEnd w:id="12"/>
    <w:p>
      <w:pPr>
        <w:ind w:right="140" w:firstLine="656"/>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20" w:firstLine="656"/>
        <w:spacing w:after="0" w:line="291" w:lineRule="auto"/>
        <w:tabs>
          <w:tab w:leader="none" w:pos="1292"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 if to the Initial Purchasers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you at: Morgan Stanley &amp; Co. LLC, 1585 Broadway, New York, New York 10036, Attention: High Yield Syndicate Desk, with a copy to the Legal Department; Goldman, Sachs &amp; Co., 200 West Street, New York, New York 10282, Attention: Registration Department; and Credit Suisse Securities (USA) LLC, Eleven Madison Avenue, New York, New York 10010, Attention: LCD-IBD Legal; with a copy to Simpson Thacher &amp; Bartlett LLP, 2475 Hanover Street, Palo Alto, California 94304, Attention: William H. Hinman, Jr., Fax: (650) 251 5002; and (b) if to the Company shall be delivered, mailed or sent to Micron Technology, Inc., 8000 South Federal Way, Boise, Idaho 83716, Attention: General Counsel, Fax: (208) 368 4540, with a copy to Wilson Sonsini Goodrich &amp; Rosati, Professional Corporation, 650 Page Mill Road, Palo Alto, California 94304, Attention: John A. Fore, Fax: (650) 493 6811.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accordance with the requirements of the USA PATRIOT Act,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Ronald C. Foster</w:t>
      </w:r>
    </w:p>
    <w:p>
      <w:pPr>
        <w:spacing w:after="0" w:line="23" w:lineRule="exact"/>
        <w:rPr>
          <w:sz w:val="20"/>
          <w:szCs w:val="20"/>
          <w:color w:val="auto"/>
        </w:rPr>
      </w:pPr>
    </w:p>
    <w:tbl>
      <w:tblPr>
        <w:tblLayout w:type="fixed"/>
        <w:tblInd w:w="624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600" w:type="dxa"/>
            <w:vAlign w:val="bottom"/>
          </w:tcPr>
          <w:p>
            <w:pPr>
              <w:spacing w:after="0"/>
              <w:rPr>
                <w:sz w:val="20"/>
                <w:szCs w:val="20"/>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Vice President of Finance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 Initial Purchasers named in Schedule I hereto.</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Rauen</w:t>
            </w:r>
          </w:p>
        </w:tc>
      </w:tr>
      <w:tr>
        <w:trPr>
          <w:trHeight w:val="195"/>
        </w:trPr>
        <w:tc>
          <w:tcPr>
            <w:tcW w:w="5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60"/>
              <w:spacing w:after="0" w:line="195" w:lineRule="exact"/>
              <w:rPr>
                <w:sz w:val="20"/>
                <w:szCs w:val="20"/>
                <w:color w:val="auto"/>
              </w:rPr>
            </w:pPr>
            <w:r>
              <w:rPr>
                <w:rFonts w:ascii="Arial" w:cs="Arial" w:eastAsia="Arial" w:hAnsi="Arial"/>
                <w:sz w:val="18"/>
                <w:szCs w:val="18"/>
                <w:color w:val="auto"/>
              </w:rPr>
              <w:t>Jon Rauen</w:t>
            </w: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60"/>
              <w:spacing w:after="0"/>
              <w:rPr>
                <w:sz w:val="20"/>
                <w:szCs w:val="20"/>
                <w:color w:val="auto"/>
              </w:rPr>
            </w:pPr>
            <w:r>
              <w:rPr>
                <w:rFonts w:ascii="Arial" w:cs="Arial" w:eastAsia="Arial" w:hAnsi="Arial"/>
                <w:sz w:val="18"/>
                <w:szCs w:val="18"/>
                <w:color w:val="auto"/>
              </w:rPr>
              <w:t>Authorized Signatory</w:t>
            </w:r>
          </w:p>
        </w:tc>
      </w:tr>
      <w:tr>
        <w:trPr>
          <w:trHeight w:val="648"/>
        </w:trPr>
        <w:tc>
          <w:tcPr>
            <w:tcW w:w="5720" w:type="dxa"/>
            <w:vAlign w:val="bottom"/>
            <w:gridSpan w:val="3"/>
          </w:tcPr>
          <w:p>
            <w:pPr>
              <w:spacing w:after="0"/>
              <w:rPr>
                <w:sz w:val="20"/>
                <w:szCs w:val="20"/>
                <w:color w:val="auto"/>
              </w:rPr>
            </w:pPr>
            <w:r>
              <w:rPr>
                <w:rFonts w:ascii="Arial" w:cs="Arial" w:eastAsia="Arial" w:hAnsi="Arial"/>
                <w:sz w:val="18"/>
                <w:szCs w:val="18"/>
                <w:color w:val="auto"/>
              </w:rPr>
              <w:t>By:   GOLDMAN, SACHS &amp; CO.</w:t>
            </w: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Hickey</w:t>
            </w:r>
          </w:p>
        </w:tc>
      </w:tr>
      <w:tr>
        <w:trPr>
          <w:trHeight w:val="195"/>
        </w:trPr>
        <w:tc>
          <w:tcPr>
            <w:tcW w:w="5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60"/>
              <w:spacing w:after="0" w:line="195" w:lineRule="exact"/>
              <w:rPr>
                <w:sz w:val="20"/>
                <w:szCs w:val="20"/>
                <w:color w:val="auto"/>
              </w:rPr>
            </w:pPr>
            <w:r>
              <w:rPr>
                <w:rFonts w:ascii="Arial" w:cs="Arial" w:eastAsia="Arial" w:hAnsi="Arial"/>
                <w:sz w:val="18"/>
                <w:szCs w:val="18"/>
                <w:color w:val="auto"/>
              </w:rPr>
              <w:t>Michael Hickey</w:t>
            </w: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60"/>
              <w:spacing w:after="0"/>
              <w:rPr>
                <w:sz w:val="20"/>
                <w:szCs w:val="20"/>
                <w:color w:val="auto"/>
              </w:rPr>
            </w:pPr>
            <w:r>
              <w:rPr>
                <w:rFonts w:ascii="Arial" w:cs="Arial" w:eastAsia="Arial" w:hAnsi="Arial"/>
                <w:sz w:val="18"/>
                <w:szCs w:val="18"/>
                <w:color w:val="auto"/>
              </w:rPr>
              <w:t>Managing Director</w:t>
            </w:r>
          </w:p>
        </w:tc>
      </w:tr>
      <w:tr>
        <w:trPr>
          <w:trHeight w:val="64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Thomas Alderman</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Thomas Alderman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6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1420"/>
          </w:cols>
          <w:pgMar w:left="240" w:top="341" w:right="2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3"/>
          </w:tcPr>
          <w:p>
            <w:pPr>
              <w:ind w:left="72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92"/>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2025 Notes</w:t>
            </w:r>
          </w:p>
        </w:tc>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4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4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4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Incorporated</w:t>
            </w:r>
          </w:p>
        </w:tc>
        <w:tc>
          <w:tcPr>
            <w:tcW w:w="4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86,250,000.00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4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40,250,000.00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DBS Bank Ltd.</w:t>
            </w:r>
          </w:p>
        </w:tc>
        <w:tc>
          <w:tcPr>
            <w:tcW w:w="4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4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34,500,000.00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4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4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48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1,150,000,000.00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400" w:type="dxa"/>
            <w:vAlign w:val="bottom"/>
            <w:gridSpan w:val="3"/>
          </w:tcPr>
          <w:p>
            <w:pPr>
              <w:jc w:val="right"/>
              <w:ind w:right="3690"/>
              <w:spacing w:after="0"/>
              <w:rPr>
                <w:sz w:val="20"/>
                <w:szCs w:val="20"/>
                <w:color w:val="auto"/>
              </w:rPr>
            </w:pPr>
            <w:r>
              <w:rPr>
                <w:rFonts w:ascii="Arial" w:cs="Arial" w:eastAsia="Arial" w:hAnsi="Arial"/>
                <w:sz w:val="18"/>
                <w:szCs w:val="18"/>
                <w:color w:val="auto"/>
              </w:rPr>
              <w:t>I-1</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360" w:type="dxa"/>
            <w:vAlign w:val="bottom"/>
            <w:tcBorders>
              <w:bottom w:val="single" w:sz="8" w:color="010101"/>
            </w:tcBorders>
          </w:tcPr>
          <w:p>
            <w:pPr>
              <w:spacing w:after="0"/>
              <w:rPr>
                <w:sz w:val="11"/>
                <w:szCs w:val="11"/>
                <w:color w:val="auto"/>
              </w:rPr>
            </w:pPr>
          </w:p>
        </w:tc>
        <w:tc>
          <w:tcPr>
            <w:tcW w:w="4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Sale Memorandum</w:t>
      </w:r>
    </w:p>
    <w:p>
      <w:pPr>
        <w:spacing w:after="0" w:line="229"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Memorandum issued July 23, 2014</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Term Sheet issued July 23,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ind w:right="180" w:firstLine="8"/>
        <w:spacing w:after="0" w:line="342"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and has the corporate power and authority to own its properties and to conduct its business as described in the Disclosure Package and the Final Offering Memorandum.</w:t>
      </w:r>
    </w:p>
    <w:p>
      <w:pPr>
        <w:spacing w:after="0" w:line="123" w:lineRule="exact"/>
        <w:rPr>
          <w:rFonts w:ascii="Arial" w:cs="Arial" w:eastAsia="Arial" w:hAnsi="Arial"/>
          <w:sz w:val="16"/>
          <w:szCs w:val="16"/>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225" w:lineRule="exact"/>
        <w:rPr>
          <w:rFonts w:ascii="Arial" w:cs="Arial" w:eastAsia="Arial" w:hAnsi="Arial"/>
          <w:sz w:val="18"/>
          <w:szCs w:val="18"/>
          <w:color w:val="auto"/>
        </w:rPr>
      </w:pPr>
    </w:p>
    <w:p>
      <w:pPr>
        <w:ind w:right="200" w:firstLine="8"/>
        <w:spacing w:after="0" w:line="257"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are in the form contemplated by the Indenture, have been duly authorized by the Company and, when executed by the Company and authenticated by the Trustee in accordance with the terms of the Indenture and delivered against the purchase price therefor specified in the Purchase Agreement in accordance with the terms of the Purchase Agreement (which facts we have not determined by inspection of the Securities), will constitute valid and legally binding obligations of the Company and enforceable against the Company in accordance with their terms; and the Securities are entitled to the benefits of the applicable Indenture.</w:t>
      </w:r>
    </w:p>
    <w:p>
      <w:pPr>
        <w:sectPr>
          <w:pgSz w:w="11900" w:h="16838" w:orient="portrait"/>
          <w:cols w:equalWidth="0" w:num="1">
            <w:col w:w="11460"/>
          </w:cols>
          <w:pgMar w:left="240" w:top="729" w:right="199" w:bottom="0" w:gutter="0" w:footer="0" w:header="0"/>
        </w:sectPr>
      </w:pPr>
    </w:p>
    <w:bookmarkStart w:id="14" w:name="page15"/>
    <w:bookmarkEnd w:id="14"/>
    <w:p>
      <w:pPr>
        <w:ind w:right="300" w:firstLine="8"/>
        <w:spacing w:after="0" w:line="277"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Indenture and the Registration Rights Agreement has been duly authorized, executed and delivered by the Company and constitutes a valid and legally binding instrument, enforceable against the Company in accordance with its terms.</w:t>
      </w:r>
    </w:p>
    <w:p>
      <w:pPr>
        <w:spacing w:after="0" w:line="170" w:lineRule="exact"/>
        <w:rPr>
          <w:rFonts w:ascii="Arial" w:cs="Arial" w:eastAsia="Arial" w:hAnsi="Arial"/>
          <w:sz w:val="18"/>
          <w:szCs w:val="18"/>
          <w:color w:val="auto"/>
        </w:rPr>
      </w:pPr>
    </w:p>
    <w:p>
      <w:pPr>
        <w:ind w:right="20" w:firstLine="8"/>
        <w:spacing w:after="0" w:line="255"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Purchase Agreement, the Registration Rights Agreement, the Indenture, the issuance and sale of the Securities or the consummation of any other of the transactions contemplated thereby will conflict with, result in a breach or violation of any of the terms or provisions of, or constitute a default under (A) the charter or by-laws of the Company or (B) any statute, decree, regulation or order known to us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Purchase Agreement, the Indenture or the Securities (collectively, the “Operative Documents”), or to consummate the transactions contemplated thereby.</w:t>
      </w:r>
    </w:p>
    <w:p>
      <w:pPr>
        <w:spacing w:after="0" w:line="189" w:lineRule="exact"/>
        <w:rPr>
          <w:rFonts w:ascii="Arial" w:cs="Arial" w:eastAsia="Arial" w:hAnsi="Arial"/>
          <w:sz w:val="18"/>
          <w:szCs w:val="18"/>
          <w:color w:val="auto"/>
        </w:rPr>
      </w:pPr>
    </w:p>
    <w:p>
      <w:pPr>
        <w:ind w:left="640" w:hanging="632"/>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and sale of the Securities or the consummation by the Company of the transactions contemplated by the Purchase Agreement, the Registration Rights Agreement or the Indenture, except as contemplated by the Operative Documents and such consents, approvals, authorizations, registrations or qualifications as may be required under state securities or Blue Sky laws in connection with the purchase and distribution of the Securities by the Initial Purchasers.</w:t>
      </w:r>
    </w:p>
    <w:p>
      <w:pPr>
        <w:spacing w:after="0" w:line="147" w:lineRule="exact"/>
        <w:rPr>
          <w:sz w:val="20"/>
          <w:szCs w:val="20"/>
          <w:color w:val="auto"/>
        </w:rPr>
      </w:pPr>
    </w:p>
    <w:p>
      <w:pPr>
        <w:ind w:right="100" w:firstLine="8"/>
        <w:spacing w:after="0" w:line="277"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required to register as an “investment company,” as such term is defined in the Investment Company Act.</w:t>
      </w:r>
    </w:p>
    <w:p>
      <w:pPr>
        <w:spacing w:after="0" w:line="170" w:lineRule="exact"/>
        <w:rPr>
          <w:rFonts w:ascii="Arial" w:cs="Arial" w:eastAsia="Arial" w:hAnsi="Arial"/>
          <w:sz w:val="18"/>
          <w:szCs w:val="18"/>
          <w:color w:val="auto"/>
        </w:rPr>
      </w:pPr>
    </w:p>
    <w:p>
      <w:pPr>
        <w:ind w:right="300" w:firstLine="8"/>
        <w:spacing w:after="0" w:line="264"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“Description of Notes,” insofar as they purport to constitute a summary of the terms of the Securities and the Registration Rights Agreement, fairly summarize such terms and documents in all material respects.</w:t>
      </w:r>
    </w:p>
    <w:p>
      <w:pPr>
        <w:spacing w:after="0" w:line="181" w:lineRule="exact"/>
        <w:rPr>
          <w:rFonts w:ascii="Arial" w:cs="Arial" w:eastAsia="Arial" w:hAnsi="Arial"/>
          <w:sz w:val="18"/>
          <w:szCs w:val="18"/>
          <w:color w:val="auto"/>
        </w:rPr>
      </w:pPr>
    </w:p>
    <w:p>
      <w:pPr>
        <w:ind w:right="260" w:firstLine="8"/>
        <w:spacing w:after="0" w:line="264"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“Certain U.S. Federal Income Tax Considerations,” insofar as they purport to summarize provisions of the United States federal tax laws referred to therein, fairly summarize such laws in all material respects.</w:t>
      </w:r>
    </w:p>
    <w:p>
      <w:pPr>
        <w:spacing w:after="0" w:line="181" w:lineRule="exact"/>
        <w:rPr>
          <w:rFonts w:ascii="Arial" w:cs="Arial" w:eastAsia="Arial" w:hAnsi="Arial"/>
          <w:sz w:val="18"/>
          <w:szCs w:val="18"/>
          <w:color w:val="auto"/>
        </w:rPr>
      </w:pPr>
    </w:p>
    <w:p>
      <w:pPr>
        <w:ind w:right="60" w:firstLine="8"/>
        <w:spacing w:after="0" w:line="279" w:lineRule="auto"/>
        <w:tabs>
          <w:tab w:leader="none" w:pos="607"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registration of the Securities under the Act is required for the sale of the Securities by the Company to the Initial Purchasers pursuant to the Purchase Agreement or for the initial resale of the Securities by the Initial Purchasers in the manner contemplated by the Purchase Agreement, the Disclosure Package and the Final Offering Memorandum, and it is not necessary to qualify the Indenture under the Trust Indenture Act (it being understood that, in each case, no opinion is expressed as to any subsequent resale of the Securities or the consequences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have participated in conferences with certain officers and other representatives of the Company, the Initial Purchasers, counsel for the Initial Purchasers and the independent certified public accountants of the Company, at which conferences the contents of the Disclosure Package, the Final Offering Memorandum and related matters were reviewed and discussed and, although we do not assume any responsibility for the accuracy, completeness or fairness of the information contained in the Disclosure Package or the Final Offering Memorandum (other than as set forth in paragraphs 8 and 9 above), no facts have come to our attention, in the course of such review and discussion, that have caused us to believe that:</w:t>
      </w:r>
    </w:p>
    <w:p>
      <w:pPr>
        <w:spacing w:after="0" w:line="173" w:lineRule="exact"/>
        <w:rPr>
          <w:sz w:val="20"/>
          <w:szCs w:val="20"/>
          <w:color w:val="auto"/>
        </w:rPr>
      </w:pPr>
    </w:p>
    <w:p>
      <w:pPr>
        <w:ind w:left="1280" w:hanging="624"/>
        <w:spacing w:after="0"/>
        <w:tabs>
          <w:tab w:leader="none" w:pos="1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Disclosure Package, as of 1:15 p.m. Pacific Time on July 23, 2014, and on the date hereof, contained an untrue statement of a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omitted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 or</w:t>
      </w:r>
    </w:p>
    <w:p>
      <w:pPr>
        <w:spacing w:after="0" w:line="181" w:lineRule="exact"/>
        <w:rPr>
          <w:sz w:val="20"/>
          <w:szCs w:val="20"/>
          <w:color w:val="auto"/>
        </w:rPr>
      </w:pPr>
    </w:p>
    <w:p>
      <w:pPr>
        <w:ind w:right="140" w:firstLine="656"/>
        <w:spacing w:after="0" w:line="259" w:lineRule="auto"/>
        <w:tabs>
          <w:tab w:leader="none" w:pos="12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Final Offering Memorandum, as of its date or as of the date hereof, contained or contains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jc w:val="both"/>
        <w:ind w:right="80" w:firstLine="656"/>
        <w:spacing w:after="0" w:line="259" w:lineRule="auto"/>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best of such counsel’s knowledge, but without inquiring into the dockets of any court, commissions, regulatory body, administrative agency or other government body, and other than as set forth in the Disclosure Package and Final Offering Memorandum, there are no legal or governmental proceedings pending to which the Company is a party or of which any property or assets of the Company is the subject, which I believe individually or in the aggregate would be reasonably expected to have a Material Adverse Effect.</w:t>
      </w:r>
    </w:p>
    <w:p>
      <w:pPr>
        <w:sectPr>
          <w:pgSz w:w="11900" w:h="16838" w:orient="portrait"/>
          <w:cols w:equalWidth="0" w:num="1">
            <w:col w:w="11420"/>
          </w:cols>
          <w:pgMar w:left="240" w:top="341" w:right="239" w:bottom="0" w:gutter="0" w:footer="0" w:header="0"/>
        </w:sectPr>
      </w:pPr>
    </w:p>
    <w:bookmarkStart w:id="15" w:name="page16"/>
    <w:bookmarkEnd w:id="15"/>
    <w:p>
      <w:pPr>
        <w:ind w:left="-40" w:firstLine="656"/>
        <w:spacing w:after="0" w:line="272" w:lineRule="auto"/>
        <w:tabs>
          <w:tab w:leader="none" w:pos="1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the Purchase Agreement, the Registration Rights Agreement or the Indenture,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properties or assets, except such conflicts, breaches, violations or defaults as would not have a Material Adverse Effect on the Company’s ability to perform its obligations under the Purchase Agreement, the Indenture or the Securities, or to consummate the transactions contemplated thereby.</w:t>
      </w:r>
    </w:p>
    <w:p>
      <w:pPr>
        <w:spacing w:after="0" w:line="177" w:lineRule="exact"/>
        <w:rPr>
          <w:rFonts w:ascii="Arial" w:cs="Arial" w:eastAsia="Arial" w:hAnsi="Arial"/>
          <w:sz w:val="17"/>
          <w:szCs w:val="17"/>
          <w:color w:val="auto"/>
        </w:rPr>
      </w:pPr>
    </w:p>
    <w:p>
      <w:pPr>
        <w:ind w:left="-40" w:firstLine="656"/>
        <w:spacing w:after="0" w:line="302"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may be required by the Securities Act, and the rules and regulations promulgated thereunder or “blue sky” laws of any state of the United States, in connection with the sale of the Securities, no consent, approval, authorization or order of, or filing or registration with, any U.S. Federal or Idaho court or governmental agency or body is required for the execution, delivery and performance of the Purchase Agreement, Registration Rights Agreement and the Indenture by the Company and the issuance of the Securities and the consummation of the transactions contemplated thereby.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140" w:type="dxa"/>
            <w:vAlign w:val="bottom"/>
          </w:tcPr>
          <w:p>
            <w:pPr>
              <w:spacing w:after="0"/>
              <w:rPr>
                <w:sz w:val="20"/>
                <w:szCs w:val="20"/>
                <w:color w:val="auto"/>
              </w:rPr>
            </w:pPr>
          </w:p>
        </w:tc>
      </w:tr>
      <w:tr>
        <w:trPr>
          <w:trHeight w:val="634"/>
        </w:trPr>
        <w:tc>
          <w:tcPr>
            <w:tcW w:w="1040" w:type="dxa"/>
            <w:vAlign w:val="bottom"/>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ind w:left="340"/>
              <w:spacing w:after="0"/>
              <w:rPr>
                <w:sz w:val="20"/>
                <w:szCs w:val="20"/>
                <w:color w:val="auto"/>
              </w:rPr>
            </w:pPr>
            <w:r>
              <w:rPr>
                <w:rFonts w:ascii="Arial" w:cs="Arial" w:eastAsia="Arial" w:hAnsi="Arial"/>
                <w:sz w:val="18"/>
                <w:szCs w:val="18"/>
                <w:color w:val="auto"/>
              </w:rPr>
              <w:t>Kipp A. Bedard</w:t>
            </w:r>
          </w:p>
        </w:tc>
        <w:tc>
          <w:tcPr>
            <w:tcW w:w="2140" w:type="dxa"/>
            <w:vAlign w:val="bottom"/>
          </w:tcPr>
          <w:p>
            <w:pPr>
              <w:ind w:left="360"/>
              <w:spacing w:after="0"/>
              <w:rPr>
                <w:sz w:val="20"/>
                <w:szCs w:val="20"/>
                <w:color w:val="auto"/>
              </w:rPr>
            </w:pPr>
            <w:r>
              <w:rPr>
                <w:rFonts w:ascii="Arial" w:cs="Arial" w:eastAsia="Arial" w:hAnsi="Arial"/>
                <w:sz w:val="18"/>
                <w:szCs w:val="18"/>
                <w:color w:val="auto"/>
              </w:rPr>
              <w:t>Daniel Francisco</w:t>
            </w:r>
          </w:p>
        </w:tc>
      </w:tr>
      <w:tr>
        <w:trPr>
          <w:trHeight w:val="216"/>
        </w:trPr>
        <w:tc>
          <w:tcPr>
            <w:tcW w:w="1040" w:type="dxa"/>
            <w:vAlign w:val="bottom"/>
          </w:tcPr>
          <w:p>
            <w:pPr>
              <w:spacing w:after="0"/>
              <w:rPr>
                <w:sz w:val="18"/>
                <w:szCs w:val="18"/>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auto"/>
              </w:rPr>
              <w:t>Investor Relations</w:t>
            </w:r>
          </w:p>
        </w:tc>
        <w:tc>
          <w:tcPr>
            <w:tcW w:w="2140" w:type="dxa"/>
            <w:vAlign w:val="bottom"/>
          </w:tcPr>
          <w:p>
            <w:pPr>
              <w:ind w:left="360"/>
              <w:spacing w:after="0"/>
              <w:rPr>
                <w:sz w:val="20"/>
                <w:szCs w:val="20"/>
                <w:color w:val="auto"/>
              </w:rPr>
            </w:pPr>
            <w:r>
              <w:rPr>
                <w:rFonts w:ascii="Arial" w:cs="Arial" w:eastAsia="Arial" w:hAnsi="Arial"/>
                <w:sz w:val="18"/>
                <w:szCs w:val="18"/>
                <w:color w:val="auto"/>
              </w:rPr>
              <w:t>Media Relations</w:t>
            </w:r>
          </w:p>
        </w:tc>
      </w:tr>
      <w:tr>
        <w:trPr>
          <w:trHeight w:val="216"/>
        </w:trPr>
        <w:tc>
          <w:tcPr>
            <w:tcW w:w="1040" w:type="dxa"/>
            <w:vAlign w:val="bottom"/>
          </w:tcPr>
          <w:p>
            <w:pPr>
              <w:spacing w:after="0"/>
              <w:rPr>
                <w:sz w:val="18"/>
                <w:szCs w:val="18"/>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auto"/>
              </w:rPr>
              <w:t>kbedard@micron.com</w:t>
            </w:r>
          </w:p>
        </w:tc>
        <w:tc>
          <w:tcPr>
            <w:tcW w:w="2140" w:type="dxa"/>
            <w:vAlign w:val="bottom"/>
          </w:tcPr>
          <w:p>
            <w:pPr>
              <w:ind w:left="36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040" w:type="dxa"/>
            <w:vAlign w:val="bottom"/>
          </w:tcPr>
          <w:p>
            <w:pPr>
              <w:spacing w:after="0"/>
              <w:rPr>
                <w:sz w:val="20"/>
                <w:szCs w:val="20"/>
                <w:color w:val="auto"/>
              </w:rPr>
            </w:pPr>
          </w:p>
        </w:tc>
        <w:tc>
          <w:tcPr>
            <w:tcW w:w="2300" w:type="dxa"/>
            <w:vAlign w:val="bottom"/>
          </w:tcPr>
          <w:p>
            <w:pPr>
              <w:ind w:left="340"/>
              <w:spacing w:after="0"/>
              <w:rPr>
                <w:sz w:val="20"/>
                <w:szCs w:val="20"/>
                <w:color w:val="auto"/>
              </w:rPr>
            </w:pPr>
            <w:r>
              <w:rPr>
                <w:rFonts w:ascii="Arial" w:cs="Arial" w:eastAsia="Arial" w:hAnsi="Arial"/>
                <w:sz w:val="18"/>
                <w:szCs w:val="18"/>
                <w:color w:val="auto"/>
              </w:rPr>
              <w:t>(208) 368-4465</w:t>
            </w:r>
          </w:p>
        </w:tc>
        <w:tc>
          <w:tcPr>
            <w:tcW w:w="2140" w:type="dxa"/>
            <w:vAlign w:val="bottom"/>
          </w:tcPr>
          <w:p>
            <w:pPr>
              <w:ind w:left="36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PRICES $1.15 BILLION OFFERING OF 5.50% SENIOR NOTES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BOISE, Idaho, July 23, 2014 — Micron Technology, Inc., (NASDAQ: MU) today announced the pricing of an offering of $1.15 billion aggregate principal amount of its 5.50% senior notes due 2025 (the “Notes”). The Notes are being offered to qualified institutional buyers pursuant to Rule 144A under the Securities Act of 1933, as amended (the “Securities Act”), and outside the United States to non-U.S. persons pursuant to Regulation S under the Securities Act. The sale of the Notes is expected to close on July 28, 2014, subject to the satisfaction of customary closing conditions. Interest on the Notes will accrue at a rate of 5.50% per year, and will be payable in cash semi-annually in arrears, beginning on February 1, 2015.</w:t>
      </w:r>
    </w:p>
    <w:p>
      <w:pPr>
        <w:spacing w:after="0" w:line="1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Notes will mature on February 1, 2025, unless earlier repurchased or redeemed. Holders may require Micron to repurchase their Notes upon the occurrence of certain change of control events at a repurchase price equal to 101% of the principal amount thereof plus accrued and unpaid interest, if any.</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August 1, 2019, Micron may redeem the Notes, in whole or in part, at a price equal to 100% of the principal amount thereof plus a “make-whole” premium and accrued and unpaid interest, if any. On or after August 1, 2019, Micron may redeem the Notes, in whole or in part, at specified prices that decline over time, plus accrued and unpaid interest, if any. In addition, Micron may use the net cash proceeds of one or more equity offerings to redeem up to 35% of the aggregate principal amount of the Notes prior to August 1, 2017 at a price equal to 105.50% of the principal amount thereof plus accrued and unpaid interest, if any.</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Micron intends to use a portion of the net proceeds from this offering to extinguish its obligations with respect to its 1.875% convertible senior notes due 2031 (the “2031B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which may include payments in settlement of conversions of or to repurchase or redeem such notes. Micron expects to use the balance of the net proceeds for retirement of other convertible notes and debt and other general corporate purposes. On July 23, 2014, Micron gave notice to holders of the 2031B Notes that their notes will be redeemed on August 22, 2014, except to the extent such notes are converted or repurchased by Micron prior to such date, and its current intent is to settle any such conversions entirely in cash with a portion of the proceeds from the offering.</w:t>
      </w:r>
    </w:p>
    <w:p>
      <w:pPr>
        <w:spacing w:after="0" w:line="17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Notes will not be registered under the Securities Act, or any state securities laws, and may not be offered or sold in the United States except pursuant to an exemption from the registration requirements of the Securities Act and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lvl w:ilvl="1">
      <w:lvlJc w:val="left"/>
      <w:lvlText w:val="(%2)"/>
      <w:numFmt w:val="lowerLetter"/>
      <w:start w:val="1"/>
    </w:lvl>
  </w:abstractNum>
  <w:abstractNum w:abstractNumId="1">
    <w:nsid w:val="4353D0CD"/>
    <w:multiLevelType w:val="hybridMultilevel"/>
    <w:lvl w:ilvl="0">
      <w:lvlJc w:val="left"/>
      <w:lvlText w:val="(%1)"/>
      <w:numFmt w:val="lowerLetter"/>
      <w:start w:val="3"/>
    </w:lvl>
  </w:abstractNum>
  <w:abstractNum w:abstractNumId="2">
    <w:nsid w:val="B03E0C6"/>
    <w:multiLevelType w:val="hybridMultilevel"/>
    <w:lvl w:ilvl="0">
      <w:lvlJc w:val="left"/>
      <w:lvlText w:val="(%1)"/>
      <w:numFmt w:val="lowerLetter"/>
      <w:start w:val="4"/>
    </w:lvl>
  </w:abstractNum>
  <w:abstractNum w:abstractNumId="3">
    <w:nsid w:val="189A769B"/>
    <w:multiLevelType w:val="hybridMultilevel"/>
    <w:lvl w:ilvl="0">
      <w:lvlJc w:val="left"/>
      <w:lvlText w:val="(%1)"/>
      <w:numFmt w:val="lowerLetter"/>
      <w:start w:val="9"/>
    </w:lvl>
  </w:abstractNum>
  <w:abstractNum w:abstractNumId="4">
    <w:nsid w:val="54E49EB4"/>
    <w:multiLevelType w:val="hybridMultilevel"/>
    <w:lvl w:ilvl="0">
      <w:lvlJc w:val="left"/>
      <w:lvlText w:val="(%1)"/>
      <w:numFmt w:val="lowerLetter"/>
      <w:start w:val="12"/>
    </w:lvl>
  </w:abstractNum>
  <w:abstractNum w:abstractNumId="5">
    <w:nsid w:val="71F32454"/>
    <w:multiLevelType w:val="hybridMultilevel"/>
    <w:lvl w:ilvl="0">
      <w:lvlJc w:val="left"/>
      <w:lvlText w:val="(%1)"/>
      <w:numFmt w:val="lowerLetter"/>
      <w:start w:val="13"/>
    </w:lvl>
  </w:abstractNum>
  <w:abstractNum w:abstractNumId="6">
    <w:nsid w:val="2CA88611"/>
    <w:multiLevelType w:val="hybridMultilevel"/>
    <w:lvl w:ilvl="0">
      <w:lvlJc w:val="left"/>
      <w:lvlText w:val="(%1)"/>
      <w:numFmt w:val="lowerLetter"/>
      <w:start w:val="17"/>
    </w:lvl>
  </w:abstractNum>
  <w:abstractNum w:abstractNumId="7">
    <w:nsid w:val="836C40E"/>
    <w:multiLevelType w:val="hybridMultilevel"/>
    <w:lvl w:ilvl="0">
      <w:lvlJc w:val="left"/>
      <w:lvlText w:val="(%1)"/>
      <w:numFmt w:val="lowerLetter"/>
      <w:start w:val="22"/>
    </w:lvl>
  </w:abstractNum>
  <w:abstractNum w:abstractNumId="8">
    <w:nsid w:val="2901D82"/>
    <w:multiLevelType w:val="hybridMultilevel"/>
    <w:lvl w:ilvl="0">
      <w:lvlJc w:val="left"/>
      <w:lvlText w:val="(%1)"/>
      <w:numFmt w:val="lowerLetter"/>
      <w:start w:val="25"/>
    </w:lvl>
  </w:abstractNum>
  <w:abstractNum w:abstractNumId="9">
    <w:nsid w:val="3A95F874"/>
    <w:multiLevelType w:val="hybridMultilevel"/>
    <w:lvl w:ilvl="0">
      <w:lvlJc w:val="left"/>
      <w:lvlText w:val="(%1)"/>
      <w:numFmt w:val="lowerLetter"/>
      <w:start w:val="26"/>
    </w:lvl>
    <w:lvl w:ilvl="1">
      <w:lvlJc w:val="left"/>
      <w:lvlText w:val="(%2)"/>
      <w:numFmt w:val="lowerRoman"/>
      <w:start w:val="1"/>
    </w:lvl>
    <w:lvl w:ilvl="2">
      <w:lvlJc w:val="left"/>
      <w:lvlText w:val="(%3)"/>
      <w:numFmt w:val="upperLetter"/>
      <w:start w:val="1"/>
    </w:lvl>
  </w:abstractNum>
  <w:abstractNum w:abstractNumId="10">
    <w:nsid w:val="8138641"/>
    <w:multiLevelType w:val="hybridMultilevel"/>
    <w:lvl w:ilvl="0">
      <w:lvlJc w:val="left"/>
      <w:lvlText w:val="%1"/>
      <w:numFmt w:val="decimal"/>
      <w:start w:val="1"/>
    </w:lvl>
    <w:lvl w:ilvl="1">
      <w:lvlJc w:val="left"/>
      <w:lvlText w:val="(%2)"/>
      <w:numFmt w:val="lowerLetter"/>
      <w:start w:val="27"/>
    </w:lvl>
  </w:abstractNum>
  <w:abstractNum w:abstractNumId="11">
    <w:nsid w:val="1E7FF521"/>
    <w:multiLevelType w:val="hybridMultilevel"/>
    <w:lvl w:ilvl="0">
      <w:lvlJc w:val="left"/>
      <w:lvlText w:val="%1."/>
      <w:numFmt w:val="decimal"/>
      <w:start w:val="2"/>
    </w:lvl>
    <w:lvl w:ilvl="1">
      <w:lvlJc w:val="left"/>
      <w:lvlText w:val="%2"/>
      <w:numFmt w:val="lowerLetter"/>
      <w:start w:val="1"/>
    </w:lvl>
  </w:abstractNum>
  <w:abstractNum w:abstractNumId="12">
    <w:nsid w:val="7C3DBD3D"/>
    <w:multiLevelType w:val="hybridMultilevel"/>
    <w:lvl w:ilvl="0">
      <w:lvlJc w:val="left"/>
      <w:lvlText w:val="%1."/>
      <w:numFmt w:val="decimal"/>
      <w:start w:val="3"/>
    </w:lvl>
  </w:abstractNum>
  <w:abstractNum w:abstractNumId="13">
    <w:nsid w:val="737B8DD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
    <w:nsid w:val="6CEAF087"/>
    <w:multiLevelType w:val="hybridMultilevel"/>
    <w:lvl w:ilvl="0">
      <w:lvlJc w:val="left"/>
      <w:lvlText w:val="(%1)"/>
      <w:numFmt w:val="lowerRoman"/>
      <w:start w:val="2"/>
    </w:lvl>
  </w:abstractNum>
  <w:abstractNum w:abstractNumId="15">
    <w:nsid w:val="22221A70"/>
    <w:multiLevelType w:val="hybridMultilevel"/>
    <w:lvl w:ilvl="0">
      <w:lvlJc w:val="left"/>
      <w:lvlText w:val="(%1)"/>
      <w:numFmt w:val="lowerLetter"/>
      <w:start w:val="2"/>
    </w:lvl>
  </w:abstractNum>
  <w:abstractNum w:abstractNumId="16">
    <w:nsid w:val="4516DDE9"/>
    <w:multiLevelType w:val="hybridMultilevel"/>
    <w:lvl w:ilvl="0">
      <w:lvlJc w:val="left"/>
      <w:lvlText w:val="(%1)"/>
      <w:numFmt w:val="lowerLetter"/>
      <w:start w:val="3"/>
    </w:lvl>
  </w:abstractNum>
  <w:abstractNum w:abstractNumId="17">
    <w:nsid w:val="3006C83E"/>
    <w:multiLevelType w:val="hybridMultilevel"/>
    <w:lvl w:ilvl="0">
      <w:lvlJc w:val="left"/>
      <w:lvlText w:val="%1"/>
      <w:numFmt w:val="decimal"/>
      <w:start w:val="1"/>
    </w:lvl>
    <w:lvl w:ilvl="1">
      <w:lvlJc w:val="left"/>
      <w:lvlText w:val="(%2)"/>
      <w:numFmt w:val="lowerLetter"/>
      <w:start w:val="7"/>
    </w:lvl>
  </w:abstractNum>
  <w:abstractNum w:abstractNumId="18">
    <w:nsid w:val="614FD4A1"/>
    <w:multiLevelType w:val="hybridMultilevel"/>
    <w:lvl w:ilvl="0">
      <w:lvlJc w:val="left"/>
      <w:lvlText w:val="%1."/>
      <w:numFmt w:val="decimal"/>
      <w:start w:val="6"/>
    </w:lvl>
    <w:lvl w:ilvl="1">
      <w:lvlJc w:val="left"/>
      <w:lvlText w:val="(%2)"/>
      <w:numFmt w:val="lowerLetter"/>
      <w:start w:val="1"/>
    </w:lvl>
  </w:abstractNum>
  <w:abstractNum w:abstractNumId="19">
    <w:nsid w:val="419AC241"/>
    <w:multiLevelType w:val="hybridMultilevel"/>
    <w:lvl w:ilvl="0">
      <w:lvlJc w:val="left"/>
      <w:lvlText w:val="(%1)"/>
      <w:numFmt w:val="lowerLetter"/>
      <w:start w:val="2"/>
    </w:lvl>
  </w:abstractNum>
  <w:abstractNum w:abstractNumId="20">
    <w:nsid w:val="5577F8E1"/>
    <w:multiLevelType w:val="hybridMultilevel"/>
    <w:lvl w:ilvl="0">
      <w:lvlJc w:val="left"/>
      <w:lvlText w:val="(%1)"/>
      <w:numFmt w:val="lowerLetter"/>
      <w:start w:val="3"/>
    </w:lvl>
  </w:abstractNum>
  <w:abstractNum w:abstractNumId="21">
    <w:nsid w:val="440BADFC"/>
    <w:multiLevelType w:val="hybridMultilevel"/>
    <w:lvl w:ilvl="0">
      <w:lvlJc w:val="left"/>
      <w:lvlText w:val="%1"/>
      <w:numFmt w:val="lowerRoman"/>
      <w:start w:val="1"/>
    </w:lvl>
    <w:lvl w:ilvl="1">
      <w:lvlJc w:val="left"/>
      <w:lvlText w:val="(%2)"/>
      <w:numFmt w:val="lowerLetter"/>
      <w:start w:val="7"/>
    </w:lvl>
  </w:abstractNum>
  <w:abstractNum w:abstractNumId="22">
    <w:nsid w:val="5072367"/>
    <w:multiLevelType w:val="hybridMultilevel"/>
    <w:lvl w:ilvl="0">
      <w:lvlJc w:val="left"/>
      <w:lvlText w:val="(%1)"/>
      <w:numFmt w:val="lowerRoman"/>
      <w:start w:val="9"/>
    </w:lvl>
    <w:lvl w:ilvl="1">
      <w:lvlJc w:val="left"/>
      <w:lvlText w:val="%2"/>
      <w:numFmt w:val="lowerLetter"/>
      <w:start w:val="1"/>
    </w:lvl>
  </w:abstractNum>
  <w:abstractNum w:abstractNumId="23">
    <w:nsid w:val="3804823E"/>
    <w:multiLevelType w:val="hybridMultilevel"/>
    <w:lvl w:ilvl="0">
      <w:lvlJc w:val="left"/>
      <w:lvlText w:val="(%1)"/>
      <w:numFmt w:val="lowerLetter"/>
      <w:start w:val="8"/>
    </w:lvl>
  </w:abstractNum>
  <w:abstractNum w:abstractNumId="24">
    <w:nsid w:val="77465F01"/>
    <w:multiLevelType w:val="hybridMultilevel"/>
    <w:lvl w:ilvl="0">
      <w:lvlJc w:val="left"/>
      <w:lvlText w:val="(%1)"/>
      <w:numFmt w:val="lowerLetter"/>
      <w:start w:val="12"/>
    </w:lvl>
  </w:abstractNum>
  <w:abstractNum w:abstractNumId="25">
    <w:nsid w:val="7724C67E"/>
    <w:multiLevelType w:val="hybridMultilevel"/>
    <w:lvl w:ilvl="0">
      <w:lvlJc w:val="left"/>
      <w:lvlText w:val="%1."/>
      <w:numFmt w:val="decimal"/>
      <w:start w:val="7"/>
    </w:lvl>
    <w:lvl w:ilvl="1">
      <w:lvlJc w:val="left"/>
      <w:lvlText w:val="(%2)"/>
      <w:numFmt w:val="lowerLetter"/>
      <w:start w:val="2"/>
    </w:lvl>
    <w:lvl w:ilvl="2">
      <w:lvlJc w:val="left"/>
      <w:lvlText w:val="(%3)"/>
      <w:numFmt w:val="lowerRoman"/>
      <w:start w:val="1"/>
    </w:lvl>
  </w:abstractNum>
  <w:abstractNum w:abstractNumId="26">
    <w:nsid w:val="5C482A97"/>
    <w:multiLevelType w:val="hybridMultilevel"/>
    <w:lvl w:ilvl="0">
      <w:lvlJc w:val="left"/>
      <w:lvlText w:val="(%1)"/>
      <w:numFmt w:val="lowerRoman"/>
      <w:start w:val="3"/>
    </w:lvl>
    <w:lvl w:ilvl="1">
      <w:lvlJc w:val="left"/>
      <w:lvlText w:val="(%2)"/>
      <w:numFmt w:val="upperLetter"/>
      <w:start w:val="1"/>
    </w:lvl>
  </w:abstractNum>
  <w:abstractNum w:abstractNumId="27">
    <w:nsid w:val="2463B9EA"/>
    <w:multiLevelType w:val="hybridMultilevel"/>
    <w:lvl w:ilvl="0">
      <w:lvlJc w:val="left"/>
      <w:lvlText w:val="(%1)"/>
      <w:numFmt w:val="lowerRoman"/>
      <w:start w:val="6"/>
    </w:lvl>
  </w:abstractNum>
  <w:abstractNum w:abstractNumId="28">
    <w:nsid w:val="5E884ADC"/>
    <w:multiLevelType w:val="hybridMultilevel"/>
    <w:lvl w:ilvl="0">
      <w:lvlJc w:val="left"/>
      <w:lvlText w:val="%1"/>
      <w:numFmt w:val="lowerRoman"/>
      <w:start w:val="1"/>
    </w:lvl>
    <w:lvl w:ilvl="1">
      <w:lvlJc w:val="left"/>
      <w:lvlText w:val="(%2)"/>
      <w:numFmt w:val="lowerRoman"/>
      <w:start w:val="8"/>
    </w:lvl>
  </w:abstractNum>
  <w:abstractNum w:abstractNumId="29">
    <w:nsid w:val="51EAD36B"/>
    <w:multiLevelType w:val="hybridMultilevel"/>
    <w:lvl w:ilvl="0">
      <w:lvlJc w:val="left"/>
      <w:lvlText w:val="(%1)"/>
      <w:numFmt w:val="lowerRoman"/>
      <w:start w:val="3"/>
    </w:lvl>
    <w:lvl w:ilvl="1">
      <w:lvlJc w:val="left"/>
      <w:lvlText w:val="(%2)"/>
      <w:numFmt w:val="lowerRoman"/>
      <w:start w:val="9"/>
    </w:lvl>
  </w:abstractNum>
  <w:abstractNum w:abstractNumId="30">
    <w:nsid w:val="2D517796"/>
    <w:multiLevelType w:val="hybridMultilevel"/>
    <w:lvl w:ilvl="0">
      <w:lvlJc w:val="left"/>
      <w:lvlText w:val="%1."/>
      <w:numFmt w:val="decimal"/>
      <w:start w:val="8"/>
    </w:lvl>
  </w:abstractNum>
  <w:abstractNum w:abstractNumId="31">
    <w:nsid w:val="580BD78F"/>
    <w:multiLevelType w:val="hybridMultilevel"/>
    <w:lvl w:ilvl="0">
      <w:lvlJc w:val="left"/>
      <w:lvlText w:val="(%1)"/>
      <w:numFmt w:val="lowerLetter"/>
      <w:start w:val="2"/>
    </w:lvl>
  </w:abstractNum>
  <w:abstractNum w:abstractNumId="32">
    <w:nsid w:val="153EA438"/>
    <w:multiLevelType w:val="hybridMultilevel"/>
    <w:lvl w:ilvl="0">
      <w:lvlJc w:val="left"/>
      <w:lvlText w:val="%1"/>
      <w:numFmt w:val="lowerLetter"/>
      <w:start w:val="1"/>
    </w:lvl>
    <w:lvl w:ilvl="1">
      <w:lvlJc w:val="left"/>
      <w:lvlText w:val="(%2)"/>
      <w:numFmt w:val="lowerLetter"/>
      <w:start w:val="3"/>
    </w:lvl>
  </w:abstractNum>
  <w:abstractNum w:abstractNumId="33">
    <w:nsid w:val="3855585C"/>
    <w:multiLevelType w:val="hybridMultilevel"/>
    <w:lvl w:ilvl="0">
      <w:lvlJc w:val="left"/>
      <w:lvlText w:val="(%1)"/>
      <w:numFmt w:val="lowerLetter"/>
      <w:start w:val="61"/>
    </w:lvl>
    <w:lvl w:ilvl="1">
      <w:lvlJc w:val="left"/>
      <w:lvlText w:val="%2"/>
      <w:numFmt w:val="lowerLetter"/>
      <w:start w:val="1"/>
    </w:lvl>
  </w:abstractNum>
  <w:abstractNum w:abstractNumId="34">
    <w:nsid w:val="70A64E2A"/>
    <w:multiLevelType w:val="hybridMultilevel"/>
    <w:lvl w:ilvl="0">
      <w:lvlJc w:val="left"/>
      <w:lvlText w:val="(%1)"/>
      <w:numFmt w:val="lowerLetter"/>
      <w:start w:val="4"/>
    </w:lvl>
  </w:abstractNum>
  <w:abstractNum w:abstractNumId="35">
    <w:nsid w:val="6A2342EC"/>
    <w:multiLevelType w:val="hybridMultilevel"/>
    <w:lvl w:ilvl="0">
      <w:lvlJc w:val="left"/>
      <w:lvlText w:val="%1"/>
      <w:numFmt w:val="lowerLetter"/>
      <w:start w:val="1"/>
    </w:lvl>
    <w:lvl w:ilvl="1">
      <w:lvlJc w:val="left"/>
      <w:lvlText w:val="(%2)"/>
      <w:numFmt w:val="lowerLetter"/>
      <w:start w:val="6"/>
    </w:lvl>
  </w:abstractNum>
  <w:abstractNum w:abstractNumId="36">
    <w:nsid w:val="2A487CB0"/>
    <w:multiLevelType w:val="hybridMultilevel"/>
    <w:lvl w:ilvl="0">
      <w:lvlJc w:val="left"/>
      <w:lvlText w:val="(%1)"/>
      <w:numFmt w:val="lowerLetter"/>
      <w:start w:val="35"/>
    </w:lvl>
    <w:lvl w:ilvl="1">
      <w:lvlJc w:val="left"/>
      <w:lvlText w:val="%2"/>
      <w:numFmt w:val="lowerLetter"/>
      <w:start w:val="1"/>
    </w:lvl>
  </w:abstractNum>
  <w:abstractNum w:abstractNumId="37">
    <w:nsid w:val="1D4ED43B"/>
    <w:multiLevelType w:val="hybridMultilevel"/>
    <w:lvl w:ilvl="0">
      <w:lvlJc w:val="left"/>
      <w:lvlText w:val="%1."/>
      <w:numFmt w:val="decimal"/>
      <w:start w:val="9"/>
    </w:lvl>
  </w:abstractNum>
  <w:abstractNum w:abstractNumId="38">
    <w:nsid w:val="725A06FB"/>
    <w:multiLevelType w:val="hybridMultilevel"/>
    <w:lvl w:ilvl="0">
      <w:lvlJc w:val="left"/>
      <w:lvlText w:val="%1."/>
      <w:numFmt w:val="decimal"/>
      <w:start w:val="10"/>
    </w:lvl>
  </w:abstractNum>
  <w:abstractNum w:abstractNumId="39">
    <w:nsid w:val="2CD89A32"/>
    <w:multiLevelType w:val="hybridMultilevel"/>
    <w:lvl w:ilvl="0">
      <w:lvlJc w:val="left"/>
      <w:lvlText w:val="%1."/>
      <w:numFmt w:val="decimal"/>
      <w:start w:val="11"/>
    </w:lvl>
    <w:lvl w:ilvl="1">
      <w:lvlJc w:val="left"/>
      <w:lvlText w:val="(%2)"/>
      <w:numFmt w:val="lowerLetter"/>
      <w:start w:val="2"/>
    </w:lvl>
  </w:abstractNum>
  <w:abstractNum w:abstractNumId="40">
    <w:nsid w:val="57E4CCAF"/>
    <w:multiLevelType w:val="hybridMultilevel"/>
    <w:lvl w:ilvl="0">
      <w:lvlJc w:val="left"/>
      <w:lvlText w:val="%1."/>
      <w:numFmt w:val="decimal"/>
      <w:start w:val="14"/>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4"/>
    </w:lvl>
  </w:abstractNum>
  <w:abstractNum w:abstractNumId="44">
    <w:nsid w:val="6DE91B18"/>
    <w:multiLevelType w:val="hybridMultilevel"/>
    <w:lvl w:ilvl="0">
      <w:lvlJc w:val="left"/>
      <w:lvlText w:val="%1."/>
      <w:numFmt w:val="decimal"/>
      <w:start w:val="7"/>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1)"/>
      <w:numFmt w:val="lowerRoman"/>
      <w:start w:val="2"/>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2019-12-05T19:41:40Z</dcterms:created>
  <dcterms:modified xsi:type="dcterms:W3CDTF">2019-12-05T19:41:40Z</dcterms:modified>
</cp:coreProperties>
</file>