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180" w:firstLine="8"/>
        <w:spacing w:after="0" w:line="496" w:lineRule="auto"/>
        <w:tabs>
          <w:tab w:leader="none" w:pos="18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 symbol</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5"/>
        </w:trPr>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 par value $0.10 per share</w:t>
            </w:r>
          </w:p>
        </w:tc>
        <w:tc>
          <w:tcPr>
            <w:tcW w:w="24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MU</w:t>
            </w:r>
          </w:p>
        </w:tc>
        <w:tc>
          <w:tcPr>
            <w:tcW w:w="200" w:type="dxa"/>
            <w:vAlign w:val="bottom"/>
          </w:tcPr>
          <w:p>
            <w:pPr>
              <w:spacing w:after="0"/>
              <w:rPr>
                <w:sz w:val="16"/>
                <w:szCs w:val="16"/>
                <w:color w:val="auto"/>
              </w:rPr>
            </w:pPr>
          </w:p>
        </w:tc>
        <w:tc>
          <w:tcPr>
            <w:tcW w:w="5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NASDAQ Global Select Market</w:t>
            </w:r>
          </w:p>
        </w:tc>
      </w:t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Common Stock Purchase Rights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rPr>
              <w:t>MU</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July 10, 2019, Micron Technology, Inc. (“Micron”) entered into an underwriting agreement with Goldman Sachs &amp; Co. LLC, J.P. Morgan Securities LLC, and Wells Fargo Securities, LLC, as representatives of the several underwriters named therein (the “Underwriters”), relating to the issuance and sale by the Company of $900,000,000 aggregate principal amount of 4.185% senior unsecured notes due February 15, 2027 (the “2027 Notes”) and $850,000,000 aggregate principal amount of 4.663% senior unsecured notes due February 15, 2030 (the “2030 Notes,” together with the 2027 Notes, the “Notes”). The Notes were issued and sold in a public offering pursuant to a registration statement on Form S-3 (File No. 333-220882), including the prospectus contained therein, filed with the Securities and Exchange Commission (the “SEC”) under the Securities Act of 1933, as amended, a preliminary prospectus supplement dated July 10, 2019 and a related final prospectus supplement dated July 10, 2019. The transaction closed on July 12, 2019.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Underwriting Agreement includes customary representations, warranties and covenants by the Company. Under the terms of the Underwriting Agreement, the Company has agreed to indemnify the Underwriters against certain liabilities.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description of the Underwriting Agreement contained herein is qualified in its entirety by reference to the Underwriting Agreement filed as Exhibit 1.1 to this Current Report on Form 8-K and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Indenture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Each series of Notes was issued pursuant to an indenture, dated as of February 6, 2019 (the “Base Indenture”), as supplemented by a second supplemental indenture, dated as of July 12, 2019 (the “Supplemental Indenture” and referred to together with the Base Indenture as the “Indenture”), between Micron and U.S. Bank National Association, as trustee. The Indenture contains certain covenants, events of default and other customary provisions.</w:t>
      </w:r>
    </w:p>
    <w:p>
      <w:pPr>
        <w:spacing w:after="0" w:line="14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2027 Notes bear interest at a rate of 4.185% per year and will mature on February 15, 2027. The 2030 Notes bear interest at a rate of 4.663% per year and will mature on February 15, 2030. Interest on the 2027 Notes is payable on February 15 and August 15 of each year, beginning on February 15, 2020. Interest on the 2030 Notes is payable on February 15 and August 15 of each year, beginning on February 15, 2020.</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Micron may redeem some or all of the Notes of each series, at any time or from time to time, at a redemption price equal to the greater of (i) 100% of the principal amount of the Notes of that series to be redeemed and (ii) 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 Rate plus 35 basis points for the 2027 Notes and 40 basis points for the 2030 Notes, plus, in each case, accrued and unpaid interest, if any, on the amount being redeemed to, but excluding, the date of redemption.</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Micron may redeem any 2027 Notes or 2030 Notes on or after the applicable Par Call Date at a redemption price equal to 100% of the principal amount of the Notes redeemed, plus accrued and unpaid interest, if any, to, but excluding, the date of redemption. The Notes are unsecured and rank equally in right of payment with all of Micron’s other unsecured senior indebtedness.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of each series at a price equal to 101% of the principal amount of the Notes repurchased, plus accrued and unpaid interest, if any.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 Call Date” means (i) December 15, 2026 with respect to any 2027 Notes (two months prior to the maturity date of the 2027 Notes) and</w:t>
      </w:r>
    </w:p>
    <w:p>
      <w:pPr>
        <w:spacing w:after="0" w:line="23" w:lineRule="exact"/>
        <w:rPr>
          <w:sz w:val="20"/>
          <w:szCs w:val="20"/>
          <w:color w:val="auto"/>
        </w:rPr>
      </w:pPr>
    </w:p>
    <w:p>
      <w:pPr>
        <w:ind w:left="5660" w:right="3120" w:hanging="5652"/>
        <w:spacing w:after="0" w:line="511" w:lineRule="auto"/>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November 15, 2029 with respect to any 2030 Notes (three months prior to the maturity date of the 2030 Notes).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220" w:firstLine="648"/>
        <w:spacing w:after="0" w:line="259" w:lineRule="auto"/>
        <w:rPr>
          <w:sz w:val="20"/>
          <w:szCs w:val="20"/>
          <w:color w:val="auto"/>
        </w:rPr>
      </w:pPr>
      <w:r>
        <w:rPr>
          <w:rFonts w:ascii="Arial" w:cs="Arial" w:eastAsia="Arial" w:hAnsi="Arial"/>
          <w:sz w:val="18"/>
          <w:szCs w:val="18"/>
          <w:color w:val="auto"/>
        </w:rPr>
        <w:t>The Indenture contains limited affirmative and negative covenants of Micron, each of which is subject to a number of limitations and exceptions in the Indenture. The negative covenants restrict the ability of Micron and certain of its subsidiaries to incur liens on principal property (as defined in the Indenture); to engage in sale and lease-back transactions with respect to any principal property; and the ability of Micron to consolidate, merge or convey, transfer or lease all or substantially all of its properties and assets.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Events of default under the Indenture include a failure to make payments, non-performance of affirmative and negative covenants, and the occurrence of bankruptcy and insolvency-related events. Micron’s obligations may be accelerated upon an event of default, in which case the entire principal amount of the Notes would become immediately due and payable.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Micron intends to use a substantial portion of the net proceeds of the offering of the Notes </w:t>
      </w:r>
      <w:r>
        <w:rPr>
          <w:rFonts w:ascii="Arial" w:cs="Arial" w:eastAsia="Arial" w:hAnsi="Arial"/>
          <w:sz w:val="17"/>
          <w:szCs w:val="17"/>
          <w:color w:val="auto"/>
        </w:rPr>
        <w:t>to fund the purchase price for Intel Corporation’s (“Intel”)</w:t>
      </w:r>
      <w:r>
        <w:rPr>
          <w:rFonts w:ascii="Arial" w:cs="Arial" w:eastAsia="Arial" w:hAnsi="Arial"/>
          <w:sz w:val="18"/>
          <w:szCs w:val="18"/>
          <w:color w:val="auto"/>
        </w:rPr>
        <w:t xml:space="preserve"> </w:t>
      </w:r>
      <w:r>
        <w:rPr>
          <w:rFonts w:ascii="Arial" w:cs="Arial" w:eastAsia="Arial" w:hAnsi="Arial"/>
          <w:sz w:val="17"/>
          <w:szCs w:val="17"/>
          <w:color w:val="auto"/>
        </w:rPr>
        <w:t xml:space="preserve">noncontrolling interest in IM Flash Technologies, LLC (“IM Flash”) and IM Flash debt owed to Intel. </w:t>
      </w:r>
      <w:r>
        <w:rPr>
          <w:rFonts w:ascii="Arial" w:cs="Arial" w:eastAsia="Arial" w:hAnsi="Arial"/>
          <w:sz w:val="18"/>
          <w:szCs w:val="18"/>
          <w:color w:val="auto"/>
        </w:rPr>
        <w:t>Micron intends to use the remaining net proceeds of the</w:t>
      </w:r>
      <w:r>
        <w:rPr>
          <w:rFonts w:ascii="Arial" w:cs="Arial" w:eastAsia="Arial" w:hAnsi="Arial"/>
          <w:sz w:val="17"/>
          <w:szCs w:val="17"/>
          <w:color w:val="auto"/>
        </w:rPr>
        <w:t xml:space="preserve"> </w:t>
      </w:r>
      <w:r>
        <w:rPr>
          <w:rFonts w:ascii="Arial" w:cs="Arial" w:eastAsia="Arial" w:hAnsi="Arial"/>
          <w:sz w:val="18"/>
          <w:szCs w:val="18"/>
          <w:color w:val="auto"/>
        </w:rPr>
        <w:t>offering for general corporate purposes, which may include capital expenditures, working capital and the repayment, repurchase, redemption or other retirement of its other existing indebtedness.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foregoing description of certain terms of the Indenture does not purport to be complete and is qualified in its entirety by reference to the full text of the Base Indenture, the Supplemental Indenture, the form of the 2027 Notes and the form of the 2030 Notes which are filed with this report as Exhibits 4.1, 4.2, 4.3 and 4.4,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July 12, 2019 regarding the legality of the Notes. A copy of the opinion is filed as Exhibit 5.1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600" w:type="dxa"/>
            <w:vAlign w:val="bottom"/>
            <w:gridSpan w:val="8"/>
          </w:tcPr>
          <w:p>
            <w:pPr>
              <w:ind w:left="2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520" w:type="dxa"/>
            <w:vAlign w:val="bottom"/>
            <w:tcBorders>
              <w:top w:val="single" w:sz="8" w:color="auto"/>
              <w:bottom w:val="single" w:sz="8" w:color="0000EE"/>
            </w:tcBorders>
            <w:gridSpan w:val="6"/>
          </w:tcPr>
          <w:p>
            <w:pPr>
              <w:spacing w:after="0" w:line="170"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July 10, 2019, by and among Micron Technology, Inc. and Goldman Sachs &amp; Co. LLC, J.P. Morgan</w:t>
              </w:r>
            </w:hyperlink>
          </w:p>
        </w:tc>
        <w:tc>
          <w:tcPr>
            <w:tcW w:w="38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Securities LLC, and Wells Fargo Securities, LLC, as representatives of the several underwriters on Schedule I attached thereto</w:t>
              </w:r>
            </w:hyperlink>
          </w:p>
        </w:tc>
        <w:tc>
          <w:tcPr>
            <w:tcW w:w="8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7"/>
                <w:szCs w:val="17"/>
                <w:color w:val="auto"/>
              </w:rPr>
            </w:pPr>
          </w:p>
        </w:tc>
        <w:tc>
          <w:tcPr>
            <w:tcW w:w="9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Indenture, dated February 6, 2019, by and between Micron Technology, Inc. and U.S. Bank National Association, as Trustee, filed as</w:t>
              </w:r>
            </w:hyperlink>
          </w:p>
        </w:tc>
        <w:tc>
          <w:tcPr>
            <w:tcW w:w="3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8">
              <w:r>
                <w:rPr>
                  <w:rFonts w:ascii="Arial" w:cs="Arial" w:eastAsia="Arial" w:hAnsi="Arial"/>
                  <w:sz w:val="18"/>
                  <w:szCs w:val="18"/>
                  <w:color w:val="0000EE"/>
                  <w:w w:val="93"/>
                </w:rPr>
                <w:t>Exhibit 4.1 to Micron’s Form 8-K filed on February 6, 2019</w:t>
              </w:r>
            </w:hyperlink>
          </w:p>
        </w:tc>
        <w:tc>
          <w:tcPr>
            <w:tcW w:w="560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Supplemental Indenture, dated July 12, 2019, by and between Micron Technology, Inc. and U.S. Bank National Association, as Trustee</w:t>
              </w:r>
            </w:hyperlink>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8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Form of Note for Micron Technology, Inc.’s 4.185% Notes due 2027 (incorporated by reference from Exhibit 4.2 hereto)</w:t>
              </w:r>
            </w:hyperlink>
          </w:p>
        </w:tc>
        <w:tc>
          <w:tcPr>
            <w:tcW w:w="1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7"/>
                <w:szCs w:val="17"/>
                <w:color w:val="auto"/>
              </w:rPr>
            </w:pPr>
          </w:p>
        </w:tc>
        <w:tc>
          <w:tcPr>
            <w:tcW w:w="8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Form of Note for Micron Technology, Inc.’s 4.663% Notes due 2030 (incorporated by reference from Exhibit 4.2 hereto)</w:t>
              </w:r>
            </w:hyperlink>
          </w:p>
        </w:tc>
        <w:tc>
          <w:tcPr>
            <w:tcW w:w="1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52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Opinion of Wilson Sonsini Goodrich &amp; Rosati, Professional Corporation</w:t>
              </w:r>
            </w:hyperlink>
          </w:p>
        </w:tc>
        <w:tc>
          <w:tcPr>
            <w:tcW w:w="46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9920" w:type="dxa"/>
            <w:vAlign w:val="bottom"/>
            <w:gridSpan w:val="1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Consent of Wilson Sonsini Goodrich &amp; Rosati, Professional Corporation (included in Exhibit 5.1)</w:t>
              </w:r>
            </w:hyperlink>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3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rPr>
              <w:t>3</w:t>
            </w:r>
          </w:p>
        </w:tc>
        <w:tc>
          <w:tcPr>
            <w:tcW w:w="92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 David A. Zinsner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2019</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$900,000,000 4.185% SENIOR NOTES DUE 2027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$850,000,000 4.663% SENIOR NOTES DUE 2030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July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listed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$900,000,000 principal amount of its 4.185% Senior Notes due 2027 (the “</w:t>
      </w:r>
      <w:r>
        <w:rPr>
          <w:rFonts w:ascii="Arial" w:cs="Arial" w:eastAsia="Arial" w:hAnsi="Arial"/>
          <w:sz w:val="18"/>
          <w:szCs w:val="18"/>
          <w:b w:val="1"/>
          <w:bCs w:val="1"/>
          <w:color w:val="auto"/>
        </w:rPr>
        <w:t>2027 Notes</w:t>
      </w:r>
      <w:r>
        <w:rPr>
          <w:rFonts w:ascii="Arial" w:cs="Arial" w:eastAsia="Arial" w:hAnsi="Arial"/>
          <w:sz w:val="18"/>
          <w:szCs w:val="18"/>
          <w:color w:val="auto"/>
        </w:rPr>
        <w:t>”) and $850,000,000 principal amount of its 4.663% Senior Notes due 2030 (the “</w:t>
      </w:r>
      <w:r>
        <w:rPr>
          <w:rFonts w:ascii="Arial" w:cs="Arial" w:eastAsia="Arial" w:hAnsi="Arial"/>
          <w:sz w:val="18"/>
          <w:szCs w:val="18"/>
          <w:b w:val="1"/>
          <w:bCs w:val="1"/>
          <w:color w:val="auto"/>
        </w:rPr>
        <w:t>2030 Notes</w:t>
      </w:r>
      <w:r>
        <w:rPr>
          <w:rFonts w:ascii="Arial" w:cs="Arial" w:eastAsia="Arial" w:hAnsi="Arial"/>
          <w:sz w:val="18"/>
          <w:szCs w:val="18"/>
          <w:color w:val="auto"/>
        </w:rPr>
        <w:t>” and, together with the 2027 Notes,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will be issued pursuant to an indenture dated as of February 6, 2019 between the Company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a second supplemental indenture thereto (collectively, the “</w:t>
      </w:r>
      <w:r>
        <w:rPr>
          <w:rFonts w:ascii="Arial" w:cs="Arial" w:eastAsia="Arial" w:hAnsi="Arial"/>
          <w:sz w:val="18"/>
          <w:szCs w:val="18"/>
          <w:b w:val="1"/>
          <w:bCs w:val="1"/>
          <w:color w:val="auto"/>
        </w:rPr>
        <w:t>Indenture</w:t>
      </w:r>
      <w:r>
        <w:rPr>
          <w:rFonts w:ascii="Arial" w:cs="Arial" w:eastAsia="Arial" w:hAnsi="Arial"/>
          <w:sz w:val="18"/>
          <w:szCs w:val="18"/>
          <w:color w:val="auto"/>
        </w:rPr>
        <w:t>”), to be dated as of the Closing Date (as defined below).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sale of the Securities, the Company has prepared and filed with the Securities and Exchange Commission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a registration statement on Form S-3 (File No. 333-220882) including a prospectus, relating to the securities identified therein that may be issued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from time to time. Such registration statement, as amended at the time it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7"/>
          <w:szCs w:val="17"/>
          <w:color w:val="auto"/>
        </w:rPr>
        <w:t>including the information, if any, deemed pursuant to Rule 430A, 430B or 430C under the Securities Act to be part of the registration statement at the time of its effectiveness (“</w:t>
      </w:r>
      <w:r>
        <w:rPr>
          <w:rFonts w:ascii="Arial" w:cs="Arial" w:eastAsia="Arial" w:hAnsi="Arial"/>
          <w:sz w:val="17"/>
          <w:szCs w:val="17"/>
          <w:b w:val="1"/>
          <w:bCs w:val="1"/>
          <w:color w:val="auto"/>
        </w:rPr>
        <w:t>Rule 430 Information</w:t>
      </w:r>
      <w:r>
        <w:rPr>
          <w:rFonts w:ascii="Arial" w:cs="Arial" w:eastAsia="Arial" w:hAnsi="Arial"/>
          <w:sz w:val="17"/>
          <w:szCs w:val="17"/>
          <w:color w:val="auto"/>
        </w:rPr>
        <w:t>”), is referred to herein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as used herein,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the preliminary prospectus supplement of the Company, dated July 10, 2019, relating to the Securities, and filed with the Commission pursuant to Rule 424(b) under the Securities Act together with the prospectus included in the Registration Statement at the time of its effectiveness that omitted Rule 430 Information, and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final prospectus relating to the Securities in the form first furnished to the Underwriters (or made available upon request of purchasers pursuant to Rule 173 under the Securities Act) for use in connection with confirmation of sales of the Securities. Any reference in this underwriting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cs="Arial" w:eastAsia="Arial" w:hAnsi="Arial"/>
          <w:sz w:val="17"/>
          <w:szCs w:val="17"/>
          <w:b w:val="1"/>
          <w:bCs w:val="1"/>
          <w:color w:val="auto"/>
        </w:rPr>
        <w:t>amend</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or “</w:t>
      </w:r>
      <w:r>
        <w:rPr>
          <w:rFonts w:ascii="Arial" w:cs="Arial" w:eastAsia="Arial" w:hAnsi="Arial"/>
          <w:sz w:val="17"/>
          <w:szCs w:val="17"/>
          <w:b w:val="1"/>
          <w:bCs w:val="1"/>
          <w:color w:val="auto"/>
        </w:rPr>
        <w:t>supplement</w:t>
      </w:r>
      <w:r>
        <w:rPr>
          <w:rFonts w:ascii="Arial" w:cs="Arial" w:eastAsia="Arial" w:hAnsi="Arial"/>
          <w:sz w:val="17"/>
          <w:szCs w:val="17"/>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that are deemed to be incorporated by reference therein. Capitalized terms used but not defined herein shall have the meanings given to such terms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Registration Statement and the Prospectus.</w:t>
      </w:r>
    </w:p>
    <w:p>
      <w:pPr>
        <w:spacing w:after="0" w:line="18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the “</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a Preliminary Prospectus dated July 10, 2019, and each “</w:t>
      </w:r>
      <w:r>
        <w:rPr>
          <w:rFonts w:ascii="Arial" w:cs="Arial" w:eastAsia="Arial" w:hAnsi="Arial"/>
          <w:sz w:val="18"/>
          <w:szCs w:val="18"/>
          <w:b w:val="1"/>
          <w:bCs w:val="1"/>
          <w:color w:val="auto"/>
        </w:rPr>
        <w:t>free-writing prospectus</w:t>
      </w:r>
      <w:r>
        <w:rPr>
          <w:rFonts w:ascii="Arial" w:cs="Arial" w:eastAsia="Arial" w:hAnsi="Arial"/>
          <w:sz w:val="18"/>
          <w:szCs w:val="18"/>
          <w:color w:val="auto"/>
        </w:rPr>
        <w:t>” (as defined pursuant to Rule 405 under the 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listed on Schedule II hereto. “</w:t>
      </w:r>
      <w:r>
        <w:rPr>
          <w:rFonts w:ascii="Arial" w:cs="Arial" w:eastAsia="Arial" w:hAnsi="Arial"/>
          <w:sz w:val="18"/>
          <w:szCs w:val="18"/>
          <w:b w:val="1"/>
          <w:bCs w:val="1"/>
          <w:color w:val="auto"/>
        </w:rPr>
        <w:t>Applicable Time</w:t>
      </w:r>
      <w:r>
        <w:rPr>
          <w:rFonts w:ascii="Arial" w:cs="Arial" w:eastAsia="Arial" w:hAnsi="Arial"/>
          <w:sz w:val="18"/>
          <w:szCs w:val="18"/>
          <w:color w:val="auto"/>
        </w:rPr>
        <w:t>” means 3:42 p.m., New York City time, on July 10, 2019.</w:t>
      </w:r>
    </w:p>
    <w:p>
      <w:pPr>
        <w:spacing w:after="0" w:line="18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60" w:firstLine="645"/>
        <w:spacing w:after="0" w:line="255" w:lineRule="auto"/>
        <w:tabs>
          <w:tab w:leader="none" w:pos="1954" w:val="left"/>
        </w:tabs>
        <w:numPr>
          <w:ilvl w:val="1"/>
          <w:numId w:val="3"/>
        </w:numPr>
        <w:rPr>
          <w:rFonts w:ascii="Arial" w:cs="Arial" w:eastAsia="Arial" w:hAnsi="Arial"/>
          <w:sz w:val="18"/>
          <w:szCs w:val="18"/>
          <w:color w:val="auto"/>
        </w:rPr>
      </w:pPr>
      <w:r>
        <w:rPr>
          <w:rFonts w:ascii="Arial" w:cs="Arial" w:eastAsia="Arial" w:hAnsi="Arial"/>
          <w:sz w:val="18"/>
          <w:szCs w:val="18"/>
          <w:color w:val="auto"/>
        </w:rPr>
        <w:t>No order preventing or suspending the use of any Preliminary Prospectus has been issued by the Commission, and the Preliminary Prospectus included in the Time of Sale Information,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right="300"/>
        <w:spacing w:after="0" w:line="308" w:lineRule="auto"/>
        <w:rPr>
          <w:sz w:val="20"/>
          <w:szCs w:val="20"/>
          <w:color w:val="auto"/>
        </w:rPr>
      </w:pPr>
      <w:r>
        <w:rPr>
          <w:rFonts w:ascii="Arial" w:cs="Arial" w:eastAsia="Arial" w:hAnsi="Arial"/>
          <w:sz w:val="17"/>
          <w:szCs w:val="17"/>
          <w:color w:val="auto"/>
        </w:rPr>
        <w:t>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147" w:lineRule="exact"/>
        <w:rPr>
          <w:sz w:val="20"/>
          <w:szCs w:val="20"/>
          <w:color w:val="auto"/>
        </w:rPr>
      </w:pPr>
    </w:p>
    <w:p>
      <w:pPr>
        <w:ind w:right="100" w:firstLine="645"/>
        <w:spacing w:after="0" w:line="271"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Time of Sale Information, it being understood and agreed that the only such information furnished by any Underwriter consists of the information described as such in Section 8(b)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78" w:lineRule="exact"/>
        <w:rPr>
          <w:rFonts w:ascii="Arial" w:cs="Arial" w:eastAsia="Arial" w:hAnsi="Arial"/>
          <w:sz w:val="17"/>
          <w:szCs w:val="17"/>
          <w:color w:val="auto"/>
        </w:rPr>
      </w:pPr>
    </w:p>
    <w:p>
      <w:pPr>
        <w:ind w:firstLine="645"/>
        <w:spacing w:after="0" w:line="286" w:lineRule="auto"/>
        <w:tabs>
          <w:tab w:leader="none" w:pos="1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t>
      </w:r>
      <w:r>
        <w:rPr>
          <w:rFonts w:ascii="Arial" w:cs="Arial" w:eastAsia="Arial" w:hAnsi="Arial"/>
          <w:sz w:val="16"/>
          <w:szCs w:val="16"/>
          <w:b w:val="1"/>
          <w:bCs w:val="1"/>
          <w:color w:val="auto"/>
        </w:rPr>
        <w:t>written communication</w:t>
      </w:r>
      <w:r>
        <w:rPr>
          <w:rFonts w:ascii="Arial" w:cs="Arial" w:eastAsia="Arial" w:hAnsi="Arial"/>
          <w:sz w:val="16"/>
          <w:szCs w:val="16"/>
          <w:color w:val="auto"/>
        </w:rPr>
        <w:t>”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other than (i) any document not constituting a prospectus pursuant to Section 2(a)(10)(a) of the Securities Act or Rule 134 under the Securities Act or (ii) the documents listed on Schedule II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Time of Sale Information and, when taken together with any other Issuer Free Writing Prospectus, the Preliminary Prospectus accompanying or delivered prior to the first delivery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or</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8" w:name="page9"/>
    <w:bookmarkEnd w:id="8"/>
    <w:p>
      <w:pPr>
        <w:ind w:right="180"/>
        <w:spacing w:after="0" w:line="259" w:lineRule="auto"/>
        <w:rPr>
          <w:sz w:val="20"/>
          <w:szCs w:val="20"/>
          <w:color w:val="auto"/>
        </w:rPr>
      </w:pPr>
      <w:r>
        <w:rPr>
          <w:rFonts w:ascii="Arial" w:cs="Arial" w:eastAsia="Arial" w:hAnsi="Arial"/>
          <w:sz w:val="18"/>
          <w:szCs w:val="18"/>
          <w:color w:val="auto"/>
        </w:rPr>
        <w:t>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8(b) hereof.</w:t>
      </w:r>
    </w:p>
    <w:p>
      <w:pPr>
        <w:spacing w:after="0" w:line="183" w:lineRule="exact"/>
        <w:rPr>
          <w:sz w:val="20"/>
          <w:szCs w:val="20"/>
          <w:color w:val="auto"/>
        </w:rPr>
      </w:pPr>
    </w:p>
    <w:p>
      <w:pPr>
        <w:ind w:firstLine="645"/>
        <w:spacing w:after="0" w:line="285" w:lineRule="auto"/>
        <w:tabs>
          <w:tab w:leader="none" w:pos="1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is an “</w:t>
      </w:r>
      <w:r>
        <w:rPr>
          <w:rFonts w:ascii="Arial" w:cs="Arial" w:eastAsia="Arial" w:hAnsi="Arial"/>
          <w:sz w:val="16"/>
          <w:szCs w:val="16"/>
          <w:b w:val="1"/>
          <w:bCs w:val="1"/>
          <w:color w:val="auto"/>
        </w:rPr>
        <w:t>automatic shelf registration statement</w:t>
      </w:r>
      <w:r>
        <w:rPr>
          <w:rFonts w:ascii="Arial" w:cs="Arial" w:eastAsia="Arial" w:hAnsi="Arial"/>
          <w:sz w:val="16"/>
          <w:szCs w:val="16"/>
          <w:color w:val="auto"/>
        </w:rPr>
        <w: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to the knowledge of the Company, threatened by the Commission; as of the applicable effective date of the Registration Statement and any post-effective amendment thereto, the Registration Statement and any post-effective amendment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Indenture Act</w:t>
      </w:r>
      <w:r>
        <w:rPr>
          <w:rFonts w:ascii="Arial" w:cs="Arial" w:eastAsia="Arial" w:hAnsi="Arial"/>
          <w:sz w:val="16"/>
          <w:szCs w:val="16"/>
          <w:color w:val="auto"/>
        </w:rPr>
        <w:t>”), and did not and will not contain any untrue statement of a material fact or omit to state a material fact required to be stated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necessary in order to make the statements therein not misleading; and as of the date of the Prospectus and any amendment or supplement thereto and as of the Closing Date the Prospectus does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79" w:lineRule="exact"/>
        <w:rPr>
          <w:rFonts w:ascii="Arial" w:cs="Arial" w:eastAsia="Arial" w:hAnsi="Arial"/>
          <w:sz w:val="16"/>
          <w:szCs w:val="16"/>
          <w:color w:val="auto"/>
        </w:rPr>
      </w:pPr>
    </w:p>
    <w:p>
      <w:pPr>
        <w:ind w:left="5000" w:right="100" w:hanging="4355"/>
        <w:spacing w:after="0" w:line="528" w:lineRule="auto"/>
        <w:tabs>
          <w:tab w:leader="none" w:pos="12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documents incorporated by reference in each of the Registration Statement, the Prospectus and the Time of Sale Information,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color w:val="auto"/>
        </w:rPr>
        <w:t>when they became effective or were filed with the Commission, as the case may be, conformed in all material respects to the requirements of the Securities Act or the Exchange Act, as applicable,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67" w:lineRule="exact"/>
        <w:rPr>
          <w:sz w:val="20"/>
          <w:szCs w:val="20"/>
          <w:color w:val="auto"/>
        </w:rPr>
      </w:pPr>
    </w:p>
    <w:p>
      <w:pPr>
        <w:ind w:firstLine="645"/>
        <w:spacing w:after="0" w:line="255" w:lineRule="auto"/>
        <w:tabs>
          <w:tab w:leader="none" w:pos="13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under the laws of the jurisdiction of its incorporation, has the corporate power and authority to own its property and to conduct its business as described in the Registration Statement, the Time of Sale Information and the Prospectus and is duly qualified to transact business in each jurisdiction in which the conduct of its business or its ownership or leasing of property requires such qualification, except where the failure to be so qualified, individually or in the aggregate, would not reasonably be expected to result in a Material Adverse Effect (as defined below). The Company is in good standing in each jurisdiction identified on Schedule III hereto.</w:t>
      </w:r>
    </w:p>
    <w:p>
      <w:pPr>
        <w:spacing w:after="0" w:line="193" w:lineRule="exact"/>
        <w:rPr>
          <w:rFonts w:ascii="Arial" w:cs="Arial" w:eastAsia="Arial" w:hAnsi="Arial"/>
          <w:sz w:val="18"/>
          <w:szCs w:val="18"/>
          <w:color w:val="auto"/>
        </w:rPr>
      </w:pPr>
    </w:p>
    <w:p>
      <w:pPr>
        <w:ind w:left="1320" w:hanging="67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140" w:firstLine="645"/>
        <w:spacing w:after="0" w:line="286"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Registration Statement, the Time of Sale Information and the Prospectus, and all of the shares of common stock of the Company, par value $0.10 per share (“</w:t>
      </w:r>
      <w:r>
        <w:rPr>
          <w:rFonts w:ascii="Arial" w:cs="Arial" w:eastAsia="Arial" w:hAnsi="Arial"/>
          <w:sz w:val="17"/>
          <w:szCs w:val="17"/>
          <w:b w:val="1"/>
          <w:bCs w:val="1"/>
          <w:color w:val="auto"/>
        </w:rPr>
        <w:t>Common Stock</w:t>
      </w:r>
      <w:r>
        <w:rPr>
          <w:rFonts w:ascii="Arial" w:cs="Arial" w:eastAsia="Arial" w:hAnsi="Arial"/>
          <w:sz w:val="17"/>
          <w:szCs w:val="17"/>
          <w:color w:val="auto"/>
        </w:rPr>
        <w:t>”) outstanding prior to the issuance of the Securities have been duly authorized and are validly issued, fully paid and non-assessable.</w:t>
      </w:r>
    </w:p>
    <w:p>
      <w:pPr>
        <w:spacing w:after="0" w:line="165" w:lineRule="exact"/>
        <w:rPr>
          <w:rFonts w:ascii="Arial" w:cs="Arial" w:eastAsia="Arial" w:hAnsi="Arial"/>
          <w:sz w:val="17"/>
          <w:szCs w:val="17"/>
          <w:color w:val="auto"/>
        </w:rPr>
      </w:pPr>
    </w:p>
    <w:p>
      <w:pPr>
        <w:ind w:firstLine="645"/>
        <w:spacing w:after="0" w:line="255" w:lineRule="auto"/>
        <w:tabs>
          <w:tab w:leader="none" w:pos="1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 Underwriters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t>proceeding at law or in equity)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and will be entitled to the benefits of the Indenture.</w:t>
      </w:r>
    </w:p>
    <w:p>
      <w:pPr>
        <w:spacing w:after="0" w:line="229" w:lineRule="exact"/>
        <w:rPr>
          <w:sz w:val="20"/>
          <w:szCs w:val="20"/>
          <w:color w:val="auto"/>
        </w:rPr>
      </w:pPr>
    </w:p>
    <w:p>
      <w:pPr>
        <w:ind w:left="4" w:right="600" w:firstLine="645"/>
        <w:spacing w:after="0" w:line="297" w:lineRule="auto"/>
        <w:tabs>
          <w:tab w:leader="none" w:pos="130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Indenture has been duly qualified under the Trust Indenture Act and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 will conform in all material respects to the descriptions thereof in the Registration Statement, the Time of Sale Information and the Prospectus. The Indenture will conform in all material respects to the requirements of the Trust Indenture Act.</w:t>
      </w:r>
    </w:p>
    <w:p>
      <w:pPr>
        <w:spacing w:after="0" w:line="158" w:lineRule="exact"/>
        <w:rPr>
          <w:rFonts w:ascii="Arial" w:cs="Arial" w:eastAsia="Arial" w:hAnsi="Arial"/>
          <w:sz w:val="16"/>
          <w:szCs w:val="16"/>
          <w:color w:val="auto"/>
        </w:rPr>
      </w:pPr>
    </w:p>
    <w:p>
      <w:pPr>
        <w:ind w:left="4" w:right="40" w:firstLine="645"/>
        <w:spacing w:after="0" w:line="283" w:lineRule="auto"/>
        <w:tabs>
          <w:tab w:leader="none" w:pos="130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the Indenture and the Securities will not conflict with or result in a breach of or violation of any of the terms or provisions of or constitute a default under any agreement or other instrument binding upon the Company or any of its “significant subsidiaries” (as defined in Regulation S-X promulgated under the Securities Act; each a “</w:t>
      </w:r>
      <w:r>
        <w:rPr>
          <w:rFonts w:ascii="Arial" w:cs="Arial" w:eastAsia="Arial" w:hAnsi="Arial"/>
          <w:sz w:val="16"/>
          <w:szCs w:val="16"/>
          <w:b w:val="1"/>
          <w:bCs w:val="1"/>
          <w:color w:val="auto"/>
        </w:rPr>
        <w:t>Significant Subsidiary</w:t>
      </w:r>
      <w:r>
        <w:rPr>
          <w:rFonts w:ascii="Arial" w:cs="Arial" w:eastAsia="Arial" w:hAnsi="Arial"/>
          <w:sz w:val="16"/>
          <w:szCs w:val="16"/>
          <w:color w:val="auto"/>
        </w:rPr>
        <w:t>” and collectively, the “</w:t>
      </w:r>
      <w:r>
        <w:rPr>
          <w:rFonts w:ascii="Arial" w:cs="Arial" w:eastAsia="Arial" w:hAnsi="Arial"/>
          <w:sz w:val="16"/>
          <w:szCs w:val="16"/>
          <w:b w:val="1"/>
          <w:bCs w:val="1"/>
          <w:color w:val="auto"/>
        </w:rPr>
        <w:t>Significant Subsidiaries</w:t>
      </w:r>
      <w:r>
        <w:rPr>
          <w:rFonts w:ascii="Arial" w:cs="Arial" w:eastAsia="Arial" w:hAnsi="Arial"/>
          <w:sz w:val="16"/>
          <w:szCs w:val="16"/>
          <w:color w:val="auto"/>
        </w:rPr>
        <w:t>”), except where such breach, violation or default would not have a Material Adverse Effect on the Company’s ability to perform its obligations under this Agreement, the Indenture or the Securities, nor will such action result in any violation of (i) the provisions of the certificate of incorporation or by-laws of the Company or (ii) any judgment, order or decree of any governmental body, agency or court having jurisdiction over the Company or any Significant Subsidiary or, to the Company’s knowledge, any applicable statute, except in the case of (ii) above, where such violation would not have a Material Adverse Effect on the Company’s ability to perform its obligations under this Agreement, the Indenture or the Securities; and no consent, approval, authorization or order of, or qualification with, any governmental body or agency is required for the performance by the Company of its obligations under this Agreement, the Indenture and the Securities, except for those (1) that have been, or will have been prior to the Closing Date, obtained and</w:t>
      </w:r>
    </w:p>
    <w:p>
      <w:pPr>
        <w:spacing w:after="0" w:line="4" w:lineRule="exact"/>
        <w:rPr>
          <w:rFonts w:ascii="Arial" w:cs="Arial" w:eastAsia="Arial" w:hAnsi="Arial"/>
          <w:sz w:val="16"/>
          <w:szCs w:val="16"/>
          <w:color w:val="auto"/>
        </w:rPr>
      </w:pPr>
    </w:p>
    <w:p>
      <w:pPr>
        <w:ind w:left="4" w:right="100" w:hanging="4"/>
        <w:spacing w:after="0" w:line="255"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may be required by the securities or Blue Sky laws of the various states in connection with the offer and sale of the Securities, except, in each case, where the failure to obtain such consents, individually or in the aggregate, would not have a Material Adverse Effect on the offering of the Securities.</w:t>
      </w:r>
    </w:p>
    <w:p>
      <w:pPr>
        <w:spacing w:after="0" w:line="190" w:lineRule="exact"/>
        <w:rPr>
          <w:rFonts w:ascii="Arial" w:cs="Arial" w:eastAsia="Arial" w:hAnsi="Arial"/>
          <w:sz w:val="18"/>
          <w:szCs w:val="18"/>
          <w:color w:val="auto"/>
        </w:rPr>
      </w:pPr>
    </w:p>
    <w:p>
      <w:pPr>
        <w:jc w:val="both"/>
        <w:ind w:left="4" w:firstLine="645"/>
        <w:spacing w:after="0" w:line="342" w:lineRule="auto"/>
        <w:tabs>
          <w:tab w:leader="none" w:pos="132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w:t>
      </w:r>
    </w:p>
    <w:p>
      <w:pPr>
        <w:spacing w:after="0" w:line="12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as a whole, from that set forth in the Registration Statement and Time of Sale Information.</w:t>
      </w:r>
    </w:p>
    <w:p>
      <w:pPr>
        <w:spacing w:after="0" w:line="225" w:lineRule="exact"/>
        <w:rPr>
          <w:sz w:val="20"/>
          <w:szCs w:val="20"/>
          <w:color w:val="auto"/>
        </w:rPr>
      </w:pPr>
    </w:p>
    <w:p>
      <w:pPr>
        <w:ind w:right="140" w:firstLine="645"/>
        <w:spacing w:after="0" w:line="276"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than as set forth in the Registration Statement, Time of Sale Information and Prospectus, (i) there are no legal or governmental proceedings (“</w:t>
      </w:r>
      <w:r>
        <w:rPr>
          <w:rFonts w:ascii="Arial" w:cs="Arial" w:eastAsia="Arial" w:hAnsi="Arial"/>
          <w:sz w:val="17"/>
          <w:szCs w:val="17"/>
          <w:b w:val="1"/>
          <w:bCs w:val="1"/>
          <w:color w:val="auto"/>
        </w:rPr>
        <w:t>Actions</w:t>
      </w:r>
      <w:r>
        <w:rPr>
          <w:rFonts w:ascii="Arial" w:cs="Arial" w:eastAsia="Arial" w:hAnsi="Arial"/>
          <w:sz w:val="17"/>
          <w:szCs w:val="17"/>
          <w:color w:val="auto"/>
        </w:rPr>
        <w:t>”)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7"/>
          <w:szCs w:val="17"/>
          <w:b w:val="1"/>
          <w:bCs w:val="1"/>
          <w:color w:val="auto"/>
        </w:rPr>
        <w:t>Material Adverse</w:t>
      </w:r>
      <w:r>
        <w:rPr>
          <w:rFonts w:ascii="Arial" w:cs="Arial" w:eastAsia="Arial" w:hAnsi="Arial"/>
          <w:sz w:val="17"/>
          <w:szCs w:val="17"/>
          <w:color w:val="auto"/>
        </w:rPr>
        <w:t xml:space="preserve"> </w:t>
      </w:r>
      <w:r>
        <w:rPr>
          <w:rFonts w:ascii="Arial" w:cs="Arial" w:eastAsia="Arial" w:hAnsi="Arial"/>
          <w:sz w:val="17"/>
          <w:szCs w:val="17"/>
          <w:b w:val="1"/>
          <w:bCs w:val="1"/>
          <w:color w:val="auto"/>
        </w:rPr>
        <w:t>Effect</w:t>
      </w:r>
      <w:r>
        <w:rPr>
          <w:rFonts w:ascii="Arial" w:cs="Arial" w:eastAsia="Arial" w:hAnsi="Arial"/>
          <w:sz w:val="17"/>
          <w:szCs w:val="17"/>
          <w:color w:val="auto"/>
        </w:rPr>
        <w:t>”); and (ii) to the Company’s knowledge, no such Actions are threatened by governmental authorities or by others.</w:t>
      </w:r>
    </w:p>
    <w:p>
      <w:pPr>
        <w:spacing w:after="0" w:line="172" w:lineRule="exact"/>
        <w:rPr>
          <w:rFonts w:ascii="Arial" w:cs="Arial" w:eastAsia="Arial" w:hAnsi="Arial"/>
          <w:sz w:val="17"/>
          <w:szCs w:val="17"/>
          <w:color w:val="auto"/>
        </w:rPr>
      </w:pPr>
    </w:p>
    <w:p>
      <w:pPr>
        <w:ind w:right="20" w:firstLine="645"/>
        <w:spacing w:after="0" w:line="297"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its Significant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Significant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58" w:lineRule="exact"/>
        <w:rPr>
          <w:rFonts w:ascii="Arial" w:cs="Arial" w:eastAsia="Arial" w:hAnsi="Arial"/>
          <w:sz w:val="16"/>
          <w:szCs w:val="16"/>
          <w:color w:val="auto"/>
        </w:rPr>
      </w:pPr>
    </w:p>
    <w:p>
      <w:pPr>
        <w:ind w:right="160" w:firstLine="645"/>
        <w:spacing w:after="0" w:line="264" w:lineRule="auto"/>
        <w:tabs>
          <w:tab w:leader="none" w:pos="1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Information and the Final Prospectus under the caption “Description of Notes,” insofar as they purport to constitute a summary of the terms of the Indenture and the Securities, fairly summarize such terms in all material respects.</w:t>
      </w:r>
    </w:p>
    <w:p>
      <w:pPr>
        <w:spacing w:after="0" w:line="181" w:lineRule="exact"/>
        <w:rPr>
          <w:rFonts w:ascii="Arial" w:cs="Arial" w:eastAsia="Arial" w:hAnsi="Arial"/>
          <w:sz w:val="18"/>
          <w:szCs w:val="18"/>
          <w:color w:val="auto"/>
        </w:rPr>
      </w:pPr>
    </w:p>
    <w:p>
      <w:pPr>
        <w:ind w:firstLine="645"/>
        <w:spacing w:after="0" w:line="264" w:lineRule="auto"/>
        <w:tabs>
          <w:tab w:leader="none" w:pos="1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1" w:lineRule="exact"/>
        <w:rPr>
          <w:rFonts w:ascii="Arial" w:cs="Arial" w:eastAsia="Arial" w:hAnsi="Arial"/>
          <w:sz w:val="18"/>
          <w:szCs w:val="18"/>
          <w:color w:val="auto"/>
        </w:rPr>
      </w:pPr>
    </w:p>
    <w:p>
      <w:pPr>
        <w:ind w:right="140" w:firstLine="645"/>
        <w:spacing w:after="0" w:line="302"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2" w:name="page13"/>
    <w:bookmarkEnd w:id="12"/>
    <w:p>
      <w:pPr>
        <w:ind w:right="40"/>
        <w:spacing w:after="0" w:line="255" w:lineRule="auto"/>
        <w:rPr>
          <w:sz w:val="20"/>
          <w:szCs w:val="20"/>
          <w:color w:val="auto"/>
        </w:rPr>
      </w:pPr>
      <w:r>
        <w:rPr>
          <w:rFonts w:ascii="Arial" w:cs="Arial" w:eastAsia="Arial" w:hAnsi="Arial"/>
          <w:sz w:val="18"/>
          <w:szCs w:val="18"/>
          <w:color w:val="auto"/>
        </w:rPr>
        <w:t>America. The Company maintains internal accounting controls sufficient to provide reasonable assurance that interactive data in eXtensible Business Reporting Language included or incorporated by reference in each of the Registration Statement, Time of Sale Information and the Prospectus is prepared in accordance with the Commission’s rules and guidelines applicable thereto. Except as disclosed in the Registration Statement, Time of Sale Information and Prospectus, the Company’s internal control over financial reporting and the Company’s internal control over financial reporting was effective as of November 29, 2018 and the Company is not aware of any material weaknesses in its internal control over financial reporting.</w:t>
      </w:r>
    </w:p>
    <w:p>
      <w:pPr>
        <w:spacing w:after="0" w:line="193" w:lineRule="exact"/>
        <w:rPr>
          <w:sz w:val="20"/>
          <w:szCs w:val="20"/>
          <w:color w:val="auto"/>
        </w:rPr>
      </w:pPr>
    </w:p>
    <w:p>
      <w:pPr>
        <w:ind w:right="140" w:firstLine="645"/>
        <w:spacing w:after="0" w:line="302" w:lineRule="auto"/>
        <w:tabs>
          <w:tab w:leader="none" w:pos="13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May 30, 2019.</w:t>
      </w:r>
    </w:p>
    <w:p>
      <w:pPr>
        <w:spacing w:after="0" w:line="154" w:lineRule="exact"/>
        <w:rPr>
          <w:rFonts w:ascii="Arial" w:cs="Arial" w:eastAsia="Arial" w:hAnsi="Arial"/>
          <w:sz w:val="16"/>
          <w:szCs w:val="16"/>
          <w:color w:val="auto"/>
        </w:rPr>
      </w:pPr>
    </w:p>
    <w:p>
      <w:pPr>
        <w:ind w:right="320" w:firstLine="645"/>
        <w:spacing w:after="0" w:line="264"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the interactive data in eXtensible Business Reporting Language included or incorporated by reference in each of the Registration Statement, Time of Sale Information and Prospectus is accurate.</w:t>
      </w:r>
    </w:p>
    <w:p>
      <w:pPr>
        <w:spacing w:after="0" w:line="181" w:lineRule="exact"/>
        <w:rPr>
          <w:rFonts w:ascii="Arial" w:cs="Arial" w:eastAsia="Arial" w:hAnsi="Arial"/>
          <w:sz w:val="18"/>
          <w:szCs w:val="18"/>
          <w:color w:val="auto"/>
        </w:rPr>
      </w:pPr>
    </w:p>
    <w:p>
      <w:pPr>
        <w:ind w:firstLine="645"/>
        <w:spacing w:after="0" w:line="288" w:lineRule="auto"/>
        <w:tabs>
          <w:tab w:leader="none" w:pos="1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(i)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16"/>
          <w:szCs w:val="16"/>
          <w:b w:val="1"/>
          <w:bCs w:val="1"/>
          <w:color w:val="auto"/>
        </w:rPr>
        <w:t>government official</w:t>
      </w:r>
      <w:r>
        <w:rPr>
          <w:rFonts w:ascii="Arial" w:cs="Arial" w:eastAsia="Arial" w:hAnsi="Arial"/>
          <w:sz w:val="16"/>
          <w:szCs w:val="16"/>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 any jurisdiction in which the Company or any of its subsidiaries conducts business; and the Company and its subsidiaries have conducted their businesses in compliance with applicable anti-corruption laws and</w:t>
      </w:r>
    </w:p>
    <w:p>
      <w:pPr>
        <w:spacing w:after="0" w:line="16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have instituted and maintain policies and procedures designed to promote and achieve continued compliance with such laws.</w:t>
      </w:r>
    </w:p>
    <w:p>
      <w:pPr>
        <w:spacing w:after="0" w:line="225" w:lineRule="exact"/>
        <w:rPr>
          <w:sz w:val="20"/>
          <w:szCs w:val="20"/>
          <w:color w:val="auto"/>
        </w:rPr>
      </w:pPr>
    </w:p>
    <w:p>
      <w:pPr>
        <w:ind w:right="20" w:firstLine="645"/>
        <w:spacing w:after="0" w:line="271" w:lineRule="auto"/>
        <w:tabs>
          <w:tab w:leader="none" w:pos="1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8" w:lineRule="exact"/>
        <w:rPr>
          <w:rFonts w:ascii="Arial" w:cs="Arial" w:eastAsia="Arial" w:hAnsi="Arial"/>
          <w:sz w:val="17"/>
          <w:szCs w:val="17"/>
          <w:color w:val="auto"/>
        </w:rPr>
      </w:pPr>
    </w:p>
    <w:p>
      <w:pPr>
        <w:ind w:left="1300" w:hanging="655"/>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nor any director, officer, or employee thereof, is an individual or entity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207" w:lineRule="exact"/>
        <w:rPr>
          <w:sz w:val="20"/>
          <w:szCs w:val="20"/>
          <w:color w:val="auto"/>
        </w:rPr>
      </w:pPr>
    </w:p>
    <w:p>
      <w:pPr>
        <w:ind w:left="640" w:firstLine="1301"/>
        <w:spacing w:after="0" w:line="261" w:lineRule="auto"/>
        <w:tabs>
          <w:tab w:leader="none" w:pos="26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U.S. Department of State (including without limitation, the designation as a “specially designated national” or “blocked person”), the United Nations Security Council, the European Union or Her Majesty’s Treasury or other relevant sanctions authority, nor</w:t>
      </w:r>
    </w:p>
    <w:p>
      <w:pPr>
        <w:spacing w:after="0" w:line="184" w:lineRule="exact"/>
        <w:rPr>
          <w:rFonts w:ascii="Arial" w:cs="Arial" w:eastAsia="Arial" w:hAnsi="Arial"/>
          <w:sz w:val="18"/>
          <w:szCs w:val="18"/>
          <w:color w:val="auto"/>
        </w:rPr>
      </w:pPr>
    </w:p>
    <w:p>
      <w:pPr>
        <w:ind w:left="640" w:right="640" w:firstLine="1301"/>
        <w:spacing w:after="0" w:line="308" w:lineRule="auto"/>
        <w:tabs>
          <w:tab w:leader="none" w:pos="25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Burma/Myanmar, Cuba, Iran, Libya, North Korea, Sudan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40" w:right="460" w:firstLine="653"/>
        <w:spacing w:after="0" w:line="277" w:lineRule="auto"/>
        <w:tabs>
          <w:tab w:leader="none" w:pos="1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640" w:right="40" w:firstLine="1301"/>
        <w:spacing w:after="0" w:line="277" w:lineRule="auto"/>
        <w:tabs>
          <w:tab w:leader="none" w:pos="26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4" w:name="page15"/>
    <w:bookmarkEnd w:id="14"/>
    <w:p>
      <w:pPr>
        <w:ind w:left="644" w:right="20" w:firstLine="1301"/>
        <w:spacing w:after="0" w:line="277" w:lineRule="auto"/>
        <w:tabs>
          <w:tab w:leader="none" w:pos="2599" w:val="left"/>
        </w:tabs>
        <w:numPr>
          <w:ilvl w:val="3"/>
          <w:numId w:val="1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644" w:right="80" w:firstLine="653"/>
        <w:spacing w:after="0" w:line="277" w:lineRule="auto"/>
        <w:tabs>
          <w:tab w:leader="none" w:pos="1981"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Company and its subsidiaries are not now knowingly engaged in any dealings or transactions with any Person, or in any country or territory that is the subject of Sanctions.</w:t>
      </w:r>
    </w:p>
    <w:p>
      <w:pPr>
        <w:spacing w:after="0" w:line="170" w:lineRule="exact"/>
        <w:rPr>
          <w:rFonts w:ascii="Arial" w:cs="Arial" w:eastAsia="Arial" w:hAnsi="Arial"/>
          <w:sz w:val="18"/>
          <w:szCs w:val="18"/>
          <w:color w:val="auto"/>
        </w:rPr>
      </w:pPr>
    </w:p>
    <w:p>
      <w:pPr>
        <w:ind w:left="4" w:right="80" w:firstLine="645"/>
        <w:spacing w:after="0" w:line="264" w:lineRule="auto"/>
        <w:tabs>
          <w:tab w:leader="none" w:pos="13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each of the Registration Statement, Time of Sale Information and Prospectus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4" w:right="20" w:firstLine="645"/>
        <w:spacing w:after="0" w:line="277" w:lineRule="auto"/>
        <w:tabs>
          <w:tab w:leader="none" w:pos="13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has not taken, directly or indirectly, without giving effect to activities by any Underwriter, any action designed to or that could reasonably be 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left="4" w:right="40" w:firstLine="645"/>
        <w:spacing w:after="0" w:line="297" w:lineRule="auto"/>
        <w:tabs>
          <w:tab w:leader="none" w:pos="13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At the time of filing the Registration Statement and any post-effective amendments thereto, at the earliest 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Securities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fees within the time period required by such rule (without giving effect to the proviso therein) and in any event prior to the Closing Date.</w:t>
      </w:r>
    </w:p>
    <w:p>
      <w:pPr>
        <w:spacing w:after="0" w:line="158" w:lineRule="exact"/>
        <w:rPr>
          <w:rFonts w:ascii="Arial" w:cs="Arial" w:eastAsia="Arial" w:hAnsi="Arial"/>
          <w:sz w:val="16"/>
          <w:szCs w:val="16"/>
          <w:color w:val="auto"/>
        </w:rPr>
      </w:pPr>
    </w:p>
    <w:p>
      <w:pPr>
        <w:ind w:left="-656" w:firstLine="656"/>
        <w:spacing w:after="0" w:line="273"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The Company hereby agrees to issue and sell to the several Underwriters, and each Underwriter,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basis of the representations and warranties herein contained, but subject to the conditions hereinafter stated, agrees, severally and not jointly, to purchase from the Company the respective principal amounts of 2027 Notes and 2030 Notes, as applicable, set forth in Schedule I hereto opposite its name at a purchase price of (a) in the case of the 2027 Notes, 99.595% of the principal amount thereof (the “</w:t>
      </w:r>
      <w:r>
        <w:rPr>
          <w:rFonts w:ascii="Arial" w:cs="Arial" w:eastAsia="Arial" w:hAnsi="Arial"/>
          <w:sz w:val="17"/>
          <w:szCs w:val="17"/>
          <w:b w:val="1"/>
          <w:bCs w:val="1"/>
          <w:color w:val="auto"/>
        </w:rPr>
        <w:t>2027 Purchase Price</w:t>
      </w:r>
      <w:r>
        <w:rPr>
          <w:rFonts w:ascii="Arial" w:cs="Arial" w:eastAsia="Arial" w:hAnsi="Arial"/>
          <w:sz w:val="17"/>
          <w:szCs w:val="17"/>
          <w:color w:val="auto"/>
        </w:rPr>
        <w:t>”) and (b) in the case of the 2030 Notes, 99.544% of the principal amount thereof (the “</w:t>
      </w:r>
      <w:r>
        <w:rPr>
          <w:rFonts w:ascii="Arial" w:cs="Arial" w:eastAsia="Arial" w:hAnsi="Arial"/>
          <w:sz w:val="17"/>
          <w:szCs w:val="17"/>
          <w:b w:val="1"/>
          <w:bCs w:val="1"/>
          <w:color w:val="auto"/>
        </w:rPr>
        <w:t>2030 Purchase Price</w:t>
      </w:r>
      <w:r>
        <w:rPr>
          <w:rFonts w:ascii="Arial" w:cs="Arial" w:eastAsia="Arial" w:hAnsi="Arial"/>
          <w:sz w:val="17"/>
          <w:szCs w:val="17"/>
          <w:color w:val="auto"/>
        </w:rPr>
        <w:t>” and, each of the 2027 Purchase Price and the 2030 Purchase Price, as applicable, the “</w:t>
      </w:r>
      <w:r>
        <w:rPr>
          <w:rFonts w:ascii="Arial" w:cs="Arial" w:eastAsia="Arial" w:hAnsi="Arial"/>
          <w:sz w:val="17"/>
          <w:szCs w:val="17"/>
          <w:b w:val="1"/>
          <w:bCs w:val="1"/>
          <w:color w:val="auto"/>
        </w:rPr>
        <w:t>Purchase Price</w:t>
      </w:r>
      <w:r>
        <w:rPr>
          <w:rFonts w:ascii="Arial" w:cs="Arial" w:eastAsia="Arial" w:hAnsi="Arial"/>
          <w:sz w:val="17"/>
          <w:szCs w:val="17"/>
          <w:color w:val="auto"/>
        </w:rPr>
        <w:t>”), plus accrued interest, if any, from July 12, 2019 to the Closing Date.</w:t>
      </w:r>
    </w:p>
    <w:p>
      <w:pPr>
        <w:spacing w:after="0" w:line="178" w:lineRule="exact"/>
        <w:rPr>
          <w:rFonts w:ascii="Arial" w:cs="Arial" w:eastAsia="Arial" w:hAnsi="Arial"/>
          <w:sz w:val="17"/>
          <w:szCs w:val="17"/>
          <w:color w:val="auto"/>
        </w:rPr>
      </w:pPr>
    </w:p>
    <w:p>
      <w:pPr>
        <w:ind w:left="4964" w:right="20" w:hanging="4964"/>
        <w:spacing w:after="0" w:line="528"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Terms of Offering</w:t>
      </w:r>
      <w:r>
        <w:rPr>
          <w:rFonts w:ascii="Arial" w:cs="Arial" w:eastAsia="Arial" w:hAnsi="Arial"/>
          <w:sz w:val="18"/>
          <w:szCs w:val="18"/>
          <w:color w:val="auto"/>
        </w:rPr>
        <w:t>. You have advised the Company that the Underwriters intend to make a public offering of the Securities as soon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-90170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15" w:name="page16"/>
    <w:bookmarkEnd w:id="15"/>
    <w:p>
      <w:pPr>
        <w:ind w:right="200"/>
        <w:spacing w:after="0" w:line="312" w:lineRule="auto"/>
        <w:rPr>
          <w:sz w:val="20"/>
          <w:szCs w:val="20"/>
          <w:color w:val="auto"/>
        </w:rPr>
      </w:pPr>
      <w:r>
        <w:rPr>
          <w:rFonts w:ascii="Arial" w:cs="Arial" w:eastAsia="Arial" w:hAnsi="Arial"/>
          <w:sz w:val="16"/>
          <w:szCs w:val="16"/>
          <w:color w:val="auto"/>
        </w:rPr>
        <w:t>Registration Statement and this Agreement have become effective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47" w:lineRule="exact"/>
        <w:rPr>
          <w:sz w:val="20"/>
          <w:szCs w:val="20"/>
          <w:color w:val="auto"/>
        </w:rPr>
      </w:pPr>
    </w:p>
    <w:p>
      <w:pPr>
        <w:ind w:right="60" w:firstLine="656"/>
        <w:spacing w:after="0" w:line="257"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July 12, 2019,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Underwriters, with any transfer taxes payable in connection with the transfer of the Securities to the Underwriters duly paid, against payment of the Purchase Price therefor.</w:t>
      </w:r>
    </w:p>
    <w:p>
      <w:pPr>
        <w:spacing w:after="0" w:line="187" w:lineRule="exact"/>
        <w:rPr>
          <w:sz w:val="20"/>
          <w:szCs w:val="20"/>
          <w:color w:val="auto"/>
        </w:rPr>
      </w:pPr>
    </w:p>
    <w:p>
      <w:pPr>
        <w:ind w:right="400" w:firstLine="656"/>
        <w:spacing w:after="0" w:line="342"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several obligations of the Underwriters to purchase and pay for the Securities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is subject to the performance by the Company of its covenants and other obligations hereunder and to the following additional conditions:</w:t>
      </w:r>
    </w:p>
    <w:p>
      <w:pPr>
        <w:spacing w:after="0" w:line="123" w:lineRule="exact"/>
        <w:rPr>
          <w:rFonts w:ascii="Arial" w:cs="Arial" w:eastAsia="Arial" w:hAnsi="Arial"/>
          <w:sz w:val="16"/>
          <w:szCs w:val="16"/>
          <w:color w:val="auto"/>
        </w:rPr>
      </w:pPr>
    </w:p>
    <w:p>
      <w:pPr>
        <w:ind w:left="660" w:right="360" w:firstLine="645"/>
        <w:spacing w:after="0" w:line="297" w:lineRule="auto"/>
        <w:tabs>
          <w:tab w:leader="none" w:pos="19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58" w:lineRule="exact"/>
        <w:rPr>
          <w:rFonts w:ascii="Arial" w:cs="Arial" w:eastAsia="Arial" w:hAnsi="Arial"/>
          <w:sz w:val="16"/>
          <w:szCs w:val="16"/>
          <w:color w:val="auto"/>
        </w:rPr>
      </w:pPr>
    </w:p>
    <w:p>
      <w:pPr>
        <w:ind w:left="660" w:right="180" w:firstLine="645"/>
        <w:spacing w:after="0" w:line="259" w:lineRule="auto"/>
        <w:tabs>
          <w:tab w:leader="none" w:pos="1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herein (x) if qualified as to materiality or Material Adverse Effect, shall be true and correct and (y) in all other cases are true and correct in all material respects on the date hereof and on and as of the Closing Date; and the statements of the Company and its officers made in any certificates delivered pursuant to this Agreement shall be true and correct in all material respects (other than representations and warranties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qualified by materiality, in which case such representations shall be true and correct in all respects) on and as of the Closing Date.</w:t>
      </w:r>
    </w:p>
    <w:p>
      <w:pPr>
        <w:spacing w:after="0" w:line="225" w:lineRule="exact"/>
        <w:rPr>
          <w:sz w:val="20"/>
          <w:szCs w:val="20"/>
          <w:color w:val="auto"/>
        </w:rPr>
      </w:pPr>
    </w:p>
    <w:p>
      <w:pPr>
        <w:ind w:left="1300" w:hanging="65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800" w:right="40" w:firstLine="655"/>
        <w:spacing w:after="0" w:line="288" w:lineRule="auto"/>
        <w:tabs>
          <w:tab w:leader="none" w:pos="1956"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w:t>
      </w:r>
    </w:p>
    <w:p>
      <w:pPr>
        <w:ind w:left="800"/>
        <w:spacing w:after="0"/>
        <w:rPr>
          <w:rFonts w:ascii="Arial" w:cs="Arial" w:eastAsia="Arial" w:hAnsi="Arial"/>
          <w:sz w:val="16"/>
          <w:szCs w:val="16"/>
          <w:color w:val="auto"/>
        </w:rPr>
      </w:pPr>
      <w:r>
        <w:rPr>
          <w:rFonts w:ascii="Arial" w:cs="Arial" w:eastAsia="Arial" w:hAnsi="Arial"/>
          <w:sz w:val="18"/>
          <w:szCs w:val="18"/>
          <w:color w:val="auto"/>
        </w:rPr>
        <w:t>Section 3(a)(62) of the Exchange Act; and</w:t>
      </w:r>
    </w:p>
    <w:p>
      <w:pPr>
        <w:spacing w:after="0" w:line="210" w:lineRule="exact"/>
        <w:rPr>
          <w:rFonts w:ascii="Arial" w:cs="Arial" w:eastAsia="Arial" w:hAnsi="Arial"/>
          <w:sz w:val="16"/>
          <w:szCs w:val="16"/>
          <w:color w:val="auto"/>
        </w:rPr>
      </w:pPr>
    </w:p>
    <w:p>
      <w:pPr>
        <w:ind w:left="800" w:right="120" w:firstLine="655"/>
        <w:spacing w:after="0" w:line="297" w:lineRule="auto"/>
        <w:tabs>
          <w:tab w:leader="none" w:pos="196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Information (excluding any amendment or supplement thereto) and the Prospectus (excluding any amendment or supplement thereto) that, in your judgment, is material and adverse and that makes it, in your judgment, impracticable to market the Securities on the terms and in the manner contemplated in this Agreement, the Time of Sale Information and the Prospectus.</w:t>
      </w:r>
    </w:p>
    <w:p>
      <w:pPr>
        <w:spacing w:after="0" w:line="158" w:lineRule="exact"/>
        <w:rPr>
          <w:rFonts w:ascii="Arial" w:cs="Arial" w:eastAsia="Arial" w:hAnsi="Arial"/>
          <w:sz w:val="16"/>
          <w:szCs w:val="16"/>
          <w:color w:val="auto"/>
        </w:rPr>
      </w:pPr>
    </w:p>
    <w:p>
      <w:pPr>
        <w:ind w:firstLine="645"/>
        <w:spacing w:after="0" w:line="253"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the chief executive officer or the chief financial officer of the Company, to the effect set forth in Section 5(c)(i)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Registration Statement and Time of Sale Information, there has been no material adverse change in the financial condition, earnings, business or properties of the Company and its subsidiaries, taken as a whole, except as set forth or contemplated in the Registration Statement and Time of Sale Information.</w:t>
      </w:r>
    </w:p>
    <w:p>
      <w:pPr>
        <w:spacing w:after="0" w:line="1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7" w:name="page18"/>
    <w:bookmarkEnd w:id="17"/>
    <w:p>
      <w:pPr>
        <w:ind w:left="4" w:right="320" w:firstLine="645"/>
        <w:spacing w:after="0" w:line="264" w:lineRule="auto"/>
        <w:tabs>
          <w:tab w:leader="none" w:pos="13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Wilson Sonsini Goodrich &amp; Rosati, Professional Corporation, outside counsel for the Company, dated the Closing Date, to the effect set forth in Exhibit A. Such opinion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left="4" w:right="200" w:firstLine="645"/>
        <w:spacing w:after="0" w:line="277" w:lineRule="auto"/>
        <w:tabs>
          <w:tab w:leader="none" w:pos="13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Joel L. Poppen, the Company’s General Counsel, dated the Closing Date, to the effect set forth in Exhibit B.</w:t>
      </w:r>
    </w:p>
    <w:p>
      <w:pPr>
        <w:spacing w:after="0" w:line="170" w:lineRule="exact"/>
        <w:rPr>
          <w:rFonts w:ascii="Arial" w:cs="Arial" w:eastAsia="Arial" w:hAnsi="Arial"/>
          <w:sz w:val="18"/>
          <w:szCs w:val="18"/>
          <w:color w:val="auto"/>
        </w:rPr>
      </w:pPr>
    </w:p>
    <w:p>
      <w:pPr>
        <w:ind w:left="4" w:right="620" w:firstLine="645"/>
        <w:spacing w:after="0" w:line="277" w:lineRule="auto"/>
        <w:tabs>
          <w:tab w:leader="none" w:pos="13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Simpson Thacher &amp; Bartlett LLP, counsel for the Underwriters, dated the Closing Date, in form and substance reasonably satisfactory to the Underwriters.</w:t>
      </w:r>
    </w:p>
    <w:p>
      <w:pPr>
        <w:spacing w:after="0" w:line="170" w:lineRule="exact"/>
        <w:rPr>
          <w:rFonts w:ascii="Arial" w:cs="Arial" w:eastAsia="Arial" w:hAnsi="Arial"/>
          <w:sz w:val="18"/>
          <w:szCs w:val="18"/>
          <w:color w:val="auto"/>
        </w:rPr>
      </w:pPr>
    </w:p>
    <w:p>
      <w:pPr>
        <w:ind w:left="4" w:right="40" w:firstLine="645"/>
        <w:spacing w:after="0" w:line="297" w:lineRule="auto"/>
        <w:tabs>
          <w:tab w:leader="none" w:pos="13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w:t>
      </w:r>
      <w:r>
        <w:rPr>
          <w:rFonts w:ascii="Arial" w:cs="Arial" w:eastAsia="Arial" w:hAnsi="Arial"/>
          <w:sz w:val="16"/>
          <w:szCs w:val="16"/>
          <w:b w:val="1"/>
          <w:bCs w:val="1"/>
          <w:color w:val="auto"/>
        </w:rPr>
        <w:t>comfort letters</w:t>
      </w:r>
      <w:r>
        <w:rPr>
          <w:rFonts w:ascii="Arial" w:cs="Arial" w:eastAsia="Arial" w:hAnsi="Arial"/>
          <w:sz w:val="16"/>
          <w:szCs w:val="16"/>
          <w:color w:val="auto"/>
        </w:rPr>
        <w:t>” to underwriters with respect to the financial statements and certain financial information contained in or incorporated by reference into the Registration Statement, Time of Sale Information and Prospectus; provided that the letter delivered on the Closing Date shall use a “cut-off date” not earlier than July 10, 2019.</w:t>
      </w:r>
    </w:p>
    <w:p>
      <w:pPr>
        <w:spacing w:after="0" w:line="158" w:lineRule="exact"/>
        <w:rPr>
          <w:rFonts w:ascii="Arial" w:cs="Arial" w:eastAsia="Arial" w:hAnsi="Arial"/>
          <w:sz w:val="16"/>
          <w:szCs w:val="16"/>
          <w:color w:val="auto"/>
        </w:rPr>
      </w:pPr>
    </w:p>
    <w:p>
      <w:pPr>
        <w:ind w:left="4" w:right="200" w:firstLine="645"/>
        <w:spacing w:after="0" w:line="302" w:lineRule="auto"/>
        <w:tabs>
          <w:tab w:leader="none" w:pos="13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rFonts w:ascii="Arial" w:cs="Arial" w:eastAsia="Arial" w:hAnsi="Arial"/>
          <w:sz w:val="18"/>
          <w:szCs w:val="18"/>
          <w:color w:val="auto"/>
        </w:rPr>
      </w:pPr>
    </w:p>
    <w:p>
      <w:pPr>
        <w:ind w:left="4" w:firstLine="645"/>
        <w:spacing w:after="0" w:line="257" w:lineRule="auto"/>
        <w:tabs>
          <w:tab w:leader="none" w:pos="12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Securities Act, will file any Issuer Free Writing Prospectus (including the term sheet substantially in the form of Annex A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41" w:right="299" w:bottom="1440" w:gutter="0" w:footer="0" w:header="0"/>
        </w:sectPr>
      </w:pPr>
    </w:p>
    <w:bookmarkStart w:id="18" w:name="page19"/>
    <w:bookmarkEnd w:id="18"/>
    <w:p>
      <w:pPr>
        <w:ind w:right="100"/>
        <w:spacing w:after="0" w:line="297" w:lineRule="auto"/>
        <w:rPr>
          <w:sz w:val="20"/>
          <w:szCs w:val="20"/>
          <w:color w:val="auto"/>
        </w:rPr>
      </w:pPr>
      <w:r>
        <w:rPr>
          <w:rFonts w:ascii="Arial" w:cs="Arial" w:eastAsia="Arial" w:hAnsi="Arial"/>
          <w:sz w:val="16"/>
          <w:szCs w:val="16"/>
          <w:color w:val="auto"/>
        </w:rPr>
        <w:t>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or as soon as reasonably practicable thereafter, in such quantities as the Representatives may reasonably request. The Company will pay the registration fees for this offering within the time period required by Rule 456(b)(1) under the Securities Act (without giving effect to the proviso therein) and in any event prior to the Closing Date.</w:t>
      </w:r>
    </w:p>
    <w:p>
      <w:pPr>
        <w:spacing w:after="0" w:line="158" w:lineRule="exact"/>
        <w:rPr>
          <w:sz w:val="20"/>
          <w:szCs w:val="20"/>
          <w:color w:val="auto"/>
        </w:rPr>
      </w:pPr>
    </w:p>
    <w:p>
      <w:pPr>
        <w:ind w:right="100" w:firstLine="645"/>
        <w:spacing w:after="0" w:line="254" w:lineRule="auto"/>
        <w:tabs>
          <w:tab w:leader="none" w:pos="1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deliver, without charge, (i) to the Representatives, a signed copy of the Registration Statement (including exhibits thereto and documents incorporated by reference);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92" w:lineRule="exact"/>
        <w:rPr>
          <w:rFonts w:ascii="Arial" w:cs="Arial" w:eastAsia="Arial" w:hAnsi="Arial"/>
          <w:sz w:val="18"/>
          <w:szCs w:val="18"/>
          <w:color w:val="auto"/>
        </w:rPr>
      </w:pPr>
    </w:p>
    <w:p>
      <w:pPr>
        <w:ind w:firstLine="645"/>
        <w:spacing w:after="0" w:line="255"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 except as may be required by applicable law.</w:t>
      </w:r>
    </w:p>
    <w:p>
      <w:pPr>
        <w:spacing w:after="0" w:line="193" w:lineRule="exact"/>
        <w:rPr>
          <w:rFonts w:ascii="Arial" w:cs="Arial" w:eastAsia="Arial" w:hAnsi="Arial"/>
          <w:sz w:val="18"/>
          <w:szCs w:val="18"/>
          <w:color w:val="auto"/>
        </w:rPr>
      </w:pPr>
    </w:p>
    <w:p>
      <w:pPr>
        <w:ind w:right="640" w:firstLine="645"/>
        <w:spacing w:after="0" w:line="264" w:lineRule="auto"/>
        <w:tabs>
          <w:tab w:leader="none" w:pos="1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not take any action that would result in an Underwriter or the Company being required to file with the Commission pursuant to Rule 433(d) under the Securities Act a free writing prospectus prepared by or on behalf of the Underwriters that the Underwriters otherwise would not have been required to file thereunder.</w:t>
      </w:r>
    </w:p>
    <w:p>
      <w:pPr>
        <w:spacing w:after="0" w:line="181" w:lineRule="exact"/>
        <w:rPr>
          <w:rFonts w:ascii="Arial" w:cs="Arial" w:eastAsia="Arial" w:hAnsi="Arial"/>
          <w:sz w:val="18"/>
          <w:szCs w:val="18"/>
          <w:color w:val="auto"/>
        </w:rPr>
      </w:pPr>
    </w:p>
    <w:p>
      <w:pPr>
        <w:ind w:left="4960" w:right="80" w:hanging="4315"/>
        <w:spacing w:after="0" w:line="52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completion of the distribution of the Securities by the Underwriters contemplated hereby, the Company will advise the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9" w:name="page20"/>
    <w:bookmarkEnd w:id="19"/>
    <w:p>
      <w:pPr>
        <w:ind w:left="4" w:right="40"/>
        <w:spacing w:after="0" w:line="284" w:lineRule="auto"/>
        <w:rPr>
          <w:sz w:val="20"/>
          <w:szCs w:val="20"/>
          <w:color w:val="auto"/>
        </w:rPr>
      </w:pPr>
      <w:r>
        <w:rPr>
          <w:rFonts w:ascii="Arial" w:cs="Arial" w:eastAsia="Arial" w:hAnsi="Arial"/>
          <w:sz w:val="16"/>
          <w:szCs w:val="16"/>
          <w:color w:val="auto"/>
        </w:rPr>
        <w:t>Representatives promptly, and confirm such advice in writing, (i) when the Registration Statement has become effective, (ii) when any amendment to the Registration Statement has been filed or becomes effective; (iii) when any supplement to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Time of Sale Information or the Prospectus or the initiation or threatening of any proceeding for that purpose or pursuant to Section 8A of the Securities Act;</w:t>
      </w:r>
    </w:p>
    <w:p>
      <w:pPr>
        <w:spacing w:after="0" w:line="3" w:lineRule="exact"/>
        <w:rPr>
          <w:sz w:val="20"/>
          <w:szCs w:val="20"/>
          <w:color w:val="auto"/>
        </w:rPr>
      </w:pPr>
    </w:p>
    <w:p>
      <w:pPr>
        <w:ind w:left="4" w:hanging="4"/>
        <w:spacing w:after="0" w:line="281" w:lineRule="auto"/>
        <w:tabs>
          <w:tab w:leader="none" w:pos="30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the occurrence of any event or development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the receipt by the Company of any notice of objection of the Commission to the use of the Registration Statement or any post-effective amendment thereto pursuant to Rule 401(g)</w:t>
      </w:r>
    </w:p>
    <w:p>
      <w:pPr>
        <w:spacing w:after="0" w:line="3" w:lineRule="exact"/>
        <w:rPr>
          <w:rFonts w:ascii="Arial" w:cs="Arial" w:eastAsia="Arial" w:hAnsi="Arial"/>
          <w:sz w:val="16"/>
          <w:szCs w:val="16"/>
          <w:color w:val="auto"/>
        </w:rPr>
      </w:pPr>
    </w:p>
    <w:p>
      <w:pPr>
        <w:ind w:left="4"/>
        <w:spacing w:after="0" w:line="292" w:lineRule="auto"/>
        <w:rPr>
          <w:rFonts w:ascii="Arial" w:cs="Arial" w:eastAsia="Arial" w:hAnsi="Arial"/>
          <w:sz w:val="16"/>
          <w:szCs w:val="16"/>
          <w:color w:val="auto"/>
        </w:rPr>
      </w:pPr>
      <w:r>
        <w:rPr>
          <w:rFonts w:ascii="Arial" w:cs="Arial" w:eastAsia="Arial" w:hAnsi="Arial"/>
          <w:sz w:val="16"/>
          <w:szCs w:val="16"/>
          <w:color w:val="auto"/>
        </w:rPr>
        <w:t>(2) under the Securities Act; and (viii) of the receipt by the Company of any notice with respect to any suspension of the qualification of the Securities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or the Prospectus or suspending any such qualification of the Securities and, if any such order is issued, will obtain as soon as possible the withdrawal thereof.</w:t>
      </w:r>
    </w:p>
    <w:p>
      <w:pPr>
        <w:spacing w:after="0" w:line="162" w:lineRule="exact"/>
        <w:rPr>
          <w:rFonts w:ascii="Arial" w:cs="Arial" w:eastAsia="Arial" w:hAnsi="Arial"/>
          <w:sz w:val="16"/>
          <w:szCs w:val="16"/>
          <w:color w:val="auto"/>
        </w:rPr>
      </w:pPr>
    </w:p>
    <w:p>
      <w:pPr>
        <w:ind w:left="4" w:right="180" w:firstLine="645"/>
        <w:spacing w:after="0" w:line="288" w:lineRule="auto"/>
        <w:tabs>
          <w:tab w:leader="none" w:pos="13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w:t>
      </w:r>
    </w:p>
    <w:p>
      <w:pPr>
        <w:ind w:left="4" w:right="20" w:hanging="4"/>
        <w:spacing w:after="0" w:line="255"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20" w:name="page21"/>
    <w:bookmarkEnd w:id="20"/>
    <w:p>
      <w:pPr>
        <w:ind w:right="60"/>
        <w:spacing w:after="0" w:line="287" w:lineRule="auto"/>
        <w:rPr>
          <w:sz w:val="20"/>
          <w:szCs w:val="20"/>
          <w:color w:val="auto"/>
        </w:rPr>
      </w:pPr>
      <w:r>
        <w:rPr>
          <w:rFonts w:ascii="Arial" w:cs="Arial" w:eastAsia="Arial" w:hAnsi="Arial"/>
          <w:sz w:val="16"/>
          <w:szCs w:val="16"/>
          <w:color w:val="auto"/>
        </w:rPr>
        <w:t>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existing when the Time of Sale Information is delivered to a purchaser, not misleading or (ii) it is necessary to amend or supplement the Time of Sale Information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the Time of Sale Information as so amended or supplemented will not, in the light of the circumstances, be misleading or so that the Time of Sale Information will comply with applicable law.</w:t>
      </w:r>
    </w:p>
    <w:p>
      <w:pPr>
        <w:spacing w:after="0" w:line="169" w:lineRule="exact"/>
        <w:rPr>
          <w:sz w:val="20"/>
          <w:szCs w:val="20"/>
          <w:color w:val="auto"/>
        </w:rPr>
      </w:pPr>
    </w:p>
    <w:p>
      <w:pPr>
        <w:ind w:firstLine="645"/>
        <w:spacing w:after="0" w:line="279" w:lineRule="auto"/>
        <w:tabs>
          <w:tab w:leader="none" w:pos="131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will endeavor to qualify the Securities for offer and sale under the securities or Blue Sky laws of such jurisdictions within the United States and Canada as the Underwriters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71" w:lineRule="exact"/>
        <w:rPr>
          <w:rFonts w:ascii="Arial" w:cs="Arial" w:eastAsia="Arial" w:hAnsi="Arial"/>
          <w:sz w:val="17"/>
          <w:szCs w:val="17"/>
          <w:color w:val="auto"/>
        </w:rPr>
      </w:pPr>
    </w:p>
    <w:p>
      <w:pPr>
        <w:ind w:right="260" w:firstLine="645"/>
        <w:spacing w:after="0" w:line="276" w:lineRule="auto"/>
        <w:tabs>
          <w:tab w:leader="none" w:pos="13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will make generally available to its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Rule 158 of the Commission promulgated thereunder; provided that the Company will be deemed to have furnished such statements to its security holders and the Representatives to the extent they are filed on the Commission’s Electronic Data Gather, Analysis and Retrieval System.</w:t>
      </w:r>
    </w:p>
    <w:p>
      <w:pPr>
        <w:spacing w:after="0" w:line="172" w:lineRule="exact"/>
        <w:rPr>
          <w:rFonts w:ascii="Arial" w:cs="Arial" w:eastAsia="Arial" w:hAnsi="Arial"/>
          <w:sz w:val="17"/>
          <w:szCs w:val="17"/>
          <w:color w:val="auto"/>
        </w:rPr>
      </w:pPr>
    </w:p>
    <w:p>
      <w:pPr>
        <w:ind w:left="1320" w:hanging="675"/>
        <w:spacing w:after="0"/>
        <w:tabs>
          <w:tab w:leader="none" w:pos="1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the</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21" w:name="page22"/>
    <w:bookmarkEnd w:id="21"/>
    <w:p>
      <w:pPr>
        <w:spacing w:after="0" w:line="267" w:lineRule="auto"/>
        <w:rPr>
          <w:sz w:val="20"/>
          <w:szCs w:val="20"/>
          <w:color w:val="auto"/>
        </w:rPr>
      </w:pPr>
      <w:r>
        <w:rPr>
          <w:rFonts w:ascii="Arial" w:cs="Arial" w:eastAsia="Arial" w:hAnsi="Arial"/>
          <w:sz w:val="17"/>
          <w:szCs w:val="17"/>
          <w:color w:val="auto"/>
        </w:rPr>
        <w:t>Company will pay or cause to be paid all expenses incident to the performance of its obligations under this Agreement, including: (i) the fees, disbursements and expenses of the Company’s counsel and the Company’s accountants in connection with the registration and sale of the Securities under the Securities Act and all other fees or expenses in connection with the preparation and filing under the Securities Act of the Registration Statement, the Preliminary Prospectus, any Issuer Free Writing Prospectus, any Time of Sale Information and the Prospectus prepared by or on behalf of, used by, or referred to by the Company and any exhibits, amendments and supplements to any of the foregoing, including all filing fees payable to the Commission relating to the Securities (within the time required by Rule 456(b)(1), if applicable), all printing costs associated therewith, and the mailing and delivering of copies thereof to the Underwriters, in the quantities herein above specified, (ii) all costs and expenses related to the transfer and delivery of the Securities to the Underwriters,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Underwriters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 Section 8, and the last paragraph of Section 9, the Underwriters will pay all of their costs and expenses, including fees and disbursements of their counsel, transfer taxes payable</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on resale of any of the Securities by them and any advertising expenses connected with any offers they may make.</w:t>
      </w:r>
    </w:p>
    <w:p>
      <w:pPr>
        <w:spacing w:after="0" w:line="225" w:lineRule="exact"/>
        <w:rPr>
          <w:sz w:val="20"/>
          <w:szCs w:val="20"/>
          <w:color w:val="auto"/>
        </w:rPr>
      </w:pPr>
    </w:p>
    <w:p>
      <w:pPr>
        <w:ind w:left="640" w:right="360" w:firstLine="645"/>
        <w:spacing w:after="0" w:line="342" w:lineRule="auto"/>
        <w:tabs>
          <w:tab w:leader="none" w:pos="19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will use the net proceeds received by it from the sale of the Securities pursuant to this Agreement in the manner specified in each of the Registration Statement, the Time of Sale Information and the Prospectus under the caption “Use of Proceeds.”</w:t>
      </w:r>
    </w:p>
    <w:p>
      <w:pPr>
        <w:spacing w:after="0" w:line="123" w:lineRule="exact"/>
        <w:rPr>
          <w:rFonts w:ascii="Arial" w:cs="Arial" w:eastAsia="Arial" w:hAnsi="Arial"/>
          <w:sz w:val="16"/>
          <w:szCs w:val="16"/>
          <w:color w:val="auto"/>
        </w:rPr>
      </w:pPr>
    </w:p>
    <w:p>
      <w:pPr>
        <w:ind w:left="640" w:firstLine="645"/>
        <w:spacing w:after="0" w:line="286" w:lineRule="auto"/>
        <w:tabs>
          <w:tab w:leader="none" w:pos="1944"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 shall not, without giving effect to the activities by the Underwriters, take any action designed to or that could reasonably be expected to cause or result in any prohibited stabilization or any manipulation of the price of the Securities and will not take any action prohibited by Regulation M under the Exchange Act in connection with the distribution of the Securities contemplated hereby.</w:t>
      </w:r>
    </w:p>
    <w:p>
      <w:pPr>
        <w:spacing w:after="0" w:line="165" w:lineRule="exact"/>
        <w:rPr>
          <w:rFonts w:ascii="Arial" w:cs="Arial" w:eastAsia="Arial" w:hAnsi="Arial"/>
          <w:sz w:val="17"/>
          <w:szCs w:val="17"/>
          <w:color w:val="auto"/>
        </w:rPr>
      </w:pPr>
    </w:p>
    <w:p>
      <w:pPr>
        <w:ind w:left="640" w:right="800" w:firstLine="645"/>
        <w:spacing w:after="0" w:line="277" w:lineRule="auto"/>
        <w:tabs>
          <w:tab w:leader="none" w:pos="19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Securities Act.</w:t>
      </w:r>
    </w:p>
    <w:p>
      <w:pPr>
        <w:spacing w:after="0" w:line="170" w:lineRule="exact"/>
        <w:rPr>
          <w:rFonts w:ascii="Arial" w:cs="Arial" w:eastAsia="Arial" w:hAnsi="Arial"/>
          <w:sz w:val="18"/>
          <w:szCs w:val="18"/>
          <w:color w:val="auto"/>
        </w:rPr>
      </w:pPr>
    </w:p>
    <w:p>
      <w:pPr>
        <w:jc w:val="both"/>
        <w:ind w:left="640" w:right="140" w:firstLine="645"/>
        <w:spacing w:after="0" w:line="286" w:lineRule="auto"/>
        <w:tabs>
          <w:tab w:leader="none" w:pos="1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 agrees that, without the prior written consent of the Representatives, it will not, during the period beginning on the date hereof and continuing to and including the Closing Date, offer, sell, contract to sell or otherwise dispose of any debt securities of the Company or warrants to purchase debt securities of the Company (other than the sale of the Securities under this Agreement).</w:t>
      </w:r>
    </w:p>
    <w:p>
      <w:pPr>
        <w:spacing w:after="0" w:line="165" w:lineRule="exact"/>
        <w:rPr>
          <w:rFonts w:ascii="Arial" w:cs="Arial" w:eastAsia="Arial" w:hAnsi="Arial"/>
          <w:sz w:val="17"/>
          <w:szCs w:val="17"/>
          <w:color w:val="auto"/>
        </w:rPr>
      </w:pPr>
    </w:p>
    <w:p>
      <w:pPr>
        <w:ind w:left="640" w:right="300" w:firstLine="645"/>
        <w:spacing w:after="0" w:line="277" w:lineRule="auto"/>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make the Securities eligible for clearance and settlement through The Depository Trust Company.</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sz w:val="20"/>
          <w:szCs w:val="20"/>
          <w:color w:val="auto"/>
        </w:rPr>
      </w:pPr>
    </w:p>
    <w:p>
      <w:pPr>
        <w:ind w:left="-20" w:right="20" w:firstLine="656"/>
        <w:spacing w:after="0" w:line="255" w:lineRule="auto"/>
        <w:tabs>
          <w:tab w:leader="none" w:pos="12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Schedule II or prepared pursuant to Section 1(c) or Section 6(c) above (including any electronic road show), or (iii) any free writing prospectus prepared by such underwriter and approved by the Company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advance in writing (each such free writing prospectus referred to in clauses (i) or (iii), an “</w:t>
      </w:r>
      <w:r>
        <w:rPr>
          <w:rFonts w:ascii="Arial" w:cs="Arial" w:eastAsia="Arial" w:hAnsi="Arial"/>
          <w:sz w:val="18"/>
          <w:szCs w:val="18"/>
          <w:b w:val="1"/>
          <w:bCs w:val="1"/>
          <w:color w:val="auto"/>
        </w:rPr>
        <w:t>Underwriter Free Writing Prospectus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5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Underwriters may use a term sheet substantially in the form of that referred to in Schedule II hereto without the consent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188" w:lineRule="exact"/>
        <w:rPr>
          <w:rFonts w:ascii="Arial" w:cs="Arial" w:eastAsia="Arial" w:hAnsi="Arial"/>
          <w:sz w:val="18"/>
          <w:szCs w:val="18"/>
          <w:color w:val="auto"/>
        </w:rPr>
      </w:pPr>
    </w:p>
    <w:p>
      <w:pPr>
        <w:ind w:right="60" w:firstLine="656"/>
        <w:spacing w:after="0" w:line="277" w:lineRule="auto"/>
        <w:tabs>
          <w:tab w:leader="none" w:pos="13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sz w:val="20"/>
          <w:szCs w:val="20"/>
          <w:color w:val="auto"/>
        </w:rPr>
      </w:pPr>
    </w:p>
    <w:p>
      <w:pPr>
        <w:ind w:right="40" w:firstLine="656"/>
        <w:spacing w:after="0" w:line="286" w:lineRule="auto"/>
        <w:tabs>
          <w:tab w:leader="none" w:pos="129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Underwriter, the directors, officers,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(i) any untrue statement or alleged untrue statement of a material fact contained in the Registration Statement or caused by any omission or alleged omission to state therein a material fact required to be stated therein or necessary to make the statements therein, not misleading, (ii) any untrue statement or alleged untrue statement of a material fact contained in the Preliminary Prospectus (or any amendment or supplement thereto), Prospectus (or any amendment or supplement thereto), any Issuer Free Writing Prospectus, any “issuer information” filed or required to be filed pursuant to Rule 433(d),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any Time of Sale Information (including any Time of Sale Information that has subsequently been amended), or caused by any omission or alleged omission to state therein a material fact necessary to make the statements therein, in light of the circumstances under which they were made, not misleading, in each case except insofar as such losses, claims, damages or liabilities are caused by, any untrue statement or omission or alleged untrue statement or omission based upon any information relating to any Underwriter furnished to the Company in writing by such Underwriter through the Representatives expressly for use therein.</w:t>
      </w:r>
    </w:p>
    <w:p>
      <w:pPr>
        <w:spacing w:after="0" w:line="174" w:lineRule="exact"/>
        <w:rPr>
          <w:rFonts w:ascii="Arial" w:cs="Arial" w:eastAsia="Arial" w:hAnsi="Arial"/>
          <w:sz w:val="16"/>
          <w:szCs w:val="16"/>
          <w:color w:val="auto"/>
        </w:rPr>
      </w:pPr>
    </w:p>
    <w:p>
      <w:pPr>
        <w:ind w:right="100" w:firstLine="1305"/>
        <w:spacing w:after="0" w:line="277" w:lineRule="auto"/>
        <w:tabs>
          <w:tab w:leader="none" w:pos="16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signed the Registration Statement and each person, if any, who controls the Company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spacing w:after="0" w:line="290" w:lineRule="auto"/>
        <w:rPr>
          <w:sz w:val="20"/>
          <w:szCs w:val="20"/>
          <w:color w:val="auto"/>
        </w:rPr>
      </w:pPr>
      <w:r>
        <w:rPr>
          <w:rFonts w:ascii="Arial" w:cs="Arial" w:eastAsia="Arial" w:hAnsi="Arial"/>
          <w:sz w:val="16"/>
          <w:szCs w:val="16"/>
          <w:color w:val="auto"/>
        </w:rPr>
        <w:t>within the meaning of Section 15 of the Securities Act or Section 20 of the Exchange Act to the same extent as the indemnity set forth in paragraph (a) above, but only with respect to any losses, claims, damages or liabilities that are caused by any untrue statement or omission or alleged untrue statement or omission based upon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Time of Sale Information (including any Time of Sale Information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fourth paragraph under the caption “Underwriting” and the information contained in the third sentence of the seventh paragraph, the eighth paragraph and the ninth paragraph under the caption “Underwriting.”</w:t>
      </w:r>
    </w:p>
    <w:p>
      <w:pPr>
        <w:spacing w:after="0" w:line="166" w:lineRule="exact"/>
        <w:rPr>
          <w:sz w:val="20"/>
          <w:szCs w:val="20"/>
          <w:color w:val="auto"/>
        </w:rPr>
      </w:pPr>
    </w:p>
    <w:p>
      <w:pPr>
        <w:ind w:right="20" w:firstLine="1305"/>
        <w:spacing w:after="0" w:line="268" w:lineRule="auto"/>
        <w:tabs>
          <w:tab w:leader="none" w:pos="1631"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100"/>
        <w:spacing w:after="0" w:line="255" w:lineRule="auto"/>
        <w:rPr>
          <w:sz w:val="20"/>
          <w:szCs w:val="20"/>
          <w:color w:val="auto"/>
        </w:rPr>
      </w:pPr>
      <w:r>
        <w:rPr>
          <w:rFonts w:ascii="Arial" w:cs="Arial" w:eastAsia="Arial" w:hAnsi="Arial"/>
          <w:sz w:val="18"/>
          <w:szCs w:val="18"/>
          <w:color w:val="auto"/>
        </w:rPr>
        <w:t>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93" w:lineRule="exact"/>
        <w:rPr>
          <w:sz w:val="20"/>
          <w:szCs w:val="20"/>
          <w:color w:val="auto"/>
        </w:rPr>
      </w:pPr>
    </w:p>
    <w:p>
      <w:pPr>
        <w:ind w:firstLine="1305"/>
        <w:spacing w:after="0" w:line="286" w:lineRule="auto"/>
        <w:tabs>
          <w:tab w:leader="none" w:pos="16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on the cover of the Prospectus,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pacing w:after="0" w:line="168" w:lineRule="exact"/>
        <w:rPr>
          <w:rFonts w:ascii="Arial" w:cs="Arial" w:eastAsia="Arial" w:hAnsi="Arial"/>
          <w:sz w:val="16"/>
          <w:szCs w:val="16"/>
          <w:color w:val="auto"/>
        </w:rPr>
      </w:pPr>
    </w:p>
    <w:p>
      <w:pPr>
        <w:ind w:right="20" w:firstLine="1305"/>
        <w:spacing w:after="0" w:line="264" w:lineRule="auto"/>
        <w:tabs>
          <w:tab w:leader="none" w:pos="1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and the Underwriters agree that it would not be just or equitable if contribution pursuant to Section 8 were determined by pro rata allocation (even if the Underwriters were treated as one entity for such purpose) or by any other method of allocation that does not take account of the equitable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line="253" w:lineRule="auto"/>
        <w:rPr>
          <w:sz w:val="20"/>
          <w:szCs w:val="20"/>
          <w:color w:val="auto"/>
        </w:rPr>
      </w:pPr>
      <w:r>
        <w:rPr>
          <w:rFonts w:ascii="Arial" w:cs="Arial" w:eastAsia="Arial" w:hAnsi="Arial"/>
          <w:sz w:val="18"/>
          <w:szCs w:val="18"/>
          <w:color w:val="auto"/>
        </w:rPr>
        <w:t>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Section 8(d) or this Section 8(e), no Underwriter shall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the officers or directors of the Company or any person controlling the Company and (iii) acceptance of and payment for any of the Securities. The Underwriters’ respective obligations to contribute pursuant to this Section 8 are several in proportion to the respective principal amount of Securities they have purchased hereunder, and not joint.</w:t>
      </w:r>
    </w:p>
    <w:p>
      <w:pPr>
        <w:spacing w:after="0" w:line="193" w:lineRule="exact"/>
        <w:rPr>
          <w:sz w:val="20"/>
          <w:szCs w:val="20"/>
          <w:color w:val="auto"/>
        </w:rPr>
      </w:pPr>
    </w:p>
    <w:p>
      <w:pPr>
        <w:ind w:right="140" w:firstLine="656"/>
        <w:spacing w:after="0" w:line="291" w:lineRule="auto"/>
        <w:tabs>
          <w:tab w:leader="none" w:pos="1296"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Recognition of the U.S. Special Resolutions Regimes</w:t>
      </w:r>
      <w:r>
        <w:rPr>
          <w:rFonts w:ascii="Arial" w:cs="Arial" w:eastAsia="Arial" w:hAnsi="Arial"/>
          <w:sz w:val="16"/>
          <w:szCs w:val="16"/>
          <w:color w:val="auto"/>
        </w:rPr>
        <w:t>: (a) In the event that any Underwriter that is a Covered Entity becomes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“BHC Act Affiliate” has the meaning assigned to the term “affiliate” in, and shall be interpreted in accordance with, 12 U.S.C. § 1841(k).</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“Covered Entity” means any of the following: (i) a “covered entity” as that term is defined in, and interpreted in accordance with, 12 C.F.R. §</w:t>
      </w:r>
    </w:p>
    <w:p>
      <w:pPr>
        <w:spacing w:after="0" w:line="34" w:lineRule="exact"/>
        <w:rPr>
          <w:rFonts w:ascii="Arial" w:cs="Arial" w:eastAsia="Arial" w:hAnsi="Arial"/>
          <w:sz w:val="18"/>
          <w:szCs w:val="18"/>
          <w:color w:val="auto"/>
        </w:rPr>
      </w:pPr>
    </w:p>
    <w:p>
      <w:pPr>
        <w:ind w:left="660" w:right="280"/>
        <w:spacing w:after="0" w:line="261" w:lineRule="auto"/>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3" w:lineRule="exact"/>
        <w:rPr>
          <w:rFonts w:ascii="Arial" w:cs="Arial" w:eastAsia="Arial" w:hAnsi="Arial"/>
          <w:sz w:val="18"/>
          <w:szCs w:val="18"/>
          <w:color w:val="auto"/>
        </w:rPr>
      </w:pPr>
    </w:p>
    <w:p>
      <w:pPr>
        <w:ind w:left="660" w:right="660"/>
        <w:spacing w:after="0" w:line="277" w:lineRule="auto"/>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rFonts w:ascii="Arial" w:cs="Arial" w:eastAsia="Arial" w:hAnsi="Arial"/>
          <w:sz w:val="18"/>
          <w:szCs w:val="18"/>
          <w:color w:val="auto"/>
        </w:rPr>
      </w:pPr>
    </w:p>
    <w:p>
      <w:pPr>
        <w:ind w:left="660" w:right="160"/>
        <w:spacing w:after="0" w:line="277" w:lineRule="auto"/>
        <w:rPr>
          <w:rFonts w:ascii="Arial" w:cs="Arial" w:eastAsia="Arial" w:hAnsi="Arial"/>
          <w:sz w:val="18"/>
          <w:szCs w:val="18"/>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rFonts w:ascii="Arial" w:cs="Arial" w:eastAsia="Arial" w:hAnsi="Arial"/>
          <w:sz w:val="18"/>
          <w:szCs w:val="18"/>
          <w:color w:val="auto"/>
        </w:rPr>
      </w:pPr>
    </w:p>
    <w:p>
      <w:pPr>
        <w:ind w:firstLine="656"/>
        <w:spacing w:after="0" w:line="289" w:lineRule="auto"/>
        <w:tabs>
          <w:tab w:leader="none" w:pos="1292"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the Representatives’ judgment, is material and adverse and that, singly or together with any other event specified in this Section 10, makes it, in the Representatives’ judgment, impracticable or inadvisable to proceed with the offer, sale or delivery of the Securities on the terms and in the manner contemplated in this Agreement, the Time of Sale Information and the Prospectus.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this Agreement shall be terminated by the Underwriters, or any of them, (i) because of any failure or refusal on the part of the Company to comply with the terms or to fulfill any of the conditions of this Agreement, (ii) for any reason set forth in the first paragraph of this Section 10, or (iii) if for any reason the Company shall be unable to perform its obligations under this Agreement, the Company will reimburse the Underwriters or such Underwriters as have so terminated this Agreement with respect to themselves, severally, for all out of pocket expenses (including the fees and disbursements of their counsel)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reasonably incurred by such Underwriters in connection with this Agreement or the offering contemplated hereunder.</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Securities that it or they have agreed to purchase hereunder on such date, and the aggregate principal amount of Securities which such defaulting Underwriter or Underwriters agreed but failed or refused to purchase is not more than one tenth of the aggregate principal amount of Securities to be purchased on such date, the other Underwriters shall be obligated severally in the proportions that the principal amount of Securities set forth opposite their respective names in Schedule I bears to the aggregate principal amount of Securities set forth opposite the names of all such non defaulting Underwriters, or in such other proportions as you may specify, to purchase the Securities that such defaulting Underwriter or Underwriters agreed but failed or refused to purchase on such date; provided that in no event shall the principal amount of Securities that any Underwriter has agreed to purchase pursuant to this Agreement be increased pursuant to this Section 11 by an amount in excess of one ninth of such principal amount of Securities without the written consent of such Underwriter. If, on the Closing Date any Underwriter or Underwriters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Underwriter or of the Company. In any such case either you or the Company shall have the right to postpone the Closing Date, but in no event for longer than seven days, in order that the required changes, if any, in the Registration Statement, in the Time of Sale Information,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right="240" w:firstLine="656"/>
        <w:spacing w:after="0" w:line="259" w:lineRule="auto"/>
        <w:tabs>
          <w:tab w:leader="none" w:pos="129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Underwriters with respect to the preparation of the Registration Statement, Time of Sale Information and Prospectus, the conduct of the offering, and the purchase and sale of the Securities.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 w:name="page30"/>
    <w:bookmarkEnd w:id="29"/>
    <w:p>
      <w:pPr>
        <w:ind w:left="4" w:firstLine="645"/>
        <w:spacing w:after="0" w:line="297" w:lineRule="auto"/>
        <w:tabs>
          <w:tab w:leader="none" w:pos="1308"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left="-656" w:right="40" w:firstLine="656"/>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left="-656" w:right="120" w:firstLine="656"/>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left="-656" w:firstLine="656"/>
        <w:spacing w:after="0" w:line="254"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you at (i) c/o Goldman Sachs &amp; Co. LLC, 200 West Street, New York, New York 10282, Attention: Registration Department; (ii) c/o J.P. Morgan Securities LLC, 383 Madison Avenue, New York, New York 10179, Attention: Investment Grade Syndicate Desk; and (iii) c/o Wells Fargo Securities, LLC 550 South Tryon Street, 5th Floor, Charlotte, North Carolina 28202, Attention: Transaction Management, facsimile: 704-410-0326; with a copy to Simpson Thacher &amp; Bartlett LLP, 2475 Hanover Street, Palo Alto, California 94304, Attention: Daniel Webb, Fax: (650) 251-5002; and (b) if to the Company shall be delivered, mailed or sent to Micron Technology, Inc., 8000 South Federal Way, Boise, Idaho 83716, Attention: General Counsel, Fax: (208) 368-4540, with a copy to Wilson Sonsini Goodrich &amp; Rosati, Professional Corporation, 650 Page Mill Road, Palo Alto, California 94304, Attention: John A. Fore, Fax: (650) 493-6811.</w:t>
      </w:r>
    </w:p>
    <w:p>
      <w:pPr>
        <w:spacing w:after="0" w:line="192" w:lineRule="exact"/>
        <w:rPr>
          <w:rFonts w:ascii="Arial" w:cs="Arial" w:eastAsia="Arial" w:hAnsi="Arial"/>
          <w:sz w:val="18"/>
          <w:szCs w:val="18"/>
          <w:color w:val="auto"/>
        </w:rPr>
      </w:pPr>
    </w:p>
    <w:p>
      <w:pPr>
        <w:ind w:left="-656" w:right="80" w:firstLine="656"/>
        <w:spacing w:after="0" w:line="286"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Certain Defined Terms</w:t>
      </w:r>
      <w:r>
        <w:rPr>
          <w:rFonts w:ascii="Arial" w:cs="Arial" w:eastAsia="Arial" w:hAnsi="Arial"/>
          <w:sz w:val="17"/>
          <w:szCs w:val="17"/>
          <w:color w:val="auto"/>
        </w:rPr>
        <w:t>. For purposes of this Agreement, (a) except where otherwise expressly provided, the term “affiliate”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4964" w:right="20" w:hanging="4964"/>
        <w:spacing w:after="0" w:line="52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Compliance with USA Patriot Act</w:t>
      </w:r>
      <w:r>
        <w:rPr>
          <w:rFonts w:ascii="Arial" w:cs="Arial" w:eastAsia="Arial" w:hAnsi="Arial"/>
          <w:sz w:val="18"/>
          <w:szCs w:val="18"/>
          <w:color w:val="auto"/>
        </w:rPr>
        <w:t>. In accordance with the requirements of the USA Patriot Act (Title III of Pub. L. 107-56 (signed into law</w:t>
      </w:r>
      <w:r>
        <w:rPr>
          <w:rFonts w:ascii="Arial" w:cs="Arial" w:eastAsia="Arial" w:hAnsi="Arial"/>
          <w:sz w:val="18"/>
          <w:szCs w:val="18"/>
          <w:i w:val="1"/>
          <w:iCs w:val="1"/>
          <w:color w:val="auto"/>
        </w:rPr>
        <w:t xml:space="preserve">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-90170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341" w:right="659" w:bottom="1440" w:gutter="0" w:footer="0" w:header="0"/>
        </w:sectPr>
      </w:pPr>
    </w:p>
    <w:bookmarkStart w:id="31" w:name="page32"/>
    <w:bookmarkEnd w:id="31"/>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David A. Zinsner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Senior Vice President and Chief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Underwriters named in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Schedule I hereto.</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Goldman Sachs &amp; Co.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Adam Greene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Underwriters named in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Schedule I hereto.</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J.P. Morgan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Stephen L. Sheiner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Stephen L. Sheiner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Underwriters named in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Schedule I hereto.</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Wells Fargo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Carolyn Hurley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3"/>
          </w:tcPr>
          <w:p>
            <w:pPr>
              <w:ind w:left="64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Principal Amount of</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2027 Notes to be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2030 Notes to be</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135,000,000.00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135,000,000.00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135,000,000.00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900,000,000.00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400" w:type="dxa"/>
            <w:vAlign w:val="bottom"/>
            <w:gridSpan w:val="3"/>
          </w:tcPr>
          <w:p>
            <w:pPr>
              <w:jc w:val="right"/>
              <w:ind w:right="1760"/>
              <w:spacing w:after="0"/>
              <w:rPr>
                <w:sz w:val="20"/>
                <w:szCs w:val="20"/>
                <w:color w:val="auto"/>
              </w:rPr>
            </w:pPr>
            <w:r>
              <w:rPr>
                <w:rFonts w:ascii="Arial" w:cs="Arial" w:eastAsia="Arial" w:hAnsi="Arial"/>
                <w:sz w:val="18"/>
                <w:szCs w:val="18"/>
                <w:color w:val="auto"/>
              </w:rPr>
              <w:t>I-1</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6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Information</w:t>
      </w:r>
    </w:p>
    <w:p>
      <w:pPr>
        <w:spacing w:after="0" w:line="229" w:lineRule="exact"/>
        <w:rPr>
          <w:sz w:val="20"/>
          <w:szCs w:val="20"/>
          <w:color w:val="auto"/>
        </w:rPr>
      </w:pPr>
    </w:p>
    <w:p>
      <w:pPr>
        <w:ind w:left="5580" w:right="3840" w:hanging="5572"/>
        <w:spacing w:after="0" w:line="528" w:lineRule="auto"/>
        <w:tabs>
          <w:tab w:leader="none" w:pos="6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 Sheet containing the terms of the Securities, substantially in the form set forth in Annex A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7" w:right="239" w:bottom="1440" w:gutter="0" w:footer="0" w:header="0"/>
        </w:sectPr>
      </w:pPr>
    </w:p>
    <w:bookmarkStart w:id="38" w:name="page39"/>
    <w:bookmarkEnd w:id="38"/>
    <w:p>
      <w:pPr>
        <w:ind w:left="102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ind w:left="1060" w:right="100" w:hanging="644"/>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the corporate power and authority to own its properties and to conduct its business as described in the Pricing Prospectus and the Prospectus.</w:t>
      </w:r>
    </w:p>
    <w:p>
      <w:pPr>
        <w:spacing w:after="0" w:line="181" w:lineRule="exact"/>
        <w:rPr>
          <w:rFonts w:ascii="Arial" w:cs="Arial" w:eastAsia="Arial" w:hAnsi="Arial"/>
          <w:sz w:val="18"/>
          <w:szCs w:val="18"/>
          <w:color w:val="auto"/>
        </w:rPr>
      </w:pPr>
    </w:p>
    <w:p>
      <w:pPr>
        <w:ind w:left="1060" w:hanging="64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5" w:lineRule="exact"/>
        <w:rPr>
          <w:rFonts w:ascii="Arial" w:cs="Arial" w:eastAsia="Arial" w:hAnsi="Arial"/>
          <w:sz w:val="18"/>
          <w:szCs w:val="18"/>
          <w:color w:val="auto"/>
        </w:rPr>
      </w:pPr>
    </w:p>
    <w:p>
      <w:pPr>
        <w:ind w:left="1060" w:right="180" w:hanging="644"/>
        <w:spacing w:after="0" w:line="276"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Securities are in the form contemplated by the Indenture, have been duly authorized by the Company and, when executed by the Company and authenticated by the Trustee in accordance with the terms of the Indenture and delivered against the purchase price therefor specified in the Underwriting Agreement in accordance with the terms thereof (which facts we have not determined by inspection of the Securities), will constitute valid and legally binding obligations of the Company and enforceable against the Company in accordance with their terms; and the Securities are entitled to the benefits of the Indenture.</w:t>
      </w:r>
    </w:p>
    <w:p>
      <w:pPr>
        <w:spacing w:after="0" w:line="172" w:lineRule="exact"/>
        <w:rPr>
          <w:rFonts w:ascii="Arial" w:cs="Arial" w:eastAsia="Arial" w:hAnsi="Arial"/>
          <w:sz w:val="17"/>
          <w:szCs w:val="17"/>
          <w:color w:val="auto"/>
        </w:rPr>
      </w:pPr>
    </w:p>
    <w:p>
      <w:pPr>
        <w:ind w:left="1060" w:right="180" w:hanging="644"/>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due authorization, execution and delivery by the Trustee, constitutes a valid and legally binding instrument, enforceable against the Company in accordance with its terms; and the Indenture has been duly qualified under the Trust Indenture Act of 1939, as amended.</w:t>
      </w:r>
    </w:p>
    <w:p>
      <w:pPr>
        <w:spacing w:after="0" w:line="181" w:lineRule="exact"/>
        <w:rPr>
          <w:rFonts w:ascii="Arial" w:cs="Arial" w:eastAsia="Arial" w:hAnsi="Arial"/>
          <w:sz w:val="18"/>
          <w:szCs w:val="18"/>
          <w:color w:val="auto"/>
        </w:rPr>
      </w:pPr>
    </w:p>
    <w:p>
      <w:pPr>
        <w:ind w:left="1060" w:right="20" w:hanging="644"/>
        <w:spacing w:after="0" w:line="25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Underwriting Agreement, the Indenture, the issuance and sale of the Securities or the consummation of any other of the transactions contemplated thereby will conflict with, result in a breach or violation of any of the terms or provisions of, or constitute a default under (A) the Certificate of Incorporation or the Bylaws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Operative Documents or to consummate the transactions contemplated thereby.</w:t>
      </w:r>
    </w:p>
    <w:p>
      <w:pPr>
        <w:spacing w:after="0" w:line="189" w:lineRule="exact"/>
        <w:rPr>
          <w:rFonts w:ascii="Arial" w:cs="Arial" w:eastAsia="Arial" w:hAnsi="Arial"/>
          <w:sz w:val="18"/>
          <w:szCs w:val="18"/>
          <w:color w:val="auto"/>
        </w:rPr>
      </w:pPr>
    </w:p>
    <w:p>
      <w:pPr>
        <w:ind w:left="1060" w:right="60" w:hanging="644"/>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or with any such court or governmental agency or body is required for the issue and sale of the Securities or the consummation by the Company of the transactions contemplated by the Underwriting Agreement or the Indenture,</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480" w:top="337" w:right="239" w:bottom="1440" w:gutter="0" w:footer="0" w:header="0"/>
        </w:sectPr>
      </w:pPr>
    </w:p>
    <w:bookmarkStart w:id="39" w:name="page40"/>
    <w:bookmarkEnd w:id="39"/>
    <w:p>
      <w:pPr>
        <w:ind w:left="644"/>
        <w:spacing w:after="0" w:line="264" w:lineRule="auto"/>
        <w:rPr>
          <w:sz w:val="20"/>
          <w:szCs w:val="20"/>
          <w:color w:val="auto"/>
        </w:rPr>
      </w:pPr>
      <w:r>
        <w:rPr>
          <w:rFonts w:ascii="Arial" w:cs="Arial" w:eastAsia="Arial" w:hAnsi="Arial"/>
          <w:sz w:val="18"/>
          <w:szCs w:val="18"/>
          <w:color w:val="auto"/>
        </w:rPr>
        <w:t>except such as have been obtained under the Securities Act and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181" w:lineRule="exact"/>
        <w:rPr>
          <w:sz w:val="20"/>
          <w:szCs w:val="20"/>
          <w:color w:val="auto"/>
        </w:rPr>
      </w:pPr>
    </w:p>
    <w:p>
      <w:pPr>
        <w:ind w:left="644" w:right="500" w:hanging="644"/>
        <w:spacing w:after="0" w:line="342" w:lineRule="auto"/>
        <w:tabs>
          <w:tab w:leader="none" w:pos="6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is not and, immediately after giving effect to the offering and sale of the Securities and the application of the proceeds thereof, will not be required to register as an “investment company,” as such term is defined in the Investment Company Act.</w:t>
      </w:r>
    </w:p>
    <w:p>
      <w:pPr>
        <w:spacing w:after="0" w:line="123" w:lineRule="exact"/>
        <w:rPr>
          <w:rFonts w:ascii="Arial" w:cs="Arial" w:eastAsia="Arial" w:hAnsi="Arial"/>
          <w:sz w:val="16"/>
          <w:szCs w:val="16"/>
          <w:color w:val="auto"/>
        </w:rPr>
      </w:pPr>
    </w:p>
    <w:p>
      <w:pPr>
        <w:ind w:left="644" w:right="60" w:hanging="644"/>
        <w:spacing w:after="0" w:line="342" w:lineRule="auto"/>
        <w:tabs>
          <w:tab w:leader="none" w:pos="6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statements set forth in the Pricing Disclosure Package and the Prospectus under the caption “Description of the Notes,” insofar as they purport to constitute a summary of the terms of the Securities, fairly summarize such terms and documents in all material respects.</w:t>
      </w:r>
    </w:p>
    <w:p>
      <w:pPr>
        <w:spacing w:after="0" w:line="123" w:lineRule="exact"/>
        <w:rPr>
          <w:rFonts w:ascii="Arial" w:cs="Arial" w:eastAsia="Arial" w:hAnsi="Arial"/>
          <w:sz w:val="16"/>
          <w:szCs w:val="16"/>
          <w:color w:val="auto"/>
        </w:rPr>
      </w:pPr>
    </w:p>
    <w:p>
      <w:pPr>
        <w:ind w:left="644" w:right="20" w:hanging="644"/>
        <w:spacing w:after="0" w:line="264"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“Material U.S. Federal Income Tax Consequences,” insofar as they purport to summarize provisions of the United States federal tax laws referred to therein or legal conclusions with respect thereto, fairly summarize such matters in all material respects.</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41"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ind w:right="180" w:firstLine="656"/>
        <w:spacing w:after="0" w:line="259"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best of my knowledge, but without inquiring into the dockets of any court, commissions, regulatory body, administrative agency or other government body, and other than as set forth in the Pricing Disclosure Package, there are no legal or governmental proceedings pending to which the Company is a party or of which any property or assets of the Company is the subject, which I believe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right="60" w:firstLine="656"/>
        <w:spacing w:after="0" w:line="255"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Underwriting Agreement or the Indenture,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respective properties or assets, except such conflicts, breaches, violations or defaults as would not have a Material Adverse Effect on the Company’s ability to perform its respective obligations under the Operative Documents or to consummate the transactions contemplated thereby.</w:t>
      </w:r>
    </w:p>
    <w:p>
      <w:pPr>
        <w:spacing w:after="0" w:line="189" w:lineRule="exact"/>
        <w:rPr>
          <w:rFonts w:ascii="Arial" w:cs="Arial" w:eastAsia="Arial" w:hAnsi="Arial"/>
          <w:sz w:val="18"/>
          <w:szCs w:val="18"/>
          <w:color w:val="auto"/>
        </w:rPr>
      </w:pPr>
    </w:p>
    <w:p>
      <w:pPr>
        <w:ind w:right="100" w:firstLine="656"/>
        <w:spacing w:after="0" w:line="259"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may be required by the Securities Act, and the Rules and Regulations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Underwriting Agreement and the Indenture by the Company, the issuance of the Securities and the consummation of the transactions contemplated thereby.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Registration No. 333-220882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Issuer Free Writing Prospectus dated July 10, 2019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Relating to Preliminary Prospectus Supplement dated July 10,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142875</wp:posOffset>
            </wp:positionV>
            <wp:extent cx="1303655" cy="377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3036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4.185% SENIOR NOTES DUE 2027</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4.663% SENIOR NOTES DUE 2030</w:t>
      </w:r>
    </w:p>
    <w:p>
      <w:pPr>
        <w:spacing w:after="0" w:line="211"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July 10, 2019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520" w:type="dxa"/>
            <w:vAlign w:val="bottom"/>
          </w:tcPr>
          <w:p>
            <w:pPr>
              <w:ind w:left="1080"/>
              <w:spacing w:after="0"/>
              <w:rPr>
                <w:sz w:val="20"/>
                <w:szCs w:val="20"/>
                <w:color w:val="auto"/>
              </w:rPr>
            </w:pPr>
            <w:r>
              <w:rPr>
                <w:rFonts w:ascii="Arial" w:cs="Arial" w:eastAsia="Arial" w:hAnsi="Arial"/>
                <w:sz w:val="18"/>
                <w:szCs w:val="18"/>
                <w:color w:val="auto"/>
              </w:rPr>
              <w:t>Micron Technology, Inc. (NASDAQ: MU)</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8520" w:type="dxa"/>
            <w:vAlign w:val="bottom"/>
          </w:tcPr>
          <w:p>
            <w:pPr>
              <w:ind w:left="1080"/>
              <w:spacing w:after="0"/>
              <w:rPr>
                <w:sz w:val="20"/>
                <w:szCs w:val="20"/>
                <w:color w:val="auto"/>
              </w:rPr>
            </w:pPr>
            <w:r>
              <w:rPr>
                <w:rFonts w:ascii="Arial" w:cs="Arial" w:eastAsia="Arial" w:hAnsi="Arial"/>
                <w:sz w:val="18"/>
                <w:szCs w:val="18"/>
                <w:color w:val="auto"/>
                <w:w w:val="99"/>
              </w:rPr>
              <w:t>$900 million aggregate principal amount of 4.185% Senior Notes due 2027 (the “2027 notes”)</w:t>
            </w:r>
          </w:p>
        </w:tc>
      </w:tr>
      <w:tr>
        <w:trPr>
          <w:trHeight w:val="216"/>
        </w:trPr>
        <w:tc>
          <w:tcPr>
            <w:tcW w:w="2940" w:type="dxa"/>
            <w:vAlign w:val="bottom"/>
          </w:tcPr>
          <w:p>
            <w:pPr>
              <w:spacing w:after="0"/>
              <w:rPr>
                <w:sz w:val="18"/>
                <w:szCs w:val="18"/>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w w:val="95"/>
              </w:rPr>
              <w:t>$850 million aggregate principal amount of 4.663% Senior Notes due 2030 (the “2030 notes” and,</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together with the 2027 notes, the “notes”)</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520" w:type="dxa"/>
            <w:vAlign w:val="bottom"/>
          </w:tcPr>
          <w:p>
            <w:pPr>
              <w:ind w:left="1080"/>
              <w:spacing w:after="0"/>
              <w:rPr>
                <w:sz w:val="20"/>
                <w:szCs w:val="20"/>
                <w:color w:val="auto"/>
              </w:rPr>
            </w:pPr>
            <w:r>
              <w:rPr>
                <w:rFonts w:ascii="Arial" w:cs="Arial" w:eastAsia="Arial" w:hAnsi="Arial"/>
                <w:sz w:val="18"/>
                <w:szCs w:val="18"/>
                <w:color w:val="auto"/>
              </w:rPr>
              <w:t>February 15</w:t>
            </w:r>
            <w:r>
              <w:rPr>
                <w:rFonts w:ascii="Arial" w:cs="Arial" w:eastAsia="Arial" w:hAnsi="Arial"/>
                <w:sz w:val="17"/>
                <w:szCs w:val="17"/>
                <w:color w:val="auto"/>
              </w:rPr>
              <w:t>, 2027 in respect of the 2027 notes</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February 15, 2030 in respect of the 2030 notes</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520" w:type="dxa"/>
            <w:vAlign w:val="bottom"/>
          </w:tcPr>
          <w:p>
            <w:pPr>
              <w:ind w:left="1080"/>
              <w:spacing w:after="0"/>
              <w:rPr>
                <w:sz w:val="20"/>
                <w:szCs w:val="20"/>
                <w:color w:val="auto"/>
              </w:rPr>
            </w:pPr>
            <w:r>
              <w:rPr>
                <w:rFonts w:ascii="Arial" w:cs="Arial" w:eastAsia="Arial" w:hAnsi="Arial"/>
                <w:sz w:val="18"/>
                <w:szCs w:val="18"/>
                <w:color w:val="auto"/>
              </w:rPr>
              <w:t>4.185% per year on the principal amount of 2027 notes</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 xml:space="preserve">4.663% </w:t>
            </w:r>
            <w:r>
              <w:rPr>
                <w:rFonts w:ascii="Arial" w:cs="Arial" w:eastAsia="Arial" w:hAnsi="Arial"/>
                <w:sz w:val="17"/>
                <w:szCs w:val="17"/>
                <w:color w:val="auto"/>
              </w:rPr>
              <w:t>per year on the principal amount of 2030 notes</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520" w:type="dxa"/>
            <w:vAlign w:val="bottom"/>
          </w:tcPr>
          <w:p>
            <w:pPr>
              <w:ind w:left="1080"/>
              <w:spacing w:after="0"/>
              <w:rPr>
                <w:sz w:val="20"/>
                <w:szCs w:val="20"/>
                <w:color w:val="auto"/>
              </w:rPr>
            </w:pPr>
            <w:r>
              <w:rPr>
                <w:rFonts w:ascii="Arial" w:cs="Arial" w:eastAsia="Arial" w:hAnsi="Arial"/>
                <w:sz w:val="18"/>
                <w:szCs w:val="18"/>
                <w:color w:val="auto"/>
              </w:rPr>
              <w:t xml:space="preserve">February 15 </w:t>
            </w:r>
            <w:r>
              <w:rPr>
                <w:rFonts w:ascii="Arial" w:cs="Arial" w:eastAsia="Arial" w:hAnsi="Arial"/>
                <w:sz w:val="17"/>
                <w:szCs w:val="17"/>
                <w:color w:val="auto"/>
              </w:rPr>
              <w:t>and August</w:t>
            </w:r>
            <w:r>
              <w:rPr>
                <w:rFonts w:ascii="Arial" w:cs="Arial" w:eastAsia="Arial" w:hAnsi="Arial"/>
                <w:sz w:val="18"/>
                <w:szCs w:val="18"/>
                <w:color w:val="auto"/>
              </w:rPr>
              <w:t xml:space="preserve"> 15, beginning February 15, 2020, accruing from July 12, 2019</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8520" w:type="dxa"/>
            <w:vAlign w:val="bottom"/>
          </w:tcPr>
          <w:p>
            <w:pPr>
              <w:ind w:left="1080"/>
              <w:spacing w:after="0"/>
              <w:rPr>
                <w:sz w:val="20"/>
                <w:szCs w:val="20"/>
                <w:color w:val="auto"/>
              </w:rPr>
            </w:pPr>
            <w:r>
              <w:rPr>
                <w:rFonts w:ascii="Arial" w:cs="Arial" w:eastAsia="Arial" w:hAnsi="Arial"/>
                <w:sz w:val="18"/>
                <w:szCs w:val="18"/>
                <w:color w:val="auto"/>
              </w:rPr>
              <w:t xml:space="preserve">January 31 </w:t>
            </w:r>
            <w:r>
              <w:rPr>
                <w:rFonts w:ascii="Arial" w:cs="Arial" w:eastAsia="Arial" w:hAnsi="Arial"/>
                <w:sz w:val="17"/>
                <w:szCs w:val="17"/>
                <w:color w:val="auto"/>
              </w:rPr>
              <w:t>and</w:t>
            </w:r>
            <w:r>
              <w:rPr>
                <w:rFonts w:ascii="Arial" w:cs="Arial" w:eastAsia="Arial" w:hAnsi="Arial"/>
                <w:sz w:val="18"/>
                <w:szCs w:val="18"/>
                <w:color w:val="auto"/>
              </w:rPr>
              <w:t xml:space="preserve"> July 31</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520" w:type="dxa"/>
            <w:vAlign w:val="bottom"/>
          </w:tcPr>
          <w:p>
            <w:pPr>
              <w:ind w:left="1080"/>
              <w:spacing w:after="0"/>
              <w:rPr>
                <w:sz w:val="20"/>
                <w:szCs w:val="20"/>
                <w:color w:val="auto"/>
              </w:rPr>
            </w:pPr>
            <w:r>
              <w:rPr>
                <w:rFonts w:ascii="Arial" w:cs="Arial" w:eastAsia="Arial" w:hAnsi="Arial"/>
                <w:sz w:val="18"/>
                <w:szCs w:val="18"/>
                <w:color w:val="auto"/>
              </w:rPr>
              <w:t>99.995% for the 2027 notes</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99.994% for the 2030 notes</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8520" w:type="dxa"/>
            <w:vAlign w:val="bottom"/>
          </w:tcPr>
          <w:p>
            <w:pPr>
              <w:ind w:left="1080"/>
              <w:spacing w:after="0"/>
              <w:rPr>
                <w:sz w:val="20"/>
                <w:szCs w:val="20"/>
                <w:color w:val="auto"/>
              </w:rPr>
            </w:pPr>
            <w:r>
              <w:rPr>
                <w:rFonts w:ascii="Arial" w:cs="Arial" w:eastAsia="Arial" w:hAnsi="Arial"/>
                <w:sz w:val="18"/>
                <w:szCs w:val="18"/>
                <w:color w:val="auto"/>
              </w:rPr>
              <w:t>.400% per 2027 note</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.450% per 2030 note</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Spread to Treasury:</w:t>
            </w:r>
          </w:p>
        </w:tc>
        <w:tc>
          <w:tcPr>
            <w:tcW w:w="8520" w:type="dxa"/>
            <w:vAlign w:val="bottom"/>
          </w:tcPr>
          <w:p>
            <w:pPr>
              <w:ind w:left="1080"/>
              <w:spacing w:after="0"/>
              <w:rPr>
                <w:sz w:val="20"/>
                <w:szCs w:val="20"/>
                <w:color w:val="auto"/>
              </w:rPr>
            </w:pPr>
            <w:r>
              <w:rPr>
                <w:rFonts w:ascii="Arial" w:cs="Arial" w:eastAsia="Arial" w:hAnsi="Arial"/>
                <w:sz w:val="18"/>
                <w:szCs w:val="18"/>
                <w:color w:val="auto"/>
              </w:rPr>
              <w:t>+225 basis points for the 2027 notes</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+260 basis points for the 2030 notes</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Benchmark:</w:t>
            </w:r>
          </w:p>
        </w:tc>
        <w:tc>
          <w:tcPr>
            <w:tcW w:w="8520" w:type="dxa"/>
            <w:vAlign w:val="bottom"/>
          </w:tcPr>
          <w:p>
            <w:pPr>
              <w:ind w:left="1080"/>
              <w:spacing w:after="0"/>
              <w:rPr>
                <w:sz w:val="20"/>
                <w:szCs w:val="20"/>
                <w:color w:val="auto"/>
              </w:rPr>
            </w:pPr>
            <w:r>
              <w:rPr>
                <w:rFonts w:ascii="Arial" w:cs="Arial" w:eastAsia="Arial" w:hAnsi="Arial"/>
                <w:sz w:val="18"/>
                <w:szCs w:val="18"/>
                <w:color w:val="auto"/>
              </w:rPr>
              <w:t>UST 1.875% due June 30, 2026 (yielding: 1.935%) for the 2027 notes</w:t>
            </w:r>
          </w:p>
        </w:tc>
      </w:tr>
      <w:tr>
        <w:trPr>
          <w:trHeight w:val="230"/>
        </w:trPr>
        <w:tc>
          <w:tcPr>
            <w:tcW w:w="2940" w:type="dxa"/>
            <w:vAlign w:val="bottom"/>
          </w:tcPr>
          <w:p>
            <w:pPr>
              <w:spacing w:after="0"/>
              <w:rPr>
                <w:sz w:val="20"/>
                <w:szCs w:val="20"/>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auto"/>
              </w:rPr>
              <w:t>UST 2.375% due May 15, 2029 (yielding: 2.063%) for the 2030 notes</w:t>
            </w:r>
          </w:p>
        </w:tc>
      </w:tr>
      <w:tr>
        <w:trPr>
          <w:trHeight w:val="432"/>
        </w:trPr>
        <w:tc>
          <w:tcPr>
            <w:tcW w:w="2940" w:type="dxa"/>
            <w:vAlign w:val="bottom"/>
          </w:tcPr>
          <w:p>
            <w:pPr>
              <w:spacing w:after="0"/>
              <w:rPr>
                <w:sz w:val="24"/>
                <w:szCs w:val="24"/>
                <w:color w:val="auto"/>
              </w:rPr>
            </w:pPr>
          </w:p>
        </w:tc>
        <w:tc>
          <w:tcPr>
            <w:tcW w:w="8520" w:type="dxa"/>
            <w:vAlign w:val="bottom"/>
          </w:tcPr>
          <w:p>
            <w:pPr>
              <w:ind w:left="2640"/>
              <w:spacing w:after="0"/>
              <w:rPr>
                <w:sz w:val="20"/>
                <w:szCs w:val="20"/>
                <w:color w:val="auto"/>
              </w:rPr>
            </w:pPr>
            <w:r>
              <w:rPr>
                <w:rFonts w:ascii="Arial" w:cs="Arial" w:eastAsia="Arial" w:hAnsi="Arial"/>
                <w:sz w:val="18"/>
                <w:szCs w:val="18"/>
                <w:color w:val="auto"/>
              </w:rPr>
              <w:t>C-2</w:t>
            </w:r>
          </w:p>
        </w:tc>
      </w:tr>
      <w:tr>
        <w:trPr>
          <w:trHeight w:val="132"/>
        </w:trPr>
        <w:tc>
          <w:tcPr>
            <w:tcW w:w="2940" w:type="dxa"/>
            <w:vAlign w:val="bottom"/>
            <w:tcBorders>
              <w:bottom w:val="single" w:sz="8" w:color="808080"/>
            </w:tcBorders>
          </w:tcPr>
          <w:p>
            <w:pPr>
              <w:spacing w:after="0"/>
              <w:rPr>
                <w:sz w:val="11"/>
                <w:szCs w:val="11"/>
                <w:color w:val="auto"/>
              </w:rPr>
            </w:pPr>
          </w:p>
        </w:tc>
        <w:tc>
          <w:tcPr>
            <w:tcW w:w="8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8180" w:type="dxa"/>
            <w:vAlign w:val="bottom"/>
          </w:tcPr>
          <w:p>
            <w:pPr>
              <w:ind w:left="74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BBB- (Stable) (Fitch Ratings Inc.)</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BB+ (Positive) (Standard &amp; Poor’s Ratings Services)</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Pricing Date:</w:t>
            </w:r>
          </w:p>
        </w:tc>
        <w:tc>
          <w:tcPr>
            <w:tcW w:w="8180" w:type="dxa"/>
            <w:vAlign w:val="bottom"/>
          </w:tcPr>
          <w:p>
            <w:pPr>
              <w:ind w:left="740"/>
              <w:spacing w:after="0"/>
              <w:rPr>
                <w:sz w:val="20"/>
                <w:szCs w:val="20"/>
                <w:color w:val="auto"/>
              </w:rPr>
            </w:pPr>
            <w:r>
              <w:rPr>
                <w:rFonts w:ascii="Arial" w:cs="Arial" w:eastAsia="Arial" w:hAnsi="Arial"/>
                <w:sz w:val="18"/>
                <w:szCs w:val="18"/>
                <w:color w:val="auto"/>
              </w:rPr>
              <w:t>July 10</w:t>
            </w:r>
            <w:r>
              <w:rPr>
                <w:rFonts w:ascii="Arial" w:cs="Arial" w:eastAsia="Arial" w:hAnsi="Arial"/>
                <w:sz w:val="17"/>
                <w:szCs w:val="17"/>
                <w:color w:val="auto"/>
              </w:rPr>
              <w:t>, 2019</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8180" w:type="dxa"/>
            <w:vAlign w:val="bottom"/>
          </w:tcPr>
          <w:p>
            <w:pPr>
              <w:ind w:left="740"/>
              <w:spacing w:after="0"/>
              <w:rPr>
                <w:sz w:val="20"/>
                <w:szCs w:val="20"/>
                <w:color w:val="auto"/>
              </w:rPr>
            </w:pPr>
            <w:r>
              <w:rPr>
                <w:rFonts w:ascii="Arial" w:cs="Arial" w:eastAsia="Arial" w:hAnsi="Arial"/>
                <w:sz w:val="18"/>
                <w:szCs w:val="18"/>
                <w:color w:val="auto"/>
              </w:rPr>
              <w:t>July 12</w:t>
            </w:r>
            <w:r>
              <w:rPr>
                <w:rFonts w:ascii="Arial" w:cs="Arial" w:eastAsia="Arial" w:hAnsi="Arial"/>
                <w:sz w:val="17"/>
                <w:szCs w:val="17"/>
                <w:color w:val="auto"/>
              </w:rPr>
              <w:t>, 2019</w:t>
            </w: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CUSIP Numbers:</w:t>
            </w:r>
          </w:p>
        </w:tc>
        <w:tc>
          <w:tcPr>
            <w:tcW w:w="8180" w:type="dxa"/>
            <w:vAlign w:val="bottom"/>
          </w:tcPr>
          <w:p>
            <w:pPr>
              <w:ind w:left="740"/>
              <w:spacing w:after="0"/>
              <w:rPr>
                <w:sz w:val="20"/>
                <w:szCs w:val="20"/>
                <w:color w:val="auto"/>
              </w:rPr>
            </w:pPr>
            <w:r>
              <w:rPr>
                <w:rFonts w:ascii="Arial" w:cs="Arial" w:eastAsia="Arial" w:hAnsi="Arial"/>
                <w:sz w:val="18"/>
                <w:szCs w:val="18"/>
                <w:color w:val="auto"/>
              </w:rPr>
              <w:t>595112BP7 for the 2027 notes</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595112BQ5 for the 2030 notes</w:t>
            </w: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ISIN Numbers:</w:t>
            </w:r>
          </w:p>
        </w:tc>
        <w:tc>
          <w:tcPr>
            <w:tcW w:w="8180" w:type="dxa"/>
            <w:vAlign w:val="bottom"/>
          </w:tcPr>
          <w:p>
            <w:pPr>
              <w:ind w:left="740"/>
              <w:spacing w:after="0"/>
              <w:rPr>
                <w:sz w:val="20"/>
                <w:szCs w:val="20"/>
                <w:color w:val="auto"/>
              </w:rPr>
            </w:pPr>
            <w:r>
              <w:rPr>
                <w:rFonts w:ascii="Arial" w:cs="Arial" w:eastAsia="Arial" w:hAnsi="Arial"/>
                <w:sz w:val="18"/>
                <w:szCs w:val="18"/>
                <w:color w:val="auto"/>
              </w:rPr>
              <w:t>US595112BP79 for the 2027 notes</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US595112BQ52 for the 2030 notes</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8180" w:type="dxa"/>
            <w:vAlign w:val="bottom"/>
          </w:tcPr>
          <w:p>
            <w:pPr>
              <w:ind w:left="740"/>
              <w:spacing w:after="0"/>
              <w:rPr>
                <w:sz w:val="20"/>
                <w:szCs w:val="20"/>
                <w:color w:val="auto"/>
              </w:rPr>
            </w:pPr>
            <w:r>
              <w:rPr>
                <w:rFonts w:ascii="Arial" w:cs="Arial" w:eastAsia="Arial" w:hAnsi="Arial"/>
                <w:sz w:val="18"/>
                <w:szCs w:val="18"/>
                <w:color w:val="auto"/>
              </w:rPr>
              <w:t>$2,000 and multiples of $1,000 in excess thereof</w:t>
            </w: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8180" w:type="dxa"/>
            <w:vAlign w:val="bottom"/>
          </w:tcPr>
          <w:p>
            <w:pPr>
              <w:ind w:left="740"/>
              <w:spacing w:after="0"/>
              <w:rPr>
                <w:sz w:val="20"/>
                <w:szCs w:val="20"/>
                <w:color w:val="auto"/>
              </w:rPr>
            </w:pPr>
            <w:r>
              <w:rPr>
                <w:rFonts w:ascii="Arial" w:cs="Arial" w:eastAsia="Arial" w:hAnsi="Arial"/>
                <w:sz w:val="18"/>
                <w:szCs w:val="18"/>
                <w:color w:val="auto"/>
              </w:rPr>
              <w:t>Goldman Sachs &amp; Co. LLC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J.P. Morgan Securities LLC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Wells Fargo Securities, LLC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ANZ Securities, Inc.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HSBC Securities (USA) Inc.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ICBC Standard Bank Plc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Mizuho Securities USA LLC</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MUFG Securities Americas Inc.</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Morgan Stanley &amp; Co. LLC</w:t>
            </w: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8180" w:type="dxa"/>
            <w:vAlign w:val="bottom"/>
          </w:tcPr>
          <w:p>
            <w:pPr>
              <w:ind w:left="740"/>
              <w:spacing w:after="0"/>
              <w:rPr>
                <w:sz w:val="20"/>
                <w:szCs w:val="20"/>
                <w:color w:val="auto"/>
              </w:rPr>
            </w:pPr>
            <w:r>
              <w:rPr>
                <w:rFonts w:ascii="Arial" w:cs="Arial" w:eastAsia="Arial" w:hAnsi="Arial"/>
                <w:sz w:val="18"/>
                <w:szCs w:val="18"/>
                <w:color w:val="auto"/>
              </w:rPr>
              <w:t>Academy Securities, Inc.</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The Williams Capital Group, L.P.</w:t>
            </w: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Net Proceeds:</w:t>
            </w:r>
          </w:p>
        </w:tc>
        <w:tc>
          <w:tcPr>
            <w:tcW w:w="8180" w:type="dxa"/>
            <w:vAlign w:val="bottom"/>
          </w:tcPr>
          <w:p>
            <w:pPr>
              <w:ind w:left="740"/>
              <w:spacing w:after="0"/>
              <w:rPr>
                <w:sz w:val="20"/>
                <w:szCs w:val="20"/>
                <w:color w:val="auto"/>
              </w:rPr>
            </w:pPr>
            <w:r>
              <w:rPr>
                <w:rFonts w:ascii="Arial" w:cs="Arial" w:eastAsia="Arial" w:hAnsi="Arial"/>
                <w:sz w:val="18"/>
                <w:szCs w:val="18"/>
                <w:color w:val="auto"/>
                <w:w w:val="93"/>
              </w:rPr>
              <w:t>Micron estimates that the net proceeds from the offering, after deducting underwriting discounts and</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estimated offering fees and expenses, will be approximately $1.739 billion.</w:t>
            </w: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Redemption at Micron’s Option:</w:t>
            </w:r>
          </w:p>
        </w:tc>
        <w:tc>
          <w:tcPr>
            <w:tcW w:w="8180" w:type="dxa"/>
            <w:vAlign w:val="bottom"/>
          </w:tcPr>
          <w:p>
            <w:pPr>
              <w:ind w:left="740"/>
              <w:spacing w:after="0"/>
              <w:rPr>
                <w:sz w:val="20"/>
                <w:szCs w:val="20"/>
                <w:color w:val="auto"/>
              </w:rPr>
            </w:pPr>
            <w:r>
              <w:rPr>
                <w:rFonts w:ascii="Arial" w:cs="Arial" w:eastAsia="Arial" w:hAnsi="Arial"/>
                <w:sz w:val="18"/>
                <w:szCs w:val="18"/>
                <w:color w:val="auto"/>
                <w:w w:val="94"/>
              </w:rPr>
              <w:t>Micron may redeem some or all of the notes of each series, at any time or from time to time prior to</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w w:val="95"/>
              </w:rPr>
              <w:t>the applicable Par Call Date, at a redemption price equal to the greater of (i) 100% of the principal</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w w:val="99"/>
              </w:rPr>
              <w:t>amount of the notes of that series to be redeemed and (ii) the sum of the present values of the</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w w:val="91"/>
              </w:rPr>
              <w:t>remaining scheduled payments of principal and interest thereon that would be due if the notes of such</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series matured on the applicable Par Call Date (exclusive of interest accrued to the date of</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w w:val="92"/>
              </w:rPr>
              <w:t>redemption), discounted to the date of redemption on a semi-annual basis (assuming a 360-day year</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w w:val="95"/>
              </w:rPr>
              <w:t>consisting of twelve 30-day months) at the then current Treasury Rate plus 35 basis points for the</w:t>
            </w:r>
          </w:p>
        </w:tc>
      </w:tr>
      <w:tr>
        <w:trPr>
          <w:trHeight w:val="216"/>
        </w:trPr>
        <w:tc>
          <w:tcPr>
            <w:tcW w:w="3280" w:type="dxa"/>
            <w:vAlign w:val="bottom"/>
          </w:tcPr>
          <w:p>
            <w:pPr>
              <w:spacing w:after="0"/>
              <w:rPr>
                <w:sz w:val="18"/>
                <w:szCs w:val="18"/>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w w:val="92"/>
              </w:rPr>
              <w:t>2027 notes and 40 basis points for the 2030 notes, plus, in each case, accrued and unpaid interest, if</w:t>
            </w:r>
          </w:p>
        </w:tc>
      </w:tr>
      <w:tr>
        <w:trPr>
          <w:trHeight w:val="230"/>
        </w:trPr>
        <w:tc>
          <w:tcPr>
            <w:tcW w:w="328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8"/>
                <w:szCs w:val="18"/>
                <w:color w:val="auto"/>
              </w:rPr>
              <w:t>any, on the amount being redeemed to, but excluding, the date of redemption.</w:t>
            </w:r>
          </w:p>
        </w:tc>
      </w:tr>
      <w:tr>
        <w:trPr>
          <w:trHeight w:val="432"/>
        </w:trPr>
        <w:tc>
          <w:tcPr>
            <w:tcW w:w="3280" w:type="dxa"/>
            <w:vAlign w:val="bottom"/>
          </w:tcPr>
          <w:p>
            <w:pPr>
              <w:spacing w:after="0"/>
              <w:rPr>
                <w:sz w:val="24"/>
                <w:szCs w:val="24"/>
                <w:color w:val="auto"/>
              </w:rPr>
            </w:pPr>
          </w:p>
        </w:tc>
        <w:tc>
          <w:tcPr>
            <w:tcW w:w="8180" w:type="dxa"/>
            <w:vAlign w:val="bottom"/>
          </w:tcPr>
          <w:p>
            <w:pPr>
              <w:ind w:left="2300"/>
              <w:spacing w:after="0"/>
              <w:rPr>
                <w:sz w:val="20"/>
                <w:szCs w:val="20"/>
                <w:color w:val="auto"/>
              </w:rPr>
            </w:pPr>
            <w:r>
              <w:rPr>
                <w:rFonts w:ascii="Arial" w:cs="Arial" w:eastAsia="Arial" w:hAnsi="Arial"/>
                <w:sz w:val="18"/>
                <w:szCs w:val="18"/>
                <w:color w:val="auto"/>
              </w:rPr>
              <w:t>C-3</w:t>
            </w:r>
          </w:p>
        </w:tc>
      </w:tr>
      <w:tr>
        <w:trPr>
          <w:trHeight w:val="132"/>
        </w:trPr>
        <w:tc>
          <w:tcPr>
            <w:tcW w:w="3280" w:type="dxa"/>
            <w:vAlign w:val="bottom"/>
            <w:tcBorders>
              <w:bottom w:val="single" w:sz="8" w:color="808080"/>
            </w:tcBorders>
          </w:tcPr>
          <w:p>
            <w:pPr>
              <w:spacing w:after="0"/>
              <w:rPr>
                <w:sz w:val="11"/>
                <w:szCs w:val="11"/>
                <w:color w:val="auto"/>
              </w:rPr>
            </w:pPr>
          </w:p>
        </w:tc>
        <w:tc>
          <w:tcPr>
            <w:tcW w:w="8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 w:name="page44"/>
    <w:bookmarkEnd w:id="43"/>
    <w:p>
      <w:pPr>
        <w:jc w:val="both"/>
        <w:ind w:left="4020" w:right="20"/>
        <w:spacing w:after="0" w:line="286" w:lineRule="auto"/>
        <w:rPr>
          <w:sz w:val="20"/>
          <w:szCs w:val="20"/>
          <w:color w:val="auto"/>
        </w:rPr>
      </w:pPr>
      <w:r>
        <w:rPr>
          <w:rFonts w:ascii="Arial" w:cs="Arial" w:eastAsia="Arial" w:hAnsi="Arial"/>
          <w:sz w:val="17"/>
          <w:szCs w:val="17"/>
          <w:color w:val="auto"/>
        </w:rPr>
        <w:t>In addition, Micron may redeem any 2027 notes or 2030 notes on or after the applicable Par Call Date at a redemption price equal to 100% of the principal amount of the notes redeemed, plus accrued and unpaid interest, if any, to, but excluding, the date of redemption.</w:t>
      </w:r>
    </w:p>
    <w:p>
      <w:pPr>
        <w:spacing w:after="0" w:line="166" w:lineRule="exact"/>
        <w:rPr>
          <w:sz w:val="20"/>
          <w:szCs w:val="20"/>
          <w:color w:val="auto"/>
        </w:rPr>
      </w:pPr>
    </w:p>
    <w:p>
      <w:pPr>
        <w:ind w:left="4020" w:right="40"/>
        <w:spacing w:after="0" w:line="264" w:lineRule="auto"/>
        <w:rPr>
          <w:sz w:val="20"/>
          <w:szCs w:val="20"/>
          <w:color w:val="auto"/>
        </w:rPr>
      </w:pPr>
      <w:r>
        <w:rPr>
          <w:rFonts w:ascii="Arial" w:cs="Arial" w:eastAsia="Arial" w:hAnsi="Arial"/>
          <w:sz w:val="18"/>
          <w:szCs w:val="18"/>
          <w:color w:val="auto"/>
        </w:rPr>
        <w:t>“Par Call Date” means (i) December 15, 2026 with respect to any 2027 notes (two months prior to the maturity date of the 2027 notes) and (ii) November 15, 2029 with respect to any 2030 notes (three months prior to the maturity date of the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193040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 time.</w:t>
      </w:r>
    </w:p>
    <w:p>
      <w:pPr>
        <w:spacing w:after="0" w:line="248"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Goldman Sachs &amp; Co. LLC toll free at 1-866-471-2526, J.P. Morgan Securities LLC at 212-834-4533 or Wells Fargo Securities, LLC toll free at 1-800-645-3751.</w:t>
      </w:r>
    </w:p>
    <w:p>
      <w:pPr>
        <w:spacing w:after="0" w:line="18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$900,000,000 4.185% SENIOR NOTES DUE 2027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$850,000,000 4.663% SENIOR NOTES DUE 2030</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SUPPLEMENTAL 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July 12, 2019</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February 6, 2019</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7"/>
                <w:szCs w:val="17"/>
                <w:color w:val="auto"/>
              </w:rPr>
              <w:t>DEFINITIONS AND INCORPORATION BY REFERENCE</w:t>
            </w:r>
          </w:p>
        </w:tc>
        <w:tc>
          <w:tcPr>
            <w:tcW w:w="3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980" w:type="dxa"/>
            <w:vAlign w:val="bottom"/>
          </w:tcPr>
          <w:p>
            <w:pPr>
              <w:ind w:left="680"/>
              <w:spacing w:after="0"/>
              <w:rPr>
                <w:sz w:val="20"/>
                <w:szCs w:val="20"/>
                <w:color w:val="auto"/>
              </w:rPr>
            </w:pPr>
            <w:r>
              <w:rPr>
                <w:rFonts w:ascii="Arial" w:cs="Arial" w:eastAsia="Arial" w:hAnsi="Arial"/>
                <w:sz w:val="18"/>
                <w:szCs w:val="18"/>
                <w:color w:val="auto"/>
              </w:rPr>
              <w:t>Section 1.1.</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Relationship with Base Indenture</w:t>
            </w:r>
          </w:p>
        </w:tc>
        <w:tc>
          <w:tcPr>
            <w:tcW w:w="3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980" w:type="dxa"/>
            <w:vAlign w:val="bottom"/>
          </w:tcPr>
          <w:p>
            <w:pPr>
              <w:ind w:left="680"/>
              <w:spacing w:after="0"/>
              <w:rPr>
                <w:sz w:val="20"/>
                <w:szCs w:val="20"/>
                <w:color w:val="auto"/>
              </w:rPr>
            </w:pPr>
            <w:r>
              <w:rPr>
                <w:rFonts w:ascii="Arial" w:cs="Arial" w:eastAsia="Arial" w:hAnsi="Arial"/>
                <w:sz w:val="18"/>
                <w:szCs w:val="18"/>
                <w:color w:val="auto"/>
              </w:rPr>
              <w:t>Section 1.2.</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Definitions</w:t>
            </w:r>
          </w:p>
        </w:tc>
        <w:tc>
          <w:tcPr>
            <w:tcW w:w="3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w w:val="98"/>
              </w:rPr>
              <w:t xml:space="preserve">ARTICLE 2. </w:t>
            </w:r>
            <w:r>
              <w:rPr>
                <w:rFonts w:ascii="Arial" w:cs="Arial" w:eastAsia="Arial" w:hAnsi="Arial"/>
                <w:sz w:val="17"/>
                <w:szCs w:val="17"/>
                <w:color w:val="auto"/>
                <w:w w:val="98"/>
              </w:rPr>
              <w:t>THE NOTES</w:t>
            </w:r>
          </w:p>
        </w:tc>
        <w:tc>
          <w:tcPr>
            <w:tcW w:w="608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980" w:type="dxa"/>
            <w:vAlign w:val="bottom"/>
          </w:tcPr>
          <w:p>
            <w:pPr>
              <w:ind w:left="680"/>
              <w:spacing w:after="0"/>
              <w:rPr>
                <w:sz w:val="20"/>
                <w:szCs w:val="20"/>
                <w:color w:val="auto"/>
              </w:rPr>
            </w:pPr>
            <w:r>
              <w:rPr>
                <w:rFonts w:ascii="Arial" w:cs="Arial" w:eastAsia="Arial" w:hAnsi="Arial"/>
                <w:sz w:val="18"/>
                <w:szCs w:val="18"/>
                <w:color w:val="auto"/>
              </w:rPr>
              <w:t>Section 2.1.</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Form and Dating</w:t>
            </w:r>
          </w:p>
        </w:tc>
        <w:tc>
          <w:tcPr>
            <w:tcW w:w="3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2.2.</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Transfer and Exchange</w:t>
            </w:r>
          </w:p>
        </w:tc>
        <w:tc>
          <w:tcPr>
            <w:tcW w:w="3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980" w:type="dxa"/>
            <w:vAlign w:val="bottom"/>
          </w:tcPr>
          <w:p>
            <w:pPr>
              <w:ind w:left="680"/>
              <w:spacing w:after="0"/>
              <w:rPr>
                <w:sz w:val="20"/>
                <w:szCs w:val="20"/>
                <w:color w:val="auto"/>
              </w:rPr>
            </w:pPr>
            <w:r>
              <w:rPr>
                <w:rFonts w:ascii="Arial" w:cs="Arial" w:eastAsia="Arial" w:hAnsi="Arial"/>
                <w:sz w:val="18"/>
                <w:szCs w:val="18"/>
                <w:color w:val="auto"/>
              </w:rPr>
              <w:t>Section 2.3.</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Issuance of Additional Notes</w:t>
            </w:r>
          </w:p>
        </w:tc>
        <w:tc>
          <w:tcPr>
            <w:tcW w:w="3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ARTICLE 3. </w:t>
            </w:r>
            <w:r>
              <w:rPr>
                <w:rFonts w:ascii="Arial" w:cs="Arial" w:eastAsia="Arial" w:hAnsi="Arial"/>
                <w:sz w:val="17"/>
                <w:szCs w:val="17"/>
                <w:color w:val="auto"/>
              </w:rPr>
              <w:t>REDEMPTION AND PREPAYMENT</w:t>
            </w:r>
          </w:p>
        </w:tc>
        <w:tc>
          <w:tcPr>
            <w:tcW w:w="3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980" w:type="dxa"/>
            <w:vAlign w:val="bottom"/>
          </w:tcPr>
          <w:p>
            <w:pPr>
              <w:ind w:left="680"/>
              <w:spacing w:after="0"/>
              <w:rPr>
                <w:sz w:val="20"/>
                <w:szCs w:val="20"/>
                <w:color w:val="auto"/>
              </w:rPr>
            </w:pPr>
            <w:r>
              <w:rPr>
                <w:rFonts w:ascii="Arial" w:cs="Arial" w:eastAsia="Arial" w:hAnsi="Arial"/>
                <w:sz w:val="18"/>
                <w:szCs w:val="18"/>
                <w:color w:val="auto"/>
              </w:rPr>
              <w:t>Section 3.1.</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Optional Redemption</w:t>
            </w:r>
          </w:p>
        </w:tc>
        <w:tc>
          <w:tcPr>
            <w:tcW w:w="3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ARTICLE 4. </w:t>
            </w:r>
            <w:r>
              <w:rPr>
                <w:rFonts w:ascii="Arial" w:cs="Arial" w:eastAsia="Arial" w:hAnsi="Arial"/>
                <w:sz w:val="17"/>
                <w:szCs w:val="17"/>
                <w:color w:val="auto"/>
              </w:rPr>
              <w:t>PARTICULAR COVENANTS</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980" w:type="dxa"/>
            <w:vAlign w:val="bottom"/>
          </w:tcPr>
          <w:p>
            <w:pPr>
              <w:ind w:left="680"/>
              <w:spacing w:after="0"/>
              <w:rPr>
                <w:sz w:val="20"/>
                <w:szCs w:val="20"/>
                <w:color w:val="auto"/>
              </w:rPr>
            </w:pPr>
            <w:r>
              <w:rPr>
                <w:rFonts w:ascii="Arial" w:cs="Arial" w:eastAsia="Arial" w:hAnsi="Arial"/>
                <w:sz w:val="18"/>
                <w:szCs w:val="18"/>
                <w:color w:val="auto"/>
              </w:rPr>
              <w:t>Section 4.1.</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Offer to Purchase Upon Change of Control Triggering Event</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4.2.</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Liens</w:t>
            </w:r>
          </w:p>
        </w:tc>
        <w:tc>
          <w:tcPr>
            <w:tcW w:w="3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4.3.</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Sale and Lease Back Transactions</w:t>
            </w:r>
          </w:p>
        </w:tc>
        <w:tc>
          <w:tcPr>
            <w:tcW w:w="3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980" w:type="dxa"/>
            <w:vAlign w:val="bottom"/>
          </w:tcPr>
          <w:p>
            <w:pPr>
              <w:ind w:left="680"/>
              <w:spacing w:after="0"/>
              <w:rPr>
                <w:sz w:val="20"/>
                <w:szCs w:val="20"/>
                <w:color w:val="auto"/>
              </w:rPr>
            </w:pPr>
            <w:r>
              <w:rPr>
                <w:rFonts w:ascii="Arial" w:cs="Arial" w:eastAsia="Arial" w:hAnsi="Arial"/>
                <w:sz w:val="18"/>
                <w:szCs w:val="18"/>
                <w:color w:val="auto"/>
              </w:rPr>
              <w:t>Section 4.4.</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Covenants</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ARTICLE 5. </w:t>
            </w:r>
            <w:r>
              <w:rPr>
                <w:rFonts w:ascii="Arial" w:cs="Arial" w:eastAsia="Arial" w:hAnsi="Arial"/>
                <w:sz w:val="17"/>
                <w:szCs w:val="17"/>
                <w:color w:val="auto"/>
              </w:rPr>
              <w:t>SATISFACTION AND DISCHARGE; DEFEASANCE</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980" w:type="dxa"/>
            <w:vAlign w:val="bottom"/>
          </w:tcPr>
          <w:p>
            <w:pPr>
              <w:ind w:left="680"/>
              <w:spacing w:after="0"/>
              <w:rPr>
                <w:sz w:val="20"/>
                <w:szCs w:val="20"/>
                <w:color w:val="auto"/>
              </w:rPr>
            </w:pPr>
            <w:r>
              <w:rPr>
                <w:rFonts w:ascii="Arial" w:cs="Arial" w:eastAsia="Arial" w:hAnsi="Arial"/>
                <w:sz w:val="18"/>
                <w:szCs w:val="18"/>
                <w:color w:val="auto"/>
              </w:rPr>
              <w:t>Section 5.1.</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Satisfaction and Discharge of Indenture</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5.2.</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Legal Defeasance of Securities of any Series</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980" w:type="dxa"/>
            <w:vAlign w:val="bottom"/>
          </w:tcPr>
          <w:p>
            <w:pPr>
              <w:ind w:left="680"/>
              <w:spacing w:after="0"/>
              <w:rPr>
                <w:sz w:val="20"/>
                <w:szCs w:val="20"/>
                <w:color w:val="auto"/>
              </w:rPr>
            </w:pPr>
            <w:r>
              <w:rPr>
                <w:rFonts w:ascii="Arial" w:cs="Arial" w:eastAsia="Arial" w:hAnsi="Arial"/>
                <w:sz w:val="18"/>
                <w:szCs w:val="18"/>
                <w:color w:val="auto"/>
              </w:rPr>
              <w:t>Section 5.3.</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Covenant Defeasance</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ARTICLE 6. </w:t>
            </w:r>
            <w:r>
              <w:rPr>
                <w:rFonts w:ascii="Arial" w:cs="Arial" w:eastAsia="Arial" w:hAnsi="Arial"/>
                <w:sz w:val="17"/>
                <w:szCs w:val="17"/>
                <w:color w:val="auto"/>
              </w:rPr>
              <w:t>MISCELLANEOUS</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980" w:type="dxa"/>
            <w:vAlign w:val="bottom"/>
          </w:tcPr>
          <w:p>
            <w:pPr>
              <w:ind w:left="680"/>
              <w:spacing w:after="0"/>
              <w:rPr>
                <w:sz w:val="20"/>
                <w:szCs w:val="20"/>
                <w:color w:val="auto"/>
              </w:rPr>
            </w:pPr>
            <w:r>
              <w:rPr>
                <w:rFonts w:ascii="Arial" w:cs="Arial" w:eastAsia="Arial" w:hAnsi="Arial"/>
                <w:sz w:val="18"/>
                <w:szCs w:val="18"/>
                <w:color w:val="auto"/>
              </w:rPr>
              <w:t>Section 6.1.</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Trust Indenture Act Controls</w:t>
            </w:r>
          </w:p>
        </w:tc>
        <w:tc>
          <w:tcPr>
            <w:tcW w:w="3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6.2.</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Governing Law</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6.3.</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Successors</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6.4.</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Severability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6.5.</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Counterpart Originals</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6.6.</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Table of Contents, Headings, Etc.</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6.7.</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Waiver of Jury Trial</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6.8.</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Interpretation</w:t>
            </w:r>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680"/>
              <w:spacing w:after="0"/>
              <w:rPr>
                <w:sz w:val="20"/>
                <w:szCs w:val="20"/>
                <w:color w:val="auto"/>
              </w:rPr>
            </w:pPr>
            <w:r>
              <w:rPr>
                <w:rFonts w:ascii="Arial" w:cs="Arial" w:eastAsia="Arial" w:hAnsi="Arial"/>
                <w:sz w:val="18"/>
                <w:szCs w:val="18"/>
                <w:color w:val="auto"/>
              </w:rPr>
              <w:t>Section 6.9.</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Instruction by Electronic Transmissions</w:t>
            </w:r>
          </w:p>
        </w:tc>
        <w:tc>
          <w:tcPr>
            <w:tcW w:w="3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980" w:type="dxa"/>
            <w:vAlign w:val="bottom"/>
          </w:tcPr>
          <w:p>
            <w:pPr>
              <w:ind w:left="680"/>
              <w:spacing w:after="0"/>
              <w:rPr>
                <w:sz w:val="20"/>
                <w:szCs w:val="20"/>
                <w:color w:val="auto"/>
              </w:rPr>
            </w:pPr>
            <w:r>
              <w:rPr>
                <w:rFonts w:ascii="Arial" w:cs="Arial" w:eastAsia="Arial" w:hAnsi="Arial"/>
                <w:sz w:val="18"/>
                <w:szCs w:val="18"/>
                <w:color w:val="auto"/>
              </w:rPr>
              <w:t>Section 6.10.</w:t>
            </w:r>
          </w:p>
        </w:tc>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Miscellaneous</w:t>
            </w:r>
          </w:p>
        </w:tc>
        <w:tc>
          <w:tcPr>
            <w:tcW w:w="3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Exhibit A</w:t>
            </w:r>
          </w:p>
        </w:tc>
        <w:tc>
          <w:tcPr>
            <w:tcW w:w="608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FORM OF 2027 NOTE</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Exhibit B</w:t>
            </w:r>
          </w:p>
        </w:tc>
        <w:tc>
          <w:tcPr>
            <w:tcW w:w="608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FORM OF 2030 NOTE</w:t>
            </w:r>
          </w:p>
        </w:tc>
      </w:tr>
      <w:tr>
        <w:trPr>
          <w:trHeight w:val="348"/>
        </w:trPr>
        <w:tc>
          <w:tcPr>
            <w:tcW w:w="198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6" w:name="page47"/>
    <w:bookmarkEnd w:id="46"/>
    <w:p>
      <w:pPr>
        <w:ind w:right="600" w:firstLine="648"/>
        <w:spacing w:after="0" w:line="277" w:lineRule="auto"/>
        <w:rPr>
          <w:sz w:val="20"/>
          <w:szCs w:val="20"/>
          <w:color w:val="auto"/>
        </w:rPr>
      </w:pPr>
      <w:r>
        <w:rPr>
          <w:rFonts w:ascii="Arial" w:cs="Arial" w:eastAsia="Arial" w:hAnsi="Arial"/>
          <w:sz w:val="18"/>
          <w:szCs w:val="18"/>
          <w:color w:val="auto"/>
        </w:rPr>
        <w:t>SECOND SUPPLEMENTAL INDENTURE dated as of July 12, 2019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heretofore executed and delivered to the Trustee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in order to supplement the Base Indenture as, and to the extent, set forth herein to provide for the issuance of and establish the forms and terms and conditions of each Series of the Notes (as defined below).</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(as defined herein) of the 4.185% Senior Notes due 2027 and the 4.663% Senior Notes due 2030: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Relationship with Base Indenture</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60"/>
        <w:spacing w:after="0" w:line="302" w:lineRule="auto"/>
        <w:rPr>
          <w:sz w:val="20"/>
          <w:szCs w:val="20"/>
          <w:color w:val="auto"/>
        </w:rPr>
      </w:pPr>
      <w:r>
        <w:rPr>
          <w:rFonts w:ascii="Arial" w:cs="Arial" w:eastAsia="Arial" w:hAnsi="Arial"/>
          <w:sz w:val="16"/>
          <w:szCs w:val="16"/>
          <w:color w:val="auto"/>
        </w:rPr>
        <w:t>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1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2027 Notes</w:t>
      </w:r>
      <w:r>
        <w:rPr>
          <w:rFonts w:ascii="Arial" w:cs="Arial" w:eastAsia="Arial" w:hAnsi="Arial"/>
          <w:sz w:val="18"/>
          <w:szCs w:val="18"/>
          <w:color w:val="auto"/>
        </w:rPr>
        <w:t xml:space="preserve">” means the Company’s 4.185% Senior Notes due 2027;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2027 Notes and the Additional 2027 Notes, if any, will be treated as a single Series for all purposes under this Supplemental Indenture, and unless the context otherwise requires, all references to the 2027 Notes will include the Initial 2027 Notes and any Additional 2027 Notes.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2030 Notes</w:t>
      </w:r>
      <w:r>
        <w:rPr>
          <w:rFonts w:ascii="Arial" w:cs="Arial" w:eastAsia="Arial" w:hAnsi="Arial"/>
          <w:sz w:val="18"/>
          <w:szCs w:val="18"/>
          <w:color w:val="auto"/>
        </w:rPr>
        <w:t xml:space="preserve">” means the Company’s 4.663% Senior Notes due 2030;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2030 Notes and the Additional 2030 Notes, if any, will be treated as a single Series for all purposes under this Supplemental Indenture, and unless the context otherwise requires, all references to the 2030 Notes will include the Initial 2030 Notes and any Additional 2030 Notes.</w:t>
      </w:r>
    </w:p>
    <w:p>
      <w:pPr>
        <w:spacing w:after="0" w:line="181" w:lineRule="exact"/>
        <w:rPr>
          <w:sz w:val="20"/>
          <w:szCs w:val="20"/>
          <w:color w:val="auto"/>
        </w:rPr>
      </w:pPr>
    </w:p>
    <w:p>
      <w:pPr>
        <w:ind w:right="22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2027 Notes</w:t>
      </w:r>
      <w:r>
        <w:rPr>
          <w:rFonts w:ascii="Arial" w:cs="Arial" w:eastAsia="Arial" w:hAnsi="Arial"/>
          <w:sz w:val="18"/>
          <w:szCs w:val="18"/>
          <w:color w:val="auto"/>
        </w:rPr>
        <w:t>” means any 2027 Notes (other than the Initial 2027 Notes) issued under this Supplemental Indenture in accordance with Section 2.3 hereof, as part of the same Series as the Initial 2027 Notes.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2030 Notes</w:t>
      </w:r>
      <w:r>
        <w:rPr>
          <w:rFonts w:ascii="Arial" w:cs="Arial" w:eastAsia="Arial" w:hAnsi="Arial"/>
          <w:sz w:val="18"/>
          <w:szCs w:val="18"/>
          <w:color w:val="auto"/>
        </w:rPr>
        <w:t>” means any 2030 Notes (other than the Initial 2030 Notes) issued under this Supplemental Indenture in accordance with Section 2.3 hereof, as part of the same Series as the Initial 2030 Notes.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Additional 2027 Notes and any Additional 2030 Notes, as applicable.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Debt</w:t>
      </w:r>
      <w:r>
        <w:rPr>
          <w:rFonts w:ascii="Arial" w:cs="Arial" w:eastAsia="Arial" w:hAnsi="Arial"/>
          <w:sz w:val="16"/>
          <w:szCs w:val="16"/>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w:t>
      </w:r>
    </w:p>
    <w:p>
      <w:pPr>
        <w:ind w:right="160"/>
        <w:spacing w:after="0" w:line="252" w:lineRule="auto"/>
        <w:rPr>
          <w:sz w:val="20"/>
          <w:szCs w:val="20"/>
          <w:color w:val="auto"/>
        </w:rPr>
      </w:pPr>
      <w:r>
        <w:rPr>
          <w:rFonts w:ascii="Arial" w:cs="Arial" w:eastAsia="Arial" w:hAnsi="Arial"/>
          <w:sz w:val="18"/>
          <w:szCs w:val="18"/>
          <w:color w:val="auto"/>
        </w:rPr>
        <w:t>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of Indebtedness relating thereto is included in clause (1) of this definition, provided further, in no event will the amount of any Indebtedness be required to be included in the calculation of Aggregate Debt more than once despite the fact more than one person is liable with respect to such Indebtedness and despite the fact such Indebtedness is secured by the assets of more than one person (for example, and for</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8" w:name="page49"/>
    <w:bookmarkEnd w:id="48"/>
    <w:p>
      <w:pPr>
        <w:spacing w:after="0" w:line="287" w:lineRule="auto"/>
        <w:rPr>
          <w:sz w:val="20"/>
          <w:szCs w:val="20"/>
          <w:color w:val="auto"/>
        </w:rPr>
      </w:pPr>
      <w:r>
        <w:rPr>
          <w:rFonts w:ascii="Arial" w:cs="Arial" w:eastAsia="Arial" w:hAnsi="Arial"/>
          <w:sz w:val="16"/>
          <w:szCs w:val="16"/>
          <w:color w:val="auto"/>
        </w:rPr>
        <w:t>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Attributable Debt</w:t>
      </w:r>
      <w:r>
        <w:rPr>
          <w:rFonts w:ascii="Arial" w:cs="Arial" w:eastAsia="Arial" w:hAnsi="Arial"/>
          <w:sz w:val="17"/>
          <w:szCs w:val="17"/>
          <w:color w:val="auto"/>
        </w:rPr>
        <w:t xml:space="preserve">” </w:t>
      </w:r>
      <w:r>
        <w:rPr>
          <w:rFonts w:ascii="Arial" w:cs="Arial" w:eastAsia="Arial" w:hAnsi="Arial"/>
          <w:sz w:val="16"/>
          <w:szCs w:val="16"/>
          <w:color w:val="auto"/>
        </w:rPr>
        <w:t>means in connection with a Sale and Lease Back Transaction the lesser of: (1) the fair value of the assets subject to such</w:t>
      </w:r>
      <w:r>
        <w:rPr>
          <w:rFonts w:ascii="Arial" w:cs="Arial" w:eastAsia="Arial" w:hAnsi="Arial"/>
          <w:sz w:val="17"/>
          <w:szCs w:val="17"/>
          <w:color w:val="auto"/>
        </w:rPr>
        <w:t xml:space="preserve"> </w:t>
      </w:r>
      <w:r>
        <w:rPr>
          <w:rFonts w:ascii="Arial" w:cs="Arial" w:eastAsia="Arial" w:hAnsi="Arial"/>
          <w:sz w:val="16"/>
          <w:szCs w:val="16"/>
          <w:color w:val="auto"/>
        </w:rPr>
        <w:t>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Below Investment Grade Rating Event</w:t>
      </w:r>
      <w:r>
        <w:rPr>
          <w:rFonts w:ascii="Arial" w:cs="Arial" w:eastAsia="Arial" w:hAnsi="Arial"/>
          <w:sz w:val="17"/>
          <w:szCs w:val="17"/>
          <w:color w:val="auto"/>
        </w:rPr>
        <w:t>” means</w:t>
      </w:r>
      <w:r>
        <w:rPr>
          <w:rFonts w:ascii="Arial" w:cs="Arial" w:eastAsia="Arial" w:hAnsi="Arial"/>
          <w:sz w:val="16"/>
          <w:szCs w:val="16"/>
          <w:color w:val="auto"/>
        </w:rPr>
        <w:t>, with respect to each Series of Notes, the rating on the Notes of such Series is lowered by two or more</w:t>
      </w:r>
      <w:r>
        <w:rPr>
          <w:rFonts w:ascii="Arial" w:cs="Arial" w:eastAsia="Arial" w:hAnsi="Arial"/>
          <w:sz w:val="17"/>
          <w:szCs w:val="17"/>
          <w:color w:val="auto"/>
        </w:rPr>
        <w:t xml:space="preserve"> </w:t>
      </w:r>
      <w:r>
        <w:rPr>
          <w:rFonts w:ascii="Arial" w:cs="Arial" w:eastAsia="Arial" w:hAnsi="Arial"/>
          <w:sz w:val="16"/>
          <w:szCs w:val="16"/>
          <w:color w:val="auto"/>
        </w:rPr>
        <w:t>of the Rating Agencies within 60 days from the earlier of (1) the date of the first public notice of an arrangement that could result in a Change of Control or</w:t>
      </w:r>
    </w:p>
    <w:p>
      <w:pPr>
        <w:spacing w:after="0" w:line="1" w:lineRule="exact"/>
        <w:rPr>
          <w:sz w:val="20"/>
          <w:szCs w:val="20"/>
          <w:color w:val="auto"/>
        </w:rPr>
      </w:pPr>
    </w:p>
    <w:p>
      <w:pPr>
        <w:ind w:right="40" w:firstLine="8"/>
        <w:spacing w:after="0" w:line="287"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occurrence of a Change of Control (which period shall be extended so long as the rating of such Series of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are rated Investment Grade by two or more of the Rating Agencies.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left="660" w:right="300" w:firstLine="645"/>
        <w:spacing w:after="0" w:line="277" w:lineRule="auto"/>
        <w:tabs>
          <w:tab w:leader="none" w:pos="19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660"/>
        <w:spacing w:after="0" w:line="269" w:lineRule="auto"/>
        <w:rPr>
          <w:sz w:val="20"/>
          <w:szCs w:val="20"/>
          <w:color w:val="auto"/>
        </w:rPr>
      </w:pPr>
      <w:r>
        <w:rPr>
          <w:rFonts w:ascii="Arial" w:cs="Arial" w:eastAsia="Arial" w:hAnsi="Arial"/>
          <w:sz w:val="17"/>
          <w:szCs w:val="17"/>
          <w:color w:val="auto"/>
        </w:rPr>
        <w:t>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80" w:lineRule="exact"/>
        <w:rPr>
          <w:sz w:val="20"/>
          <w:szCs w:val="20"/>
          <w:color w:val="auto"/>
        </w:rPr>
      </w:pPr>
    </w:p>
    <w:p>
      <w:pPr>
        <w:ind w:left="660" w:right="120" w:firstLine="645"/>
        <w:spacing w:after="0" w:line="257" w:lineRule="auto"/>
        <w:tabs>
          <w:tab w:leader="none" w:pos="19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means, with respect to a Series of Notes hereunder, the occurrence of both a Change of Control and a Below Investment Grade Rating Event.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Issue</w:t>
      </w:r>
      <w:r>
        <w:rPr>
          <w:rFonts w:ascii="Arial" w:cs="Arial" w:eastAsia="Arial" w:hAnsi="Arial"/>
          <w:sz w:val="18"/>
          <w:szCs w:val="18"/>
          <w:color w:val="auto"/>
        </w:rPr>
        <w:t>” means, with respect to any Notes to be redeemed, the United States Treasury security selected by the Reference Treasury Dealer as having an actual or interpolated maturity comparable to period from the redemption date to December 15, 2026, in the case of the 2027 Notes, and November 15, 2029, in the case of the 2030 Notes that would be utilized, at the time of selection and in accordance with customary financial practice, in pricing new issues of corporate debt securities of comparable maturity to the period from the redemption date to December 15, 2026, in the case of the 2027 Notes, and November 15, 2029, in the case of the 2030 Notes.</w:t>
      </w:r>
    </w:p>
    <w:p>
      <w:pPr>
        <w:spacing w:after="0" w:line="188"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xml:space="preserve">” means, </w:t>
      </w:r>
      <w:r>
        <w:rPr>
          <w:rFonts w:ascii="Arial" w:cs="Arial" w:eastAsia="Arial" w:hAnsi="Arial"/>
          <w:sz w:val="15"/>
          <w:szCs w:val="15"/>
          <w:color w:val="auto"/>
        </w:rPr>
        <w:t>with respect to any redemption date, (1) the arithmetic average, as determined by the Company, of the Reference</w:t>
      </w:r>
      <w:r>
        <w:rPr>
          <w:rFonts w:ascii="Arial" w:cs="Arial" w:eastAsia="Arial" w:hAnsi="Arial"/>
          <w:sz w:val="16"/>
          <w:szCs w:val="16"/>
          <w:color w:val="auto"/>
        </w:rPr>
        <w:t xml:space="preserve"> </w:t>
      </w:r>
      <w:r>
        <w:rPr>
          <w:rFonts w:ascii="Arial" w:cs="Arial" w:eastAsia="Arial" w:hAnsi="Arial"/>
          <w:sz w:val="15"/>
          <w:szCs w:val="15"/>
          <w:color w:val="auto"/>
        </w:rPr>
        <w:t>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Tangible Assets</w:t>
      </w:r>
      <w:r>
        <w:rPr>
          <w:rFonts w:ascii="Arial" w:cs="Arial" w:eastAsia="Arial" w:hAnsi="Arial"/>
          <w:sz w:val="18"/>
          <w:szCs w:val="18"/>
          <w:color w:val="auto"/>
        </w:rPr>
        <w:t xml:space="preserve">” </w:t>
      </w:r>
      <w:r>
        <w:rPr>
          <w:rFonts w:ascii="Arial" w:cs="Arial" w:eastAsia="Arial" w:hAnsi="Arial"/>
          <w:sz w:val="17"/>
          <w:szCs w:val="17"/>
          <w:color w:val="auto"/>
        </w:rPr>
        <w:t>means, with respect to any person, the total amount of assets of such person and its Consolidated Subsidiaries after</w:t>
      </w:r>
      <w:r>
        <w:rPr>
          <w:rFonts w:ascii="Arial" w:cs="Arial" w:eastAsia="Arial" w:hAnsi="Arial"/>
          <w:sz w:val="18"/>
          <w:szCs w:val="18"/>
          <w:color w:val="auto"/>
        </w:rPr>
        <w:t xml:space="preserve"> </w:t>
      </w:r>
      <w:r>
        <w:rPr>
          <w:rFonts w:ascii="Arial" w:cs="Arial" w:eastAsia="Arial" w:hAnsi="Arial"/>
          <w:sz w:val="17"/>
          <w:szCs w:val="17"/>
          <w:color w:val="auto"/>
        </w:rPr>
        <w:t>deducting therefrom (a) all current liabilities of such person and its Consolidated Subsidiaries (excluding (i) any notes or loans payable within 12 months, the current portion of long-term debt, the current portion of deferred revenue and of obligations under capital leases and, following the adoption of ASU 2016-02 — Leases, of operating and finance leases, and the portion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80"/>
        <w:spacing w:after="0" w:line="297" w:lineRule="auto"/>
        <w:rPr>
          <w:sz w:val="20"/>
          <w:szCs w:val="20"/>
          <w:color w:val="auto"/>
        </w:rPr>
      </w:pPr>
      <w:r>
        <w:rPr>
          <w:rFonts w:ascii="Arial" w:cs="Arial" w:eastAsia="Arial" w:hAnsi="Arial"/>
          <w:sz w:val="16"/>
          <w:szCs w:val="16"/>
          <w:color w:val="auto"/>
        </w:rPr>
        <w:t>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Definitive Note</w:t>
      </w:r>
      <w:r>
        <w:rPr>
          <w:rFonts w:ascii="Arial" w:cs="Arial" w:eastAsia="Arial" w:hAnsi="Arial"/>
          <w:sz w:val="17"/>
          <w:szCs w:val="17"/>
          <w:color w:val="auto"/>
        </w:rPr>
        <w:t xml:space="preserve">” means a certificated Note registered in the name of the Holder thereof and issued in accordance with Section 2.2 hereof,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except that such Note will not bear the Global Note Legend.</w:t>
      </w:r>
    </w:p>
    <w:p>
      <w:pPr>
        <w:spacing w:after="0" w:line="14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Credit Facilities</w:t>
      </w:r>
      <w:r>
        <w:rPr>
          <w:rFonts w:ascii="Arial" w:cs="Arial" w:eastAsia="Arial" w:hAnsi="Arial"/>
          <w:sz w:val="16"/>
          <w:szCs w:val="16"/>
          <w:color w:val="auto"/>
        </w:rPr>
        <w:t>” means (1) that certain Credit Agreement, dated as of April 26, 2016 (as the same may be amended, restated, modified or supplemented from time to time), by and among the Company, Morgan Stanley Senior Funding, Inc. as administrative agent and collateral agent, and the other agents party thereto and each financial institution party from time to time thereto, and (2) that certain Credit Agreement, dated as of July 3, 2018 (as the same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Global Notes</w:t>
      </w:r>
      <w:r>
        <w:rPr>
          <w:rFonts w:ascii="Arial" w:cs="Arial" w:eastAsia="Arial" w:hAnsi="Arial"/>
          <w:sz w:val="16"/>
          <w:szCs w:val="16"/>
          <w:color w:val="auto"/>
        </w:rPr>
        <w:t xml:space="preserve">” means, individually and collectively, (a) with respect to the 2027 Notes, each of the Global Notes,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 with respect to the 2030 Notes, each of the Global Notes,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 each case, issued in accordance with Section 2.1 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jc w:val="both"/>
        <w:ind w:right="180"/>
        <w:spacing w:after="0" w:line="286" w:lineRule="auto"/>
        <w:rPr>
          <w:sz w:val="20"/>
          <w:szCs w:val="20"/>
          <w:color w:val="auto"/>
        </w:rPr>
      </w:pPr>
      <w:r>
        <w:rPr>
          <w:rFonts w:ascii="Arial" w:cs="Arial" w:eastAsia="Arial" w:hAnsi="Arial"/>
          <w:sz w:val="17"/>
          <w:szCs w:val="17"/>
          <w:color w:val="auto"/>
        </w:rPr>
        <w:t>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960" w:hanging="655"/>
        <w:spacing w:after="0"/>
        <w:tabs>
          <w:tab w:leader="none" w:pos="1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2027 Notes</w:t>
      </w:r>
      <w:r>
        <w:rPr>
          <w:rFonts w:ascii="Arial" w:cs="Arial" w:eastAsia="Arial" w:hAnsi="Arial"/>
          <w:sz w:val="17"/>
          <w:szCs w:val="17"/>
          <w:color w:val="auto"/>
        </w:rPr>
        <w:t>” means the $900,000,000 aggregate principal amount of 2027 Notes issued under this Supplemental Indenture on the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2030 Notes</w:t>
      </w:r>
      <w:r>
        <w:rPr>
          <w:rFonts w:ascii="Arial" w:cs="Arial" w:eastAsia="Arial" w:hAnsi="Arial"/>
          <w:sz w:val="17"/>
          <w:szCs w:val="17"/>
          <w:color w:val="auto"/>
        </w:rPr>
        <w:t>” means the $850,000,000 aggregate principal amount of 2030 Notes issued under this Supplemental Indenture on the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80" w:firstLine="68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Grade</w:t>
      </w:r>
      <w:r>
        <w:rPr>
          <w:rFonts w:ascii="Arial" w:cs="Arial" w:eastAsia="Arial" w:hAnsi="Arial"/>
          <w:sz w:val="17"/>
          <w:szCs w:val="17"/>
          <w:color w:val="auto"/>
        </w:rPr>
        <w:t xml:space="preserve">” means </w:t>
      </w:r>
      <w:r>
        <w:rPr>
          <w:rFonts w:ascii="Arial" w:cs="Arial" w:eastAsia="Arial" w:hAnsi="Arial"/>
          <w:sz w:val="16"/>
          <w:szCs w:val="16"/>
          <w:color w:val="auto"/>
        </w:rPr>
        <w:t>a rating of BBB- or better by Fitch (or its equivalent under any successor rating categories of Fitch), Baa3 or better by</w:t>
      </w:r>
      <w:r>
        <w:rPr>
          <w:rFonts w:ascii="Arial" w:cs="Arial" w:eastAsia="Arial" w:hAnsi="Arial"/>
          <w:sz w:val="17"/>
          <w:szCs w:val="17"/>
          <w:color w:val="auto"/>
        </w:rPr>
        <w:t xml:space="preserve"> </w:t>
      </w:r>
      <w:r>
        <w:rPr>
          <w:rFonts w:ascii="Arial" w:cs="Arial" w:eastAsia="Arial" w:hAnsi="Arial"/>
          <w:sz w:val="16"/>
          <w:szCs w:val="16"/>
          <w:color w:val="auto"/>
        </w:rPr>
        <w:t>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r>
        <w:rPr>
          <w:rFonts w:ascii="Arial" w:cs="Arial" w:eastAsia="Arial" w:hAnsi="Arial"/>
          <w:sz w:val="17"/>
          <w:szCs w:val="17"/>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xml:space="preserve">” means Moody’s Investors Service, Inc. </w:t>
      </w:r>
      <w:r>
        <w:rPr>
          <w:rFonts w:ascii="Arial" w:cs="Arial" w:eastAsia="Arial" w:hAnsi="Arial"/>
          <w:sz w:val="17"/>
          <w:szCs w:val="17"/>
          <w:color w:val="auto"/>
        </w:rPr>
        <w:t>and any successor to its rating agency business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collectively, the 2027 Notes and the 2030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 Call Date</w:t>
      </w:r>
      <w:r>
        <w:rPr>
          <w:rFonts w:ascii="Arial" w:cs="Arial" w:eastAsia="Arial" w:hAnsi="Arial"/>
          <w:sz w:val="17"/>
          <w:szCs w:val="17"/>
          <w:color w:val="auto"/>
        </w:rPr>
        <w:t>” means (i) December 15, 2026, with respect to any 2027 Notes, and (ii) November 15, 2029, with respect to any 2030 Notes.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980" w:hanging="324"/>
        <w:spacing w:after="0" w:line="277" w:lineRule="auto"/>
        <w:tabs>
          <w:tab w:leader="none" w:pos="9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25" w:lineRule="exact"/>
        <w:rPr>
          <w:rFonts w:ascii="Arial" w:cs="Arial" w:eastAsia="Arial" w:hAnsi="Arial"/>
          <w:sz w:val="18"/>
          <w:szCs w:val="18"/>
          <w:color w:val="auto"/>
        </w:rPr>
      </w:pPr>
    </w:p>
    <w:p>
      <w:pPr>
        <w:ind w:left="980" w:right="40" w:hanging="324"/>
        <w:spacing w:after="0" w:line="255" w:lineRule="auto"/>
        <w:tabs>
          <w:tab w:leader="none" w:pos="9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93" w:lineRule="exact"/>
        <w:rPr>
          <w:rFonts w:ascii="Arial" w:cs="Arial" w:eastAsia="Arial" w:hAnsi="Arial"/>
          <w:sz w:val="18"/>
          <w:szCs w:val="18"/>
          <w:color w:val="auto"/>
        </w:rPr>
      </w:pPr>
    </w:p>
    <w:p>
      <w:pPr>
        <w:ind w:left="980" w:right="20" w:hanging="324"/>
        <w:spacing w:after="0" w:line="272" w:lineRule="auto"/>
        <w:tabs>
          <w:tab w:leader="none" w:pos="9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77" w:lineRule="exact"/>
        <w:rPr>
          <w:rFonts w:ascii="Arial" w:cs="Arial" w:eastAsia="Arial" w:hAnsi="Arial"/>
          <w:sz w:val="17"/>
          <w:szCs w:val="17"/>
          <w:color w:val="auto"/>
        </w:rPr>
      </w:pPr>
    </w:p>
    <w:p>
      <w:pPr>
        <w:jc w:val="both"/>
        <w:ind w:left="980" w:right="60" w:hanging="324"/>
        <w:spacing w:after="0" w:line="259" w:lineRule="auto"/>
        <w:tabs>
          <w:tab w:leader="none" w:pos="9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including, without limitation, any such Liens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left="324" w:right="140"/>
        <w:spacing w:after="0" w:line="291" w:lineRule="auto"/>
        <w:rPr>
          <w:sz w:val="20"/>
          <w:szCs w:val="20"/>
          <w:color w:val="auto"/>
        </w:rPr>
      </w:pPr>
      <w:r>
        <w:rPr>
          <w:rFonts w:ascii="Arial" w:cs="Arial" w:eastAsia="Arial" w:hAnsi="Arial"/>
          <w:sz w:val="16"/>
          <w:szCs w:val="16"/>
          <w:color w:val="auto"/>
        </w:rPr>
        <w:t>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67" w:lineRule="exact"/>
        <w:rPr>
          <w:sz w:val="20"/>
          <w:szCs w:val="20"/>
          <w:color w:val="auto"/>
        </w:rPr>
      </w:pPr>
    </w:p>
    <w:p>
      <w:pPr>
        <w:ind w:left="324" w:right="140" w:hanging="324"/>
        <w:spacing w:after="0" w:line="264" w:lineRule="auto"/>
        <w:tabs>
          <w:tab w:leader="none" w:pos="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25" w:lineRule="exact"/>
        <w:rPr>
          <w:rFonts w:ascii="Arial" w:cs="Arial" w:eastAsia="Arial" w:hAnsi="Arial"/>
          <w:sz w:val="18"/>
          <w:szCs w:val="18"/>
          <w:color w:val="auto"/>
        </w:rPr>
      </w:pPr>
    </w:p>
    <w:p>
      <w:pPr>
        <w:ind w:left="324" w:hanging="324"/>
        <w:spacing w:after="0" w:line="264" w:lineRule="auto"/>
        <w:tabs>
          <w:tab w:leader="none" w:pos="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81" w:lineRule="exact"/>
        <w:rPr>
          <w:rFonts w:ascii="Arial" w:cs="Arial" w:eastAsia="Arial" w:hAnsi="Arial"/>
          <w:sz w:val="18"/>
          <w:szCs w:val="18"/>
          <w:color w:val="auto"/>
        </w:rPr>
      </w:pPr>
    </w:p>
    <w:p>
      <w:pPr>
        <w:ind w:left="324" w:right="280" w:hanging="324"/>
        <w:spacing w:after="0" w:line="277" w:lineRule="auto"/>
        <w:tabs>
          <w:tab w:leader="none" w:pos="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ind w:left="324" w:right="200" w:hanging="324"/>
        <w:spacing w:after="0" w:line="255"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93" w:lineRule="exact"/>
        <w:rPr>
          <w:rFonts w:ascii="Arial" w:cs="Arial" w:eastAsia="Arial" w:hAnsi="Arial"/>
          <w:sz w:val="18"/>
          <w:szCs w:val="18"/>
          <w:color w:val="auto"/>
        </w:rPr>
      </w:pPr>
    </w:p>
    <w:p>
      <w:pPr>
        <w:ind w:left="324" w:right="180" w:hanging="324"/>
        <w:spacing w:after="0" w:line="302"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54" w:lineRule="exact"/>
        <w:rPr>
          <w:rFonts w:ascii="Arial" w:cs="Arial" w:eastAsia="Arial" w:hAnsi="Arial"/>
          <w:sz w:val="16"/>
          <w:szCs w:val="16"/>
          <w:color w:val="auto"/>
        </w:rPr>
      </w:pPr>
    </w:p>
    <w:p>
      <w:pPr>
        <w:ind w:left="324" w:right="160" w:hanging="324"/>
        <w:spacing w:after="0" w:line="342" w:lineRule="auto"/>
        <w:tabs>
          <w:tab w:leader="none" w:pos="6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Liens created, incurred or assumed in connection with an industrial revenue bond, pollution control bond or similar financing between the Company or any of its Subsidiary and any federal, state or municipal government or other government body or quasi-governmental agency;</w:t>
      </w:r>
    </w:p>
    <w:p>
      <w:pPr>
        <w:spacing w:after="0" w:line="123" w:lineRule="exact"/>
        <w:rPr>
          <w:rFonts w:ascii="Arial" w:cs="Arial" w:eastAsia="Arial" w:hAnsi="Arial"/>
          <w:sz w:val="16"/>
          <w:szCs w:val="16"/>
          <w:color w:val="auto"/>
        </w:rPr>
      </w:pPr>
    </w:p>
    <w:p>
      <w:pPr>
        <w:ind w:left="644" w:hanging="644"/>
        <w:spacing w:after="0"/>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4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54" w:name="page55"/>
    <w:bookmarkEnd w:id="54"/>
    <w:p>
      <w:pPr>
        <w:ind w:left="980" w:right="80" w:hanging="324"/>
        <w:spacing w:after="0" w:line="272" w:lineRule="auto"/>
        <w:tabs>
          <w:tab w:leader="none" w:pos="13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Property</w:t>
      </w:r>
      <w:r>
        <w:rPr>
          <w:rFonts w:ascii="Arial" w:cs="Arial" w:eastAsia="Arial" w:hAnsi="Arial"/>
          <w:sz w:val="18"/>
          <w:szCs w:val="18"/>
          <w:color w:val="auto"/>
        </w:rPr>
        <w:t xml:space="preserve">” </w:t>
      </w:r>
      <w:r>
        <w:rPr>
          <w:rFonts w:ascii="Arial" w:cs="Arial" w:eastAsia="Arial" w:hAnsi="Arial"/>
          <w:sz w:val="17"/>
          <w:szCs w:val="17"/>
          <w:color w:val="auto"/>
        </w:rPr>
        <w:t>means any single parcel (or group of contiguous parcels that comprise the same facility, office or plant) of real property or any</w:t>
      </w:r>
      <w:r>
        <w:rPr>
          <w:rFonts w:ascii="Arial" w:cs="Arial" w:eastAsia="Arial" w:hAnsi="Arial"/>
          <w:sz w:val="18"/>
          <w:szCs w:val="18"/>
          <w:color w:val="auto"/>
        </w:rPr>
        <w:t xml:space="preserve"> </w:t>
      </w:r>
      <w:r>
        <w:rPr>
          <w:rFonts w:ascii="Arial" w:cs="Arial" w:eastAsia="Arial" w:hAnsi="Arial"/>
          <w:sz w:val="17"/>
          <w:szCs w:val="17"/>
          <w:color w:val="auto"/>
        </w:rPr>
        <w:t>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87" w:lineRule="exact"/>
        <w:rPr>
          <w:sz w:val="20"/>
          <w:szCs w:val="20"/>
          <w:color w:val="auto"/>
        </w:rPr>
      </w:pPr>
    </w:p>
    <w:p>
      <w:pPr>
        <w:ind w:right="6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Rating Agency</w:t>
      </w:r>
      <w:r>
        <w:rPr>
          <w:rFonts w:ascii="Arial" w:cs="Arial" w:eastAsia="Arial" w:hAnsi="Arial"/>
          <w:sz w:val="17"/>
          <w:szCs w:val="17"/>
          <w:color w:val="auto"/>
        </w:rPr>
        <w:t xml:space="preserve">” </w:t>
      </w:r>
      <w:r>
        <w:rPr>
          <w:rFonts w:ascii="Arial" w:cs="Arial" w:eastAsia="Arial" w:hAnsi="Arial"/>
          <w:sz w:val="16"/>
          <w:szCs w:val="16"/>
          <w:color w:val="auto"/>
        </w:rPr>
        <w:t>means (1) each of Fitch, Moody’s and S&amp;P; and (2) if any of Fitch, Moody’s or S&amp;P ceases to rate the notes or fails to make a rating</w:t>
      </w:r>
      <w:r>
        <w:rPr>
          <w:rFonts w:ascii="Arial" w:cs="Arial" w:eastAsia="Arial" w:hAnsi="Arial"/>
          <w:sz w:val="17"/>
          <w:szCs w:val="17"/>
          <w:color w:val="auto"/>
        </w:rPr>
        <w:t xml:space="preserve"> </w:t>
      </w:r>
      <w:r>
        <w:rPr>
          <w:rFonts w:ascii="Arial" w:cs="Arial" w:eastAsia="Arial" w:hAnsi="Arial"/>
          <w:sz w:val="16"/>
          <w:szCs w:val="16"/>
          <w:color w:val="auto"/>
        </w:rPr>
        <w:t>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60"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xml:space="preserve">” </w:t>
      </w:r>
      <w:r>
        <w:rPr>
          <w:rFonts w:ascii="Arial" w:cs="Arial" w:eastAsia="Arial" w:hAnsi="Arial"/>
          <w:sz w:val="17"/>
          <w:szCs w:val="17"/>
          <w:color w:val="auto"/>
        </w:rPr>
        <w:t>means at least two primary U.S. Government securities dealers selected by the Company, which may include any of</w:t>
      </w:r>
      <w:r>
        <w:rPr>
          <w:rFonts w:ascii="Arial" w:cs="Arial" w:eastAsia="Arial" w:hAnsi="Arial"/>
          <w:sz w:val="18"/>
          <w:szCs w:val="18"/>
          <w:color w:val="auto"/>
        </w:rPr>
        <w:t xml:space="preserve"> </w:t>
      </w:r>
      <w:r>
        <w:rPr>
          <w:rFonts w:ascii="Arial" w:cs="Arial" w:eastAsia="Arial" w:hAnsi="Arial"/>
          <w:sz w:val="17"/>
          <w:szCs w:val="17"/>
          <w:color w:val="auto"/>
        </w:rPr>
        <w:t>Goldman Sachs &amp; Co. LLC, J.P. Morgan Securities LLC or Wells Fargo Securities,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82" w:lineRule="exact"/>
        <w:rPr>
          <w:sz w:val="20"/>
          <w:szCs w:val="20"/>
          <w:color w:val="auto"/>
        </w:rPr>
      </w:pPr>
    </w:p>
    <w:p>
      <w:pPr>
        <w:ind w:right="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w:t>
      </w:r>
      <w:r>
        <w:rPr>
          <w:rFonts w:ascii="Arial" w:cs="Arial" w:eastAsia="Arial" w:hAnsi="Arial"/>
          <w:sz w:val="18"/>
          <w:szCs w:val="18"/>
          <w:color w:val="auto"/>
        </w:rPr>
        <w:t xml:space="preserve">” </w:t>
      </w:r>
      <w:r>
        <w:rPr>
          <w:rFonts w:ascii="Arial" w:cs="Arial" w:eastAsia="Arial" w:hAnsi="Arial"/>
          <w:sz w:val="17"/>
          <w:szCs w:val="17"/>
          <w:color w:val="auto"/>
        </w:rPr>
        <w:t>means, on any redemption date, the arithmetic average, as determined by the Company, of the bid and asked</w:t>
      </w:r>
      <w:r>
        <w:rPr>
          <w:rFonts w:ascii="Arial" w:cs="Arial" w:eastAsia="Arial" w:hAnsi="Arial"/>
          <w:sz w:val="18"/>
          <w:szCs w:val="18"/>
          <w:color w:val="auto"/>
        </w:rPr>
        <w:t xml:space="preserve"> </w:t>
      </w:r>
      <w:r>
        <w:rPr>
          <w:rFonts w:ascii="Arial" w:cs="Arial" w:eastAsia="Arial" w:hAnsi="Arial"/>
          <w:sz w:val="17"/>
          <w:szCs w:val="17"/>
          <w:color w:val="auto"/>
        </w:rPr>
        <w:t>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Scheduled Payments</w:t>
      </w:r>
      <w:r>
        <w:rPr>
          <w:rFonts w:ascii="Arial" w:cs="Arial" w:eastAsia="Arial" w:hAnsi="Arial"/>
          <w:sz w:val="18"/>
          <w:szCs w:val="18"/>
          <w:color w:val="auto"/>
        </w:rPr>
        <w:t xml:space="preserve">” means, with respect to any Notes being redeemed, the sum of the present values of the remaining scheduled payments of the principal and interest thereon </w:t>
      </w:r>
      <w:r>
        <w:rPr>
          <w:rFonts w:ascii="Arial" w:cs="Arial" w:eastAsia="Arial" w:hAnsi="Arial"/>
          <w:sz w:val="17"/>
          <w:szCs w:val="17"/>
          <w:color w:val="auto"/>
        </w:rPr>
        <w:t>that would be due if such Notes matured on the applicable Par Call Date (exclusive of interest accrued to the date</w:t>
      </w:r>
      <w:r>
        <w:rPr>
          <w:rFonts w:ascii="Arial" w:cs="Arial" w:eastAsia="Arial" w:hAnsi="Arial"/>
          <w:sz w:val="18"/>
          <w:szCs w:val="18"/>
          <w:color w:val="auto"/>
        </w:rPr>
        <w:t xml:space="preserve"> </w:t>
      </w:r>
      <w:r>
        <w:rPr>
          <w:rFonts w:ascii="Arial" w:cs="Arial" w:eastAsia="Arial" w:hAnsi="Arial"/>
          <w:sz w:val="17"/>
          <w:szCs w:val="17"/>
          <w:color w:val="auto"/>
        </w:rPr>
        <w:t>of redemption), discounted to the date of redemption on a semi-annual basis (assuming a 360-day year consisting of twelve 30-day months) at the then current Treasury Rate plus 35 basis points for the 2027 Notes and 40 basis points for the 2030 Notes</w:t>
      </w:r>
      <w:r>
        <w:rPr>
          <w:rFonts w:ascii="Arial" w:cs="Arial" w:eastAsia="Arial" w:hAnsi="Arial"/>
          <w:sz w:val="18"/>
          <w:szCs w:val="18"/>
          <w:color w:val="auto"/>
        </w:rPr>
        <w:t>.</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Subsidiary</w:t>
      </w:r>
      <w:r>
        <w:rPr>
          <w:rFonts w:ascii="Arial" w:cs="Arial" w:eastAsia="Arial" w:hAnsi="Arial"/>
          <w:sz w:val="18"/>
          <w:szCs w:val="18"/>
          <w:color w:val="auto"/>
        </w:rPr>
        <w:t>” shall mean each Subsidiary of the Company (1) that is organized or existing under the laws of the United States, any state thereof or the District of Columbia other than any such</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5" w:name="page56"/>
    <w:bookmarkEnd w:id="55"/>
    <w:p>
      <w:pPr>
        <w:ind w:right="80"/>
        <w:spacing w:after="0" w:line="259" w:lineRule="auto"/>
        <w:rPr>
          <w:sz w:val="20"/>
          <w:szCs w:val="20"/>
          <w:color w:val="auto"/>
        </w:rPr>
      </w:pPr>
      <w:r>
        <w:rPr>
          <w:rFonts w:ascii="Arial" w:cs="Arial" w:eastAsia="Arial" w:hAnsi="Arial"/>
          <w:sz w:val="18"/>
          <w:szCs w:val="18"/>
          <w:color w:val="auto"/>
        </w:rPr>
        <w:t>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xml:space="preserve">” </w:t>
      </w:r>
      <w:r>
        <w:rPr>
          <w:rFonts w:ascii="Arial" w:cs="Arial" w:eastAsia="Arial" w:hAnsi="Arial"/>
          <w:sz w:val="17"/>
          <w:szCs w:val="17"/>
          <w:color w:val="auto"/>
        </w:rPr>
        <w:t>means S&amp;P Global Ratings, and any successor to its rating agency business.</w:t>
      </w:r>
    </w:p>
    <w:p>
      <w:pPr>
        <w:spacing w:after="0" w:line="225" w:lineRule="exact"/>
        <w:rPr>
          <w:sz w:val="20"/>
          <w:szCs w:val="20"/>
          <w:color w:val="auto"/>
        </w:rPr>
      </w:pPr>
    </w:p>
    <w:p>
      <w:pPr>
        <w:ind w:right="12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xml:space="preserve">” </w:t>
      </w:r>
      <w:r>
        <w:rPr>
          <w:rFonts w:ascii="Arial" w:cs="Arial" w:eastAsia="Arial" w:hAnsi="Arial"/>
          <w:sz w:val="17"/>
          <w:szCs w:val="17"/>
          <w:color w:val="auto"/>
        </w:rPr>
        <w:t>means an arrangement with any lender or investor or to which such lender or investor is a party providing for the</w:t>
      </w:r>
      <w:r>
        <w:rPr>
          <w:rFonts w:ascii="Arial" w:cs="Arial" w:eastAsia="Arial" w:hAnsi="Arial"/>
          <w:sz w:val="18"/>
          <w:szCs w:val="18"/>
          <w:color w:val="auto"/>
        </w:rPr>
        <w:t xml:space="preserve"> </w:t>
      </w:r>
      <w:r>
        <w:rPr>
          <w:rFonts w:ascii="Arial" w:cs="Arial" w:eastAsia="Arial" w:hAnsi="Arial"/>
          <w:sz w:val="17"/>
          <w:szCs w:val="17"/>
          <w:color w:val="auto"/>
        </w:rPr>
        <w:t>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xml:space="preserve">” shall have the meaning assigned to it in the Base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the 2027 Notes and the 2030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Second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8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xml:space="preserve">” </w:t>
      </w:r>
      <w:r>
        <w:rPr>
          <w:rFonts w:ascii="Arial" w:cs="Arial" w:eastAsia="Arial" w:hAnsi="Arial"/>
          <w:sz w:val="17"/>
          <w:szCs w:val="17"/>
          <w:color w:val="auto"/>
        </w:rPr>
        <w:t>means, with respect to any redemption date, the rate per annum equal to the semi-annual equivalent yield to maturity (computed as of</w:t>
      </w:r>
      <w:r>
        <w:rPr>
          <w:rFonts w:ascii="Arial" w:cs="Arial" w:eastAsia="Arial" w:hAnsi="Arial"/>
          <w:sz w:val="18"/>
          <w:szCs w:val="18"/>
          <w:color w:val="auto"/>
        </w:rPr>
        <w:t xml:space="preserve"> </w:t>
      </w:r>
      <w:r>
        <w:rPr>
          <w:rFonts w:ascii="Arial" w:cs="Arial" w:eastAsia="Arial" w:hAnsi="Arial"/>
          <w:sz w:val="17"/>
          <w:szCs w:val="17"/>
          <w:color w:val="auto"/>
        </w:rPr>
        <w:t>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79" w:lineRule="exact"/>
        <w:rPr>
          <w:sz w:val="20"/>
          <w:szCs w:val="20"/>
          <w:color w:val="auto"/>
        </w:rPr>
      </w:pPr>
    </w:p>
    <w:p>
      <w:pPr>
        <w:ind w:right="340" w:firstLine="690"/>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Stock</w:t>
      </w:r>
      <w:r>
        <w:rPr>
          <w:rFonts w:ascii="Arial" w:cs="Arial" w:eastAsia="Arial" w:hAnsi="Arial"/>
          <w:sz w:val="17"/>
          <w:szCs w:val="17"/>
          <w:color w:val="auto"/>
        </w:rPr>
        <w:t xml:space="preserve">” </w:t>
      </w:r>
      <w:r>
        <w:rPr>
          <w:rFonts w:ascii="Arial" w:cs="Arial" w:eastAsia="Arial" w:hAnsi="Arial"/>
          <w:sz w:val="16"/>
          <w:szCs w:val="16"/>
          <w:color w:val="auto"/>
        </w:rPr>
        <w:t>of a person means all classes of capital stock or other interests (including partnership interests) of such person then outstanding and</w:t>
      </w:r>
      <w:r>
        <w:rPr>
          <w:rFonts w:ascii="Arial" w:cs="Arial" w:eastAsia="Arial" w:hAnsi="Arial"/>
          <w:sz w:val="17"/>
          <w:szCs w:val="17"/>
          <w:color w:val="auto"/>
        </w:rPr>
        <w:t xml:space="preserve"> </w:t>
      </w:r>
      <w:r>
        <w:rPr>
          <w:rFonts w:ascii="Arial" w:cs="Arial" w:eastAsia="Arial" w:hAnsi="Arial"/>
          <w:sz w:val="16"/>
          <w:szCs w:val="16"/>
          <w:color w:val="auto"/>
        </w:rPr>
        <w:t>normally entitled (without regard to the occurrence of any contingency) to vote in the election of directors, managers or trustees thereof.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i w:val="1"/>
          <w:iCs w:val="1"/>
          <w:color w:val="auto"/>
        </w:rPr>
        <w:t>Other Definitions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9140" w:type="dxa"/>
            <w:vAlign w:val="bottom"/>
            <w:gridSpan w:val="2"/>
            <w:vMerge w:val="continue"/>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210"/>
        </w:trPr>
        <w:tc>
          <w:tcPr>
            <w:tcW w:w="8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“Change of Control Purchase Date”</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Purchase Price”</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“DTC”</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“Expiration Date”</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“Offer to Purchase”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“Second Change of Control Purchase Date”</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Form and Dating</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2027 Notes and the Trustee’s certificate of authentication with respect thereto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2030 Notes and the Trustee’s certificate of authentication with respect thereto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87"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25" w:lineRule="exact"/>
        <w:rPr>
          <w:rFonts w:ascii="Arial" w:cs="Arial" w:eastAsia="Arial" w:hAnsi="Arial"/>
          <w:sz w:val="18"/>
          <w:szCs w:val="18"/>
          <w:color w:val="auto"/>
        </w:rPr>
      </w:pPr>
    </w:p>
    <w:p>
      <w:pPr>
        <w:ind w:right="20" w:firstLine="1953"/>
        <w:spacing w:after="0" w:line="264" w:lineRule="auto"/>
        <w:tabs>
          <w:tab w:leader="none" w:pos="2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2027 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2027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181" w:lineRule="exact"/>
        <w:rPr>
          <w:rFonts w:ascii="Arial" w:cs="Arial" w:eastAsia="Arial" w:hAnsi="Arial"/>
          <w:sz w:val="18"/>
          <w:szCs w:val="18"/>
          <w:color w:val="auto"/>
        </w:rPr>
      </w:pPr>
    </w:p>
    <w:p>
      <w:pPr>
        <w:ind w:right="20" w:firstLine="1953"/>
        <w:spacing w:after="0" w:line="264" w:lineRule="auto"/>
        <w:tabs>
          <w:tab w:leader="none" w:pos="2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2030 Notes issued in global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(including the Global Note Legend thereon). 2030 Notes issued in definitive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(but without the Global Note Legend thereon).</w:t>
      </w:r>
    </w:p>
    <w:p>
      <w:pPr>
        <w:spacing w:after="0" w:line="181" w:lineRule="exact"/>
        <w:rPr>
          <w:rFonts w:ascii="Arial" w:cs="Arial" w:eastAsia="Arial" w:hAnsi="Arial"/>
          <w:sz w:val="18"/>
          <w:szCs w:val="18"/>
          <w:color w:val="auto"/>
        </w:rPr>
      </w:pPr>
    </w:p>
    <w:p>
      <w:pPr>
        <w:ind w:right="20" w:firstLine="1953"/>
        <w:spacing w:after="0" w:line="293" w:lineRule="auto"/>
        <w:tabs>
          <w:tab w:leader="none" w:pos="26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to act as Depositary with respect to the Global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305"/>
        <w:spacing w:after="0" w:line="259" w:lineRule="auto"/>
        <w:tabs>
          <w:tab w:leader="none" w:pos="194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A Global Note may not be transferred as a whole except by the Depositary to a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spacing w:after="0" w:line="187" w:lineRule="exact"/>
        <w:rPr>
          <w:sz w:val="20"/>
          <w:szCs w:val="20"/>
          <w:color w:val="auto"/>
        </w:rPr>
      </w:pPr>
    </w:p>
    <w:p>
      <w:pPr>
        <w:ind w:firstLine="1305"/>
        <w:spacing w:after="0" w:line="264" w:lineRule="auto"/>
        <w:tabs>
          <w:tab w:leader="none" w:pos="19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81"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Event of Default has occurred and the Trustee has received a written request from DTC that the Global Notes of such Series (in whole but not in part) should be exchanged for Definitive Notes;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in its sole discretion and subject to the procedures of the Depositary determines that the Global Notes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(in whole but not in part) should be exchanged for Definitive Notes and delivers a written notice to such effect to the Trustee.</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Upon the occurrence of either of the preceding events in (1), (2) or (3)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65" w:lineRule="exact"/>
        <w:rPr>
          <w:sz w:val="20"/>
          <w:szCs w:val="20"/>
          <w:color w:val="auto"/>
        </w:rPr>
      </w:pPr>
    </w:p>
    <w:p>
      <w:pPr>
        <w:jc w:val="both"/>
        <w:ind w:right="120" w:firstLine="1305"/>
        <w:spacing w:after="0" w:line="259" w:lineRule="auto"/>
        <w:tabs>
          <w:tab w:leader="none" w:pos="1952"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right="40" w:firstLine="1953"/>
        <w:spacing w:after="0" w:line="264" w:lineRule="auto"/>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 transferred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take delivery thereof in the form of a beneficial interest in a Global Note. No written orders or instructions will be required to be delivered to the Registrar to effect the transfers described in this Section 2.2(b)(1).</w:t>
      </w:r>
    </w:p>
    <w:p>
      <w:pPr>
        <w:spacing w:after="0" w:line="181" w:lineRule="exact"/>
        <w:rPr>
          <w:rFonts w:ascii="Arial" w:cs="Arial" w:eastAsia="Arial" w:hAnsi="Arial"/>
          <w:sz w:val="18"/>
          <w:szCs w:val="18"/>
          <w:color w:val="auto"/>
        </w:rPr>
      </w:pPr>
    </w:p>
    <w:p>
      <w:pPr>
        <w:jc w:val="both"/>
        <w:ind w:right="20" w:firstLine="1953"/>
        <w:spacing w:after="0" w:line="264" w:lineRule="auto"/>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 exchanges</w:t>
      </w:r>
      <w:r>
        <w:rPr>
          <w:rFonts w:ascii="Arial" w:cs="Arial" w:eastAsia="Arial" w:hAnsi="Arial"/>
          <w:sz w:val="18"/>
          <w:szCs w:val="18"/>
          <w:i w:val="1"/>
          <w:iCs w:val="1"/>
          <w:color w:val="auto"/>
        </w:rPr>
        <w:t xml:space="preserve"> </w:t>
      </w:r>
      <w:r>
        <w:rPr>
          <w:rFonts w:ascii="Arial" w:cs="Arial" w:eastAsia="Arial" w:hAnsi="Arial"/>
          <w:sz w:val="18"/>
          <w:szCs w:val="18"/>
          <w:color w:val="auto"/>
        </w:rPr>
        <w:t>of beneficial interests with respect to a Series of Notes that are not subject to Section 2.2(b)(1) above, the transferor of such beneficial interest must deliver to the Registrar:</w:t>
      </w:r>
    </w:p>
    <w:p>
      <w:pPr>
        <w:spacing w:after="0" w:line="181" w:lineRule="exact"/>
        <w:rPr>
          <w:rFonts w:ascii="Arial" w:cs="Arial" w:eastAsia="Arial" w:hAnsi="Arial"/>
          <w:sz w:val="18"/>
          <w:szCs w:val="18"/>
          <w:color w:val="auto"/>
        </w:rPr>
      </w:pPr>
    </w:p>
    <w:p>
      <w:pPr>
        <w:ind w:right="480" w:firstLine="2601"/>
        <w:spacing w:after="0" w:line="264" w:lineRule="auto"/>
        <w:tabs>
          <w:tab w:leader="none" w:pos="3263" w:val="left"/>
        </w:tabs>
        <w:numPr>
          <w:ilvl w:val="2"/>
          <w:numId w:val="5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right="780" w:firstLine="2601"/>
        <w:spacing w:after="0" w:line="277" w:lineRule="auto"/>
        <w:tabs>
          <w:tab w:leader="none" w:pos="32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spacing w:after="0" w:line="181" w:lineRule="exact"/>
        <w:rPr>
          <w:sz w:val="20"/>
          <w:szCs w:val="20"/>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spacing w:after="0" w:line="187" w:lineRule="exact"/>
        <w:rPr>
          <w:sz w:val="20"/>
          <w:szCs w:val="20"/>
          <w:color w:val="auto"/>
        </w:rPr>
      </w:pPr>
    </w:p>
    <w:p>
      <w:pPr>
        <w:ind w:right="80" w:firstLine="1305"/>
        <w:spacing w:after="0" w:line="273" w:lineRule="auto"/>
        <w:tabs>
          <w:tab w:leader="none" w:pos="1952"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Transfer and Exchange of Definitive Notes for Definitive Notes</w:t>
      </w:r>
      <w:r>
        <w:rPr>
          <w:rFonts w:ascii="Arial" w:cs="Arial" w:eastAsia="Arial" w:hAnsi="Arial"/>
          <w:sz w:val="17"/>
          <w:szCs w:val="17"/>
          <w:color w:val="auto"/>
        </w:rPr>
        <w:t>. A Holder of Definitive Notes may transfer such Notes to a person</w:t>
      </w:r>
      <w:r>
        <w:rPr>
          <w:rFonts w:ascii="Arial" w:cs="Arial" w:eastAsia="Arial" w:hAnsi="Arial"/>
          <w:sz w:val="17"/>
          <w:szCs w:val="17"/>
          <w:i w:val="1"/>
          <w:iCs w:val="1"/>
          <w:color w:val="auto"/>
        </w:rPr>
        <w:t xml:space="preserve"> </w:t>
      </w:r>
      <w:r>
        <w:rPr>
          <w:rFonts w:ascii="Arial" w:cs="Arial" w:eastAsia="Arial" w:hAnsi="Arial"/>
          <w:sz w:val="17"/>
          <w:szCs w:val="17"/>
          <w:color w:val="auto"/>
        </w:rPr>
        <w:t>who 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78" w:lineRule="exact"/>
        <w:rPr>
          <w:rFonts w:ascii="Arial" w:cs="Arial" w:eastAsia="Arial" w:hAnsi="Arial"/>
          <w:sz w:val="17"/>
          <w:szCs w:val="17"/>
          <w:color w:val="auto"/>
        </w:rPr>
      </w:pPr>
    </w:p>
    <w:p>
      <w:pPr>
        <w:ind w:right="500" w:firstLine="1305"/>
        <w:spacing w:after="0" w:line="277"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Supplemental Indenture.</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w:t>
      </w:r>
    </w:p>
    <w:p>
      <w:pPr>
        <w:spacing w:after="0" w:line="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(IV) THIS GLOBAL NOTE MAY BE TRANSFERRED TO A SUCCESSOR DEPOSITARY WITH THE PRIOR WRITTEN CONSENT OF THE COMPANY HEREINAFTER REFERRED TO.</w:t>
      </w:r>
    </w:p>
    <w:p>
      <w:pPr>
        <w:spacing w:after="0" w:line="184"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ind w:right="20"/>
        <w:spacing w:after="0" w:line="253" w:lineRule="auto"/>
        <w:rPr>
          <w:sz w:val="20"/>
          <w:szCs w:val="20"/>
          <w:color w:val="auto"/>
        </w:rPr>
      </w:pPr>
      <w:r>
        <w:rPr>
          <w:rFonts w:ascii="Arial" w:cs="Arial" w:eastAsia="Arial" w:hAnsi="Arial"/>
          <w:sz w:val="18"/>
          <w:szCs w:val="18"/>
          <w:color w:val="auto"/>
        </w:rPr>
        <w:t>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1" w:lineRule="exact"/>
        <w:rPr>
          <w:sz w:val="20"/>
          <w:szCs w:val="20"/>
          <w:color w:val="auto"/>
        </w:rPr>
      </w:pPr>
    </w:p>
    <w:p>
      <w:pPr>
        <w:ind w:firstLine="1305"/>
        <w:spacing w:after="0" w:line="253" w:lineRule="auto"/>
        <w:tabs>
          <w:tab w:leader="none" w:pos="194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7" w:lineRule="exact"/>
        <w:rPr>
          <w:rFonts w:ascii="Arial" w:cs="Arial" w:eastAsia="Arial" w:hAnsi="Arial"/>
          <w:sz w:val="18"/>
          <w:szCs w:val="18"/>
          <w:color w:val="auto"/>
        </w:rPr>
      </w:pPr>
    </w:p>
    <w:p>
      <w:pPr>
        <w:ind w:left="1980" w:hanging="675"/>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right="300" w:firstLine="1953"/>
        <w:spacing w:after="0" w:line="277" w:lineRule="auto"/>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0" w:lineRule="exact"/>
        <w:rPr>
          <w:rFonts w:ascii="Arial" w:cs="Arial" w:eastAsia="Arial" w:hAnsi="Arial"/>
          <w:sz w:val="18"/>
          <w:szCs w:val="18"/>
          <w:color w:val="auto"/>
        </w:rPr>
      </w:pPr>
    </w:p>
    <w:p>
      <w:pPr>
        <w:ind w:right="20" w:firstLine="1953"/>
        <w:spacing w:after="0" w:line="288" w:lineRule="auto"/>
        <w:tabs>
          <w:tab w:leader="none" w:pos="26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w:t>
      </w:r>
    </w:p>
    <w:p>
      <w:pPr>
        <w:spacing w:after="0"/>
        <w:rPr>
          <w:rFonts w:ascii="Arial" w:cs="Arial" w:eastAsia="Arial" w:hAnsi="Arial"/>
          <w:sz w:val="16"/>
          <w:szCs w:val="16"/>
          <w:color w:val="auto"/>
        </w:rPr>
      </w:pPr>
      <w:r>
        <w:rPr>
          <w:rFonts w:ascii="Arial" w:cs="Arial" w:eastAsia="Arial" w:hAnsi="Arial"/>
          <w:sz w:val="18"/>
          <w:szCs w:val="18"/>
          <w:color w:val="auto"/>
        </w:rPr>
        <w:t>Section 2.11, Section 3.6 and Section 9.6 of the Base Indenture).</w:t>
      </w:r>
    </w:p>
    <w:p>
      <w:pPr>
        <w:spacing w:after="0" w:line="210" w:lineRule="exact"/>
        <w:rPr>
          <w:rFonts w:ascii="Arial" w:cs="Arial" w:eastAsia="Arial" w:hAnsi="Arial"/>
          <w:sz w:val="16"/>
          <w:szCs w:val="16"/>
          <w:color w:val="auto"/>
        </w:rPr>
      </w:pPr>
    </w:p>
    <w:p>
      <w:pPr>
        <w:ind w:right="100" w:firstLine="1953"/>
        <w:spacing w:after="0" w:line="277" w:lineRule="auto"/>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right="80" w:firstLine="1953"/>
        <w:spacing w:after="0" w:line="264" w:lineRule="auto"/>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right="300" w:firstLine="1953"/>
        <w:spacing w:after="0" w:line="277" w:lineRule="auto"/>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elects to redeem or make an Offer to Purchase with respect to a Series of Notes hereunder, neither the Company nor the Trustee will be required to:</w:t>
      </w:r>
    </w:p>
    <w:p>
      <w:pPr>
        <w:spacing w:after="0" w:line="170" w:lineRule="exact"/>
        <w:rPr>
          <w:rFonts w:ascii="Arial" w:cs="Arial" w:eastAsia="Arial" w:hAnsi="Arial"/>
          <w:sz w:val="18"/>
          <w:szCs w:val="18"/>
          <w:color w:val="auto"/>
        </w:rPr>
      </w:pPr>
    </w:p>
    <w:p>
      <w:pPr>
        <w:ind w:firstLine="2601"/>
        <w:spacing w:after="0" w:line="264" w:lineRule="auto"/>
        <w:tabs>
          <w:tab w:leader="none" w:pos="326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181" w:lineRule="exact"/>
        <w:rPr>
          <w:rFonts w:ascii="Arial" w:cs="Arial" w:eastAsia="Arial" w:hAnsi="Arial"/>
          <w:sz w:val="18"/>
          <w:szCs w:val="18"/>
          <w:color w:val="auto"/>
        </w:rPr>
      </w:pPr>
    </w:p>
    <w:p>
      <w:pPr>
        <w:ind w:right="100" w:firstLine="2601"/>
        <w:spacing w:after="0" w:line="342" w:lineRule="auto"/>
        <w:tabs>
          <w:tab w:leader="none" w:pos="3272"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register the transfer of or to exchange any Note of such Series so selected for redemption or subject to purchase in such Offer to Purchase in whole or in part, except the unredeemed portion of any Note of such Series being redeemed or purchased in part; or</w:t>
      </w:r>
    </w:p>
    <w:p>
      <w:pPr>
        <w:spacing w:after="0" w:line="123" w:lineRule="exact"/>
        <w:rPr>
          <w:rFonts w:ascii="Arial" w:cs="Arial" w:eastAsia="Arial" w:hAnsi="Arial"/>
          <w:sz w:val="16"/>
          <w:szCs w:val="16"/>
          <w:color w:val="auto"/>
        </w:rPr>
      </w:pPr>
    </w:p>
    <w:p>
      <w:pPr>
        <w:ind w:right="20" w:firstLine="2601"/>
        <w:spacing w:after="0" w:line="264" w:lineRule="auto"/>
        <w:tabs>
          <w:tab w:leader="none" w:pos="32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of or exchange a Note of such Series on or after the regular record date and before the date of redemption or purchase.</w:t>
      </w:r>
    </w:p>
    <w:p>
      <w:pPr>
        <w:spacing w:after="0" w:line="181" w:lineRule="exact"/>
        <w:rPr>
          <w:rFonts w:ascii="Arial" w:cs="Arial" w:eastAsia="Arial" w:hAnsi="Arial"/>
          <w:sz w:val="18"/>
          <w:szCs w:val="18"/>
          <w:color w:val="auto"/>
        </w:rPr>
      </w:pPr>
    </w:p>
    <w:p>
      <w:pPr>
        <w:ind w:firstLine="1953"/>
        <w:spacing w:after="0" w:line="259" w:lineRule="auto"/>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will authenticate Global Notes and Definitive Notes in accordance with the provisions of Section 2.3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Base Indenture.</w:t>
      </w:r>
    </w:p>
    <w:p>
      <w:pPr>
        <w:spacing w:after="0" w:line="210" w:lineRule="exact"/>
        <w:rPr>
          <w:rFonts w:ascii="Arial" w:cs="Arial" w:eastAsia="Arial" w:hAnsi="Arial"/>
          <w:sz w:val="16"/>
          <w:szCs w:val="16"/>
          <w:color w:val="auto"/>
        </w:rPr>
      </w:pPr>
    </w:p>
    <w:p>
      <w:pPr>
        <w:ind w:left="2600" w:hanging="647"/>
        <w:spacing w:after="0"/>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1953"/>
        <w:spacing w:after="0" w:line="277" w:lineRule="auto"/>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170" w:lineRule="exact"/>
        <w:rPr>
          <w:rFonts w:ascii="Arial" w:cs="Arial" w:eastAsia="Arial" w:hAnsi="Arial"/>
          <w:sz w:val="18"/>
          <w:szCs w:val="18"/>
          <w:color w:val="auto"/>
        </w:rPr>
      </w:pPr>
    </w:p>
    <w:p>
      <w:pPr>
        <w:ind w:right="240" w:firstLine="1953"/>
        <w:spacing w:after="0" w:line="302" w:lineRule="auto"/>
        <w:tabs>
          <w:tab w:leader="none" w:pos="259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154" w:lineRule="exact"/>
        <w:rPr>
          <w:rFonts w:ascii="Arial" w:cs="Arial" w:eastAsia="Arial" w:hAnsi="Arial"/>
          <w:sz w:val="16"/>
          <w:szCs w:val="16"/>
          <w:color w:val="auto"/>
        </w:rPr>
      </w:pPr>
    </w:p>
    <w:p>
      <w:pPr>
        <w:ind w:left="2600" w:hanging="647"/>
        <w:spacing w:after="0"/>
        <w:tabs>
          <w:tab w:leader="none" w:pos="2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Neither the Trustee nor any Agent shall have any responsibility for any actions taken or not taken by the Depositary.</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2.3.</w:t>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ind w:right="100" w:firstLine="1305"/>
        <w:spacing w:after="0" w:line="302" w:lineRule="auto"/>
        <w:tabs>
          <w:tab w:leader="none" w:pos="194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2027 Notes under this Supplemental Indenture which will have identical terms as the Initial 2027 Notes issued on the date hereof, other than with respect to the date of issuance and issue price and, if applicable, the first Interest Payment Date and the initial interest accrual date. The Initial 2027 Notes issued on the date hereof and any Additional 2027 Notes issued will be treated as a single Series for all purposes under this Supplemental Indenture.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right="120" w:firstLine="1305"/>
        <w:spacing w:after="0" w:line="302" w:lineRule="auto"/>
        <w:tabs>
          <w:tab w:leader="none" w:pos="19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2030 Notes under this Supplemental Indenture which will have identical terms as the Initial 2030 Notes issued on the date hereof, other than with respect to the date of issuance and issue price and, if applicable, the first Interest Payment Date and the initial interest accrual date. The Initial 2030 Notes issued on the date hereof and any Additional 2030 Notes issued will be treated as a single Series for all purposes under this Supplemental Indenture.</w:t>
      </w:r>
    </w:p>
    <w:p>
      <w:pPr>
        <w:spacing w:after="0" w:line="154" w:lineRule="exact"/>
        <w:rPr>
          <w:rFonts w:ascii="Arial" w:cs="Arial" w:eastAsia="Arial" w:hAnsi="Arial"/>
          <w:sz w:val="16"/>
          <w:szCs w:val="16"/>
          <w:color w:val="auto"/>
        </w:rPr>
      </w:pPr>
    </w:p>
    <w:p>
      <w:pPr>
        <w:ind w:firstLine="1305"/>
        <w:spacing w:after="0" w:line="264"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(i) supplemental indenture or (ii) in resolution of its Board of Directors (or a duly authorized committee thereof) or of a designee thereof and an Officer’s Certificate, a copy of each which will be delivered to the Trustee, the following information:</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aggregate principal amount of such Additional Notes to be authenticated and delivered pursuant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Supplemental Indenture; and</w:t>
      </w:r>
    </w:p>
    <w:p>
      <w:pPr>
        <w:spacing w:after="0" w:line="210" w:lineRule="exact"/>
        <w:rPr>
          <w:rFonts w:ascii="Arial" w:cs="Arial" w:eastAsia="Arial" w:hAnsi="Arial"/>
          <w:sz w:val="17"/>
          <w:szCs w:val="17"/>
          <w:color w:val="auto"/>
        </w:rPr>
      </w:pPr>
    </w:p>
    <w:p>
      <w:pPr>
        <w:ind w:left="3280" w:hanging="679"/>
        <w:spacing w:after="0"/>
        <w:tabs>
          <w:tab w:leader="none" w:pos="32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issue price, the issue date, the CUSIP number(s), the first Interest Payment Date and the initial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accrual date of such Additional Notes.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the avoidance of doubt, the issuance of Additional Notes pursuant to this Section 2.3 is subject to Section 2.3 of the Base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ind w:right="40" w:firstLine="1305"/>
        <w:spacing w:after="0" w:line="277"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Additional Notes of a Series issued pursuant to this Section 2.3 shall only bear the same CUSIP number as any existing Notes of such Series if they would be fungible for United States tax purposes with such existing Notes of that Series.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180" w:firstLine="1305"/>
        <w:spacing w:after="0" w:line="286" w:lineRule="auto"/>
        <w:tabs>
          <w:tab w:leader="none" w:pos="1942"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2027 Notes</w:t>
      </w:r>
      <w:r>
        <w:rPr>
          <w:rFonts w:ascii="Arial" w:cs="Arial" w:eastAsia="Arial" w:hAnsi="Arial"/>
          <w:sz w:val="17"/>
          <w:szCs w:val="17"/>
          <w:color w:val="auto"/>
        </w:rPr>
        <w:t>. Prior to the Par Call Date, the Company will have the right, at its option, to redeem the 2027 Notes,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either in whole or in part, at a redemption price as calculated by the Company equal to the greater of the following amounts, plus, in each case, accrued and unpaid interest, if any, on the amount being redeemed to, but excluding, the date of redemption:</w:t>
      </w:r>
    </w:p>
    <w:p>
      <w:pPr>
        <w:spacing w:after="0" w:line="165" w:lineRule="exact"/>
        <w:rPr>
          <w:rFonts w:ascii="Arial" w:cs="Arial" w:eastAsia="Arial" w:hAnsi="Arial"/>
          <w:sz w:val="17"/>
          <w:szCs w:val="17"/>
          <w:color w:val="auto"/>
        </w:rPr>
      </w:pPr>
    </w:p>
    <w:p>
      <w:pPr>
        <w:ind w:left="3280" w:hanging="679"/>
        <w:spacing w:after="0"/>
        <w:tabs>
          <w:tab w:leader="none" w:pos="32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100% of the principal amount of the 2027 Notes to be redeemed; and</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Remaining Scheduled Payments of such 2027 Notes to be redeemed.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the Company elects to redeem any 2027 Notes on or after the Par Call Date, the redemption price will be an amount equal to 100% of the principal amount of the 2027 Notes redeemed, plus accrued and unpaid interest, if any, to, but excluding, the date of redemption.</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In connection with any redemption of the 2027 Notes, calculation of the redemption price therefor shall be made by the Company or on the Company’s behalf by such person as the Company shall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calculation shall not be a duty or obligation of the Trustee or any Agent. Notwithstanding Section 3.3 of the Base Indenture, the notice of any redemption of the 2027 Notes pursuant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440"/>
        <w:spacing w:after="0" w:line="263" w:lineRule="auto"/>
        <w:rPr>
          <w:sz w:val="20"/>
          <w:szCs w:val="20"/>
          <w:color w:val="auto"/>
        </w:rPr>
      </w:pPr>
      <w:r>
        <w:rPr>
          <w:rFonts w:ascii="Arial" w:cs="Arial" w:eastAsia="Arial" w:hAnsi="Arial"/>
          <w:sz w:val="18"/>
          <w:szCs w:val="18"/>
          <w:color w:val="auto"/>
        </w:rPr>
        <w:t xml:space="preserve">to that Section in respect of a redemption date occurring prior to the maturity date of the 2027 Notes need not set forth the redemption price but only the manner of calculation thereof and </w:t>
      </w:r>
      <w:r>
        <w:rPr>
          <w:rFonts w:ascii="Arial" w:cs="Arial" w:eastAsia="Arial" w:hAnsi="Arial"/>
          <w:sz w:val="17"/>
          <w:szCs w:val="17"/>
          <w:color w:val="auto"/>
        </w:rPr>
        <w:t>the Company will prepare and send, or cause to be sent, such notice of redemption to each Holder of 2027 Notes to be</w:t>
      </w:r>
      <w:r>
        <w:rPr>
          <w:rFonts w:ascii="Arial" w:cs="Arial" w:eastAsia="Arial" w:hAnsi="Arial"/>
          <w:sz w:val="18"/>
          <w:szCs w:val="18"/>
          <w:color w:val="auto"/>
        </w:rPr>
        <w:t xml:space="preserve"> </w:t>
      </w:r>
      <w:r>
        <w:rPr>
          <w:rFonts w:ascii="Arial" w:cs="Arial" w:eastAsia="Arial" w:hAnsi="Arial"/>
          <w:sz w:val="17"/>
          <w:szCs w:val="17"/>
          <w:color w:val="auto"/>
        </w:rPr>
        <w:t>redeemed (with a copy to the Trustee) at least 30 and not more than 60 calendar days prior to the date fixed for redemption. Any redemption or notice of redemption may, at the Company’s discretion, be subject to one or more conditions precedent.</w:t>
      </w:r>
    </w:p>
    <w:p>
      <w:pPr>
        <w:spacing w:after="0" w:line="1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2027 Notes or portions thereof called for redemption.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2027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2027 Notes are represented by one or more Global Notes, the 2027 Notes shall be selected for redemption by the Depositary in accordance with its standard procedures therefor) and may provide for the selection for redemption of a portion of the principal amount of the 2027 Notes equal to an authorized denomination.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 2027 Notes of $2,000 or less can be redeemed in part. 2027 Notes in denominations larger than $2,000 may be redeemed in part but only in whole multiples of $1,000, unless all of the 2027 Notes held by a Holder are to be redeemed.</w:t>
      </w:r>
    </w:p>
    <w:p>
      <w:pPr>
        <w:spacing w:after="0" w:line="170" w:lineRule="exact"/>
        <w:rPr>
          <w:sz w:val="20"/>
          <w:szCs w:val="20"/>
          <w:color w:val="auto"/>
        </w:rPr>
      </w:pPr>
    </w:p>
    <w:p>
      <w:pPr>
        <w:ind w:right="160" w:firstLine="1305"/>
        <w:spacing w:after="0" w:line="286" w:lineRule="auto"/>
        <w:tabs>
          <w:tab w:leader="none" w:pos="1952"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2030 Notes</w:t>
      </w:r>
      <w:r>
        <w:rPr>
          <w:rFonts w:ascii="Arial" w:cs="Arial" w:eastAsia="Arial" w:hAnsi="Arial"/>
          <w:sz w:val="17"/>
          <w:szCs w:val="17"/>
          <w:color w:val="auto"/>
        </w:rPr>
        <w:t>. Prior to the Par Call Date, the Company will have the right, at its option, to redeem the 2030 Notes,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either in whole or in part, at a redemption price as calculated by the Company equal to the greater of the following amounts, plus, in each case, accrued and unpaid interest, if any, on the amount being redeemed to, but excluding, the date of redemption:</w:t>
      </w:r>
    </w:p>
    <w:p>
      <w:pPr>
        <w:spacing w:after="0" w:line="165" w:lineRule="exact"/>
        <w:rPr>
          <w:rFonts w:ascii="Arial" w:cs="Arial" w:eastAsia="Arial" w:hAnsi="Arial"/>
          <w:sz w:val="17"/>
          <w:szCs w:val="17"/>
          <w:color w:val="auto"/>
        </w:rPr>
      </w:pPr>
    </w:p>
    <w:p>
      <w:pPr>
        <w:ind w:left="3280" w:hanging="679"/>
        <w:spacing w:after="0"/>
        <w:tabs>
          <w:tab w:leader="none" w:pos="32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100% of the principal amount of the 2030 Notes to be redeemed; and</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Remaining Scheduled Payments of such 2030 Notes to be redeemed.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Company elects to redeem any 2030 Notes on or after the Par Call Date, the redemption price will be an amount equal to 100% of the principal amount of the 2030 Notes redeemed, plus accrued and unpaid interest, if any, to, but excluding, the date of redemption.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In connection with any redemption of the 2030 Notes, calculation of the redemption price therefor shall be made by the Company or on the Company’s behalf by such person as the Company shall designate;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calculation shall not be a duty or obligation of the Trustee or any Agent. Notwithstanding Section 3.3 of the Base Indenture, the notice of any redemption of the 2030 Notes pursuant to that Section in respect of a redemption date occurring prior to the maturity date of the 2030 Notes need not set forth the redemption price but only the manner of calculation thereof and</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will prepare and send, or cause to be sent, such notice of redemption to each Holder of 2030 Notes to be redeemed (with a copy to the Trustee) at least 30 and not more than 60 calendar days prior to the date fixed for redemption. Any redemption or notice of redemption may, at the Company’s discretion, be subject to one or more conditions precedent.</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2030 Notes or portions thereof called for redemption.</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2030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2030 Notes are represented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spacing w:after="0" w:line="308" w:lineRule="auto"/>
        <w:rPr>
          <w:sz w:val="20"/>
          <w:szCs w:val="20"/>
          <w:color w:val="auto"/>
        </w:rPr>
      </w:pPr>
      <w:r>
        <w:rPr>
          <w:rFonts w:ascii="Arial" w:cs="Arial" w:eastAsia="Arial" w:hAnsi="Arial"/>
          <w:sz w:val="17"/>
          <w:szCs w:val="17"/>
          <w:color w:val="auto"/>
        </w:rPr>
        <w:t>by one or more Global Notes, the 2030 Notes shall be selected for redemption by the Depositary in accordance with its standard procedures therefor) and may provide for the selection for redemption of a portion of the principal amount of the 2030 Notes equal to an authorized denomination.</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 2030 Notes of $2,000 or less can be redeemed in part. 2030 Notes in denominations larger than $2,000 may be redeemed in part but only in whole multiples of $1,000, unless all of the 2030 Notes held by a Holder are to be redeemed.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Offer to Purchase Upon Change of Control Triggering Event</w:t>
      </w:r>
    </w:p>
    <w:p>
      <w:pPr>
        <w:spacing w:after="0" w:line="225" w:lineRule="exact"/>
        <w:rPr>
          <w:sz w:val="20"/>
          <w:szCs w:val="20"/>
          <w:color w:val="auto"/>
        </w:rPr>
      </w:pPr>
    </w:p>
    <w:p>
      <w:pPr>
        <w:ind w:firstLine="1305"/>
        <w:spacing w:after="0" w:line="268" w:lineRule="auto"/>
        <w:tabs>
          <w:tab w:leader="none" w:pos="194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a Change of Control Triggering Event occurs with respect to a Series of Notes hereunder, unless the Company has exercised its option to redeem all Notes of such Series in full pursuant to Section 3.1 or has defeased such Series of Notes or satisfied and discharged such Series of Notes, the Company shall be required to make an offer (an “</w:t>
      </w:r>
      <w:r>
        <w:rPr>
          <w:rFonts w:ascii="Arial" w:cs="Arial" w:eastAsia="Arial" w:hAnsi="Arial"/>
          <w:sz w:val="17"/>
          <w:szCs w:val="17"/>
          <w:b w:val="1"/>
          <w:bCs w:val="1"/>
          <w:i w:val="1"/>
          <w:iCs w:val="1"/>
          <w:color w:val="auto"/>
        </w:rPr>
        <w:t>Offer to Purchase</w:t>
      </w:r>
      <w:r>
        <w:rPr>
          <w:rFonts w:ascii="Arial" w:cs="Arial" w:eastAsia="Arial" w:hAnsi="Arial"/>
          <w:sz w:val="17"/>
          <w:szCs w:val="17"/>
          <w:color w:val="auto"/>
        </w:rPr>
        <w:t>”) to each Holder of such Series of Notes to purchase all or any part (equal to $2,000 and in integral multiples of $1,000 in excess thereof) of that Holder’s Notes of such Series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7"/>
          <w:szCs w:val="17"/>
          <w:b w:val="1"/>
          <w:bCs w:val="1"/>
          <w:i w:val="1"/>
          <w:iCs w:val="1"/>
          <w:color w:val="auto"/>
        </w:rPr>
        <w:t>Change of Control Purchase Price</w:t>
      </w:r>
      <w:r>
        <w:rPr>
          <w:rFonts w:ascii="Arial" w:cs="Arial" w:eastAsia="Arial" w:hAnsi="Arial"/>
          <w:sz w:val="17"/>
          <w:szCs w:val="17"/>
          <w:color w:val="auto"/>
        </w:rPr>
        <w:t>”). Not later than 60 days following any Change of Control Triggering Event with respect to a Series of Notes, the Company shall deliver or cause to be delivered (or if the Notes of such Series are represented by one or more Global Notes, transmitted in accordance with the Depositary’s standard procedures therefor) a notice to Holders of such Series of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and a settlement date for purchase (a “</w:t>
      </w:r>
      <w:r>
        <w:rPr>
          <w:rFonts w:ascii="Arial" w:cs="Arial" w:eastAsia="Arial" w:hAnsi="Arial"/>
          <w:sz w:val="17"/>
          <w:szCs w:val="17"/>
          <w:b w:val="1"/>
          <w:bCs w:val="1"/>
          <w:i w:val="1"/>
          <w:iCs w:val="1"/>
          <w:color w:val="auto"/>
        </w:rPr>
        <w:t>Change of Control Purchase Date</w:t>
      </w:r>
      <w:r>
        <w:rPr>
          <w:rFonts w:ascii="Arial" w:cs="Arial" w:eastAsia="Arial" w:hAnsi="Arial"/>
          <w:sz w:val="17"/>
          <w:szCs w:val="17"/>
          <w:color w:val="auto"/>
        </w:rPr>
        <w:t>”) for such Offer to Purchase of not more than five 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185" w:lineRule="exact"/>
        <w:rPr>
          <w:rFonts w:ascii="Arial" w:cs="Arial" w:eastAsia="Arial" w:hAnsi="Arial"/>
          <w:sz w:val="17"/>
          <w:szCs w:val="17"/>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25" w:lineRule="exact"/>
        <w:rPr>
          <w:rFonts w:ascii="Arial" w:cs="Arial" w:eastAsia="Arial" w:hAnsi="Arial"/>
          <w:sz w:val="18"/>
          <w:szCs w:val="18"/>
          <w:color w:val="auto"/>
        </w:rPr>
      </w:pPr>
    </w:p>
    <w:p>
      <w:pPr>
        <w:ind w:right="200" w:firstLine="1953"/>
        <w:spacing w:after="0" w:line="277" w:lineRule="auto"/>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of such Series or portion of such Notes validly tendered and not withdrawn will be accepted for payment;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ind w:right="100" w:firstLine="1953"/>
        <w:spacing w:after="0" w:line="312" w:lineRule="auto"/>
        <w:tabs>
          <w:tab w:leader="none" w:pos="26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that any Note accepted for payment pursuant to the Offer to Purchase shall cease to accrue interest after the Change of Control Purchase Date unless the Company shall default in the payment of the Change of Control Purchase Price of the Notes of such Series and the only remaining right of the Holder is to receive payment of the Change of Control Purchase Price upon surrender of the Notes of such Series to the Paying Agent;</w:t>
      </w:r>
    </w:p>
    <w:p>
      <w:pPr>
        <w:spacing w:after="0" w:line="146" w:lineRule="exact"/>
        <w:rPr>
          <w:rFonts w:ascii="Arial" w:cs="Arial" w:eastAsia="Arial" w:hAnsi="Arial"/>
          <w:sz w:val="16"/>
          <w:szCs w:val="16"/>
          <w:color w:val="auto"/>
        </w:rPr>
      </w:pPr>
    </w:p>
    <w:p>
      <w:pPr>
        <w:ind w:firstLine="1953"/>
        <w:spacing w:after="0" w:line="264" w:lineRule="auto"/>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of such Series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81" w:lineRule="exact"/>
        <w:rPr>
          <w:rFonts w:ascii="Arial" w:cs="Arial" w:eastAsia="Arial" w:hAnsi="Arial"/>
          <w:sz w:val="18"/>
          <w:szCs w:val="18"/>
          <w:color w:val="auto"/>
        </w:rPr>
      </w:pPr>
    </w:p>
    <w:p>
      <w:pPr>
        <w:ind w:right="20" w:firstLine="1953"/>
        <w:spacing w:after="0" w:line="259" w:lineRule="auto"/>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if a Holder elects to have a Note of such Series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186" w:lineRule="exact"/>
        <w:rPr>
          <w:rFonts w:ascii="Arial" w:cs="Arial" w:eastAsia="Arial" w:hAnsi="Arial"/>
          <w:sz w:val="18"/>
          <w:szCs w:val="18"/>
          <w:color w:val="auto"/>
        </w:rPr>
      </w:pPr>
    </w:p>
    <w:p>
      <w:pPr>
        <w:ind w:right="120" w:firstLine="1953"/>
        <w:spacing w:after="0" w:line="264" w:lineRule="auto"/>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81" w:lineRule="exact"/>
        <w:rPr>
          <w:rFonts w:ascii="Arial" w:cs="Arial" w:eastAsia="Arial" w:hAnsi="Arial"/>
          <w:sz w:val="18"/>
          <w:szCs w:val="18"/>
          <w:color w:val="auto"/>
        </w:rPr>
      </w:pPr>
    </w:p>
    <w:p>
      <w:pPr>
        <w:ind w:right="240" w:firstLine="1953"/>
        <w:spacing w:after="0" w:line="277" w:lineRule="auto"/>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if Notes of such Series are purchased only in part by the Company, a new Note of the same Series and type will be issued in principal amount equal to the unpurchased portion of the Notes surrendered.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accept for payment all Notes of the applicable Series or portions of such Notes properly tendered pursuant to the Offer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w:t>
      </w:r>
    </w:p>
    <w:p>
      <w:pPr>
        <w:spacing w:after="0" w:line="210" w:lineRule="exact"/>
        <w:rPr>
          <w:rFonts w:ascii="Arial" w:cs="Arial" w:eastAsia="Arial" w:hAnsi="Arial"/>
          <w:sz w:val="16"/>
          <w:szCs w:val="16"/>
          <w:color w:val="auto"/>
        </w:rPr>
      </w:pPr>
    </w:p>
    <w:p>
      <w:pPr>
        <w:ind w:right="340" w:firstLine="1953"/>
        <w:spacing w:after="0" w:line="277" w:lineRule="auto"/>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of the applicable Series or portions of such Notes properly tendered; and</w:t>
      </w:r>
    </w:p>
    <w:p>
      <w:pPr>
        <w:spacing w:after="0" w:line="170" w:lineRule="exact"/>
        <w:rPr>
          <w:rFonts w:ascii="Arial" w:cs="Arial" w:eastAsia="Arial" w:hAnsi="Arial"/>
          <w:sz w:val="18"/>
          <w:szCs w:val="18"/>
          <w:color w:val="auto"/>
        </w:rPr>
      </w:pPr>
    </w:p>
    <w:p>
      <w:pPr>
        <w:ind w:right="500" w:firstLine="1953"/>
        <w:spacing w:after="0" w:line="277" w:lineRule="auto"/>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of the applicable Series properly accepted together with an Officer’s Certificate stating the aggregate principal amount of such Notes or portions of such Notes being repurchased.</w:t>
      </w:r>
    </w:p>
    <w:p>
      <w:pPr>
        <w:spacing w:after="0" w:line="170" w:lineRule="exact"/>
        <w:rPr>
          <w:rFonts w:ascii="Arial" w:cs="Arial" w:eastAsia="Arial" w:hAnsi="Arial"/>
          <w:sz w:val="18"/>
          <w:szCs w:val="18"/>
          <w:color w:val="auto"/>
        </w:rPr>
      </w:pPr>
    </w:p>
    <w:p>
      <w:pPr>
        <w:ind w:right="200" w:firstLine="1305"/>
        <w:spacing w:after="0" w:line="264" w:lineRule="auto"/>
        <w:tabs>
          <w:tab w:leader="none" w:pos="19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81" w:lineRule="exact"/>
        <w:rPr>
          <w:rFonts w:ascii="Arial" w:cs="Arial" w:eastAsia="Arial" w:hAnsi="Arial"/>
          <w:sz w:val="18"/>
          <w:szCs w:val="18"/>
          <w:color w:val="auto"/>
        </w:rPr>
      </w:pPr>
    </w:p>
    <w:p>
      <w:pPr>
        <w:ind w:right="260" w:firstLine="1305"/>
        <w:spacing w:after="0" w:line="286" w:lineRule="auto"/>
        <w:tabs>
          <w:tab w:leader="none" w:pos="19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shall not be required to make an Offer to Purchase upon the occurrence of a Change of Control Triggering Event with respect to Notes of a particular Series if (i) a third party makes such an offer in the manner, at the times and otherwise in compliance with the requirements for an offer made by the Company and the third party purchases all Notes of the applicable Series validly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tendered and not withdrawn under its offer or (ii) the Company as sent a notice of redemption pursuant to Section 3.1 of this Supplemental Indenture.</w:t>
      </w:r>
    </w:p>
    <w:p>
      <w:pPr>
        <w:spacing w:after="0" w:line="237" w:lineRule="exact"/>
        <w:rPr>
          <w:sz w:val="20"/>
          <w:szCs w:val="20"/>
          <w:color w:val="auto"/>
        </w:rPr>
      </w:pPr>
    </w:p>
    <w:p>
      <w:pPr>
        <w:ind w:right="520" w:firstLine="1305"/>
        <w:spacing w:after="0" w:line="276" w:lineRule="auto"/>
        <w:tabs>
          <w:tab w:leader="none" w:pos="194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shall comply with the requirements of Rule 14e-1 under the Exchange Act and all other applicable laws and regulations thereunder to the extent such securities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72" w:lineRule="exact"/>
        <w:rPr>
          <w:rFonts w:ascii="Arial" w:cs="Arial" w:eastAsia="Arial" w:hAnsi="Arial"/>
          <w:sz w:val="17"/>
          <w:szCs w:val="17"/>
          <w:color w:val="auto"/>
        </w:rPr>
      </w:pPr>
    </w:p>
    <w:p>
      <w:pPr>
        <w:jc w:val="both"/>
        <w:ind w:right="300" w:firstLine="1305"/>
        <w:spacing w:after="0" w:line="264" w:lineRule="auto"/>
        <w:tabs>
          <w:tab w:leader="none" w:pos="19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70" w:lineRule="exact"/>
        <w:rPr>
          <w:rFonts w:ascii="Arial" w:cs="Arial" w:eastAsia="Arial" w:hAnsi="Arial"/>
          <w:sz w:val="18"/>
          <w:szCs w:val="18"/>
          <w:color w:val="auto"/>
        </w:rPr>
      </w:pPr>
    </w:p>
    <w:p>
      <w:pPr>
        <w:ind w:firstLine="1305"/>
        <w:spacing w:after="0" w:line="272" w:lineRule="auto"/>
        <w:tabs>
          <w:tab w:leader="none" w:pos="1966"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Holders of not less than 90% in aggregate principal amount of the outstanding Notes of a Series validly tender and do not withdraw such Notes in an Offer to Purchase and the Company, or any third party approved in writing by the Company making an Offer to Purchase in lieu of the Company pursuant to Section 4.1(e)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w:t>
      </w:r>
      <w:r>
        <w:rPr>
          <w:rFonts w:ascii="Arial" w:cs="Arial" w:eastAsia="Arial" w:hAnsi="Arial"/>
          <w:sz w:val="17"/>
          <w:szCs w:val="17"/>
          <w:b w:val="1"/>
          <w:bCs w:val="1"/>
          <w:i w:val="1"/>
          <w:iCs w:val="1"/>
          <w:color w:val="auto"/>
        </w:rPr>
        <w:t>Second Change of Control Purchase Date</w:t>
      </w:r>
      <w:r>
        <w:rPr>
          <w:rFonts w:ascii="Arial" w:cs="Arial" w:eastAsia="Arial" w:hAnsi="Arial"/>
          <w:sz w:val="17"/>
          <w:szCs w:val="17"/>
          <w:color w:val="auto"/>
        </w:rPr>
        <w:t>”) at a purchase price equal to 101% of the principal amount thereof plus accrued and unpaid interest, if any, to, but excluding, the Second Change of Control Purchase Date.</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ind w:right="60" w:firstLine="1305"/>
        <w:spacing w:after="0" w:line="255" w:lineRule="auto"/>
        <w:tabs>
          <w:tab w:leader="none" w:pos="19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93" w:lineRule="exact"/>
        <w:rPr>
          <w:rFonts w:ascii="Arial" w:cs="Arial" w:eastAsia="Arial" w:hAnsi="Arial"/>
          <w:sz w:val="18"/>
          <w:szCs w:val="18"/>
          <w:color w:val="auto"/>
        </w:rPr>
      </w:pPr>
    </w:p>
    <w:p>
      <w:pPr>
        <w:ind w:firstLine="1305"/>
        <w:spacing w:after="0" w:line="273" w:lineRule="auto"/>
        <w:tabs>
          <w:tab w:leader="none" w:pos="19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Notwithstanding Section 4.2(a) above,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100"/>
        <w:spacing w:after="0" w:line="276" w:lineRule="auto"/>
        <w:rPr>
          <w:sz w:val="20"/>
          <w:szCs w:val="20"/>
          <w:color w:val="auto"/>
        </w:rPr>
      </w:pPr>
      <w:r>
        <w:rPr>
          <w:rFonts w:ascii="Arial" w:cs="Arial" w:eastAsia="Arial" w:hAnsi="Arial"/>
          <w:sz w:val="17"/>
          <w:szCs w:val="17"/>
          <w:color w:val="auto"/>
        </w:rPr>
        <w:t>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173" w:lineRule="exact"/>
        <w:rPr>
          <w:sz w:val="20"/>
          <w:szCs w:val="20"/>
          <w:color w:val="auto"/>
        </w:rPr>
      </w:pPr>
    </w:p>
    <w:p>
      <w:pPr>
        <w:ind w:firstLine="1305"/>
        <w:spacing w:after="0" w:line="288" w:lineRule="auto"/>
        <w:tabs>
          <w:tab w:leader="none" w:pos="19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69" w:lineRule="exact"/>
        <w:rPr>
          <w:rFonts w:ascii="Arial" w:cs="Arial" w:eastAsia="Arial" w:hAnsi="Arial"/>
          <w:sz w:val="16"/>
          <w:szCs w:val="16"/>
          <w:color w:val="auto"/>
        </w:rPr>
      </w:pPr>
    </w:p>
    <w:p>
      <w:pPr>
        <w:ind w:firstLine="1305"/>
        <w:spacing w:after="0" w:line="264" w:lineRule="auto"/>
        <w:tabs>
          <w:tab w:leader="none" w:pos="19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of a Series pursuant to Section 4.2(a) above may provide by its terms that such Lien shall be automatically and unconditionally released and discharged upon the release and discharge of the Lien that gave rise to the obligation to secure the Notes of such Series.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i w:val="1"/>
          <w:iCs w:val="1"/>
          <w:color w:val="auto"/>
        </w:rPr>
        <w:t>Sale and Lease Back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not, and will not permit any of its Restricted Subsidiaries, to enter into any Sale and Lease Back Transaction with respect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Property owned by the Company or any Restricted Subsidiary, whether now owned or hereafter acquired, unless:</w:t>
      </w:r>
    </w:p>
    <w:p>
      <w:pPr>
        <w:spacing w:after="0" w:line="211" w:lineRule="exact"/>
        <w:rPr>
          <w:sz w:val="20"/>
          <w:szCs w:val="20"/>
          <w:color w:val="auto"/>
        </w:rPr>
      </w:pPr>
    </w:p>
    <w:p>
      <w:pPr>
        <w:ind w:left="1940" w:hanging="635"/>
        <w:spacing w:after="0"/>
        <w:tabs>
          <w:tab w:leader="none" w:pos="19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such transaction was for the sale and leasing back to the Company or a Restricted Subsidiary by the Company or any Subsidiary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Principal Property;</w:t>
      </w:r>
    </w:p>
    <w:p>
      <w:pPr>
        <w:spacing w:after="0" w:line="210" w:lineRule="exact"/>
        <w:rPr>
          <w:rFonts w:ascii="Arial" w:cs="Arial" w:eastAsia="Arial" w:hAnsi="Arial"/>
          <w:sz w:val="16"/>
          <w:szCs w:val="16"/>
          <w:color w:val="auto"/>
        </w:rPr>
      </w:pPr>
    </w:p>
    <w:p>
      <w:pPr>
        <w:ind w:right="300" w:firstLine="1305"/>
        <w:spacing w:after="0" w:line="291" w:lineRule="auto"/>
        <w:tabs>
          <w:tab w:leader="none" w:pos="1955"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w:t>
      </w:r>
    </w:p>
    <w:p>
      <w:pPr>
        <w:ind w:right="30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placing into commercial operation of such Principal Property after the acquisition or completion of any such development, operation, construction, alteration, repair or improvement;</w:t>
      </w:r>
    </w:p>
    <w:p>
      <w:pPr>
        <w:spacing w:after="0" w:line="183" w:lineRule="exact"/>
        <w:rPr>
          <w:rFonts w:ascii="Arial" w:cs="Arial" w:eastAsia="Arial" w:hAnsi="Arial"/>
          <w:sz w:val="18"/>
          <w:szCs w:val="18"/>
          <w:color w:val="auto"/>
        </w:rPr>
      </w:pPr>
    </w:p>
    <w:p>
      <w:pPr>
        <w:ind w:right="360" w:firstLine="1305"/>
        <w:spacing w:after="0" w:line="277" w:lineRule="auto"/>
        <w:tabs>
          <w:tab w:leader="none" w:pos="19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ind w:right="40" w:firstLine="1305"/>
        <w:spacing w:after="0" w:line="264" w:lineRule="auto"/>
        <w:tabs>
          <w:tab w:leader="none" w:pos="1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81" w:lineRule="exact"/>
        <w:rPr>
          <w:rFonts w:ascii="Arial" w:cs="Arial" w:eastAsia="Arial" w:hAnsi="Arial"/>
          <w:sz w:val="18"/>
          <w:szCs w:val="18"/>
          <w:color w:val="auto"/>
        </w:rPr>
      </w:pPr>
    </w:p>
    <w:p>
      <w:pPr>
        <w:ind w:firstLine="1305"/>
        <w:spacing w:after="0" w:line="257" w:lineRule="auto"/>
        <w:tabs>
          <w:tab w:leader="none" w:pos="19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The covenants set forth in Sections 4.2 and 4.3 above are and are intended solely for the benefit of the 2027 Notes and the 2030 Notes.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Satisfaction and Discharge of Indenture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may satisfy and discharge any Series of the Notes hereunder in accordance with and subject to the terms of Section 8.1 of the Base Indenture.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Legal Defeasance of Securities of any Series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each Series of the Notes.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of a Series with any term, provision or condition set forth in Section 4.1, Section 4.2 and Section 4.3 of this Supplemental Indenture by complying with the requirements of Section 8.4 of the Base Indenture in respect of such Series.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i w:val="1"/>
          <w:iCs w:val="1"/>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i w:val="1"/>
          <w:iCs w:val="1"/>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i w:val="1"/>
          <w:iCs w:val="1"/>
          <w:color w:val="auto"/>
        </w:rPr>
        <w:t>Interpretation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“hereunder,” and words of similar import, shall be construed to refer to this Supplemental Indenture in its entirety and not to any particular provision hereof,</w:t>
      </w:r>
    </w:p>
    <w:p>
      <w:pPr>
        <w:spacing w:after="0" w:line="46" w:lineRule="exact"/>
        <w:rPr>
          <w:sz w:val="20"/>
          <w:szCs w:val="20"/>
          <w:color w:val="auto"/>
        </w:rPr>
      </w:pPr>
    </w:p>
    <w:p>
      <w:pPr>
        <w:jc w:val="both"/>
        <w:ind w:right="20" w:firstLine="8"/>
        <w:spacing w:after="0" w:line="255"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i w:val="1"/>
          <w:iCs w:val="1"/>
          <w:color w:val="auto"/>
        </w:rPr>
        <w:t>Instruction by Electronic Transmissions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[Signatures on following page]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12, 2019</w:t>
      </w:r>
    </w:p>
    <w:p>
      <w:pPr>
        <w:spacing w:after="0" w:line="225" w:lineRule="exact"/>
        <w:rPr>
          <w:sz w:val="20"/>
          <w:szCs w:val="20"/>
          <w:color w:val="auto"/>
        </w:rPr>
      </w:pPr>
    </w:p>
    <w:p>
      <w:pPr>
        <w:jc w:val="right"/>
        <w:ind w:right="328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82"/>
        </w:trPr>
        <w:tc>
          <w:tcPr>
            <w:tcW w:w="400" w:type="dxa"/>
            <w:vAlign w:val="bottom"/>
          </w:tcPr>
          <w:p>
            <w:pPr>
              <w:spacing w:after="0" w:line="182" w:lineRule="exact"/>
              <w:rPr>
                <w:sz w:val="20"/>
                <w:szCs w:val="20"/>
                <w:color w:val="auto"/>
              </w:rPr>
            </w:pPr>
            <w:r>
              <w:rPr>
                <w:rFonts w:ascii="Arial" w:cs="Arial" w:eastAsia="Arial" w:hAnsi="Arial"/>
                <w:sz w:val="18"/>
                <w:szCs w:val="18"/>
                <w:color w:val="auto"/>
                <w:w w:val="71"/>
              </w:rPr>
              <w:t>Name:</w:t>
            </w:r>
          </w:p>
        </w:tc>
        <w:tc>
          <w:tcPr>
            <w:tcW w:w="5300" w:type="dxa"/>
            <w:vAlign w:val="bottom"/>
          </w:tcPr>
          <w:p>
            <w:pPr>
              <w:ind w:left="120"/>
              <w:spacing w:after="0" w:line="182" w:lineRule="exact"/>
              <w:rPr>
                <w:sz w:val="20"/>
                <w:szCs w:val="20"/>
                <w:color w:val="auto"/>
              </w:rPr>
            </w:pPr>
            <w:r>
              <w:rPr>
                <w:rFonts w:ascii="Arial" w:cs="Arial" w:eastAsia="Arial" w:hAnsi="Arial"/>
                <w:sz w:val="18"/>
                <w:szCs w:val="18"/>
                <w:color w:val="auto"/>
              </w:rPr>
              <w:t>David A. Zinsner</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U.S. BANK NATIONAL ASSOCIATION, as Trustee</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spacing w:after="0"/>
              <w:rPr>
                <w:sz w:val="20"/>
                <w:szCs w:val="20"/>
                <w:color w:val="auto"/>
              </w:rPr>
            </w:pPr>
            <w:r>
              <w:rPr>
                <w:rFonts w:ascii="Arial" w:cs="Arial" w:eastAsia="Arial" w:hAnsi="Arial"/>
                <w:sz w:val="18"/>
                <w:szCs w:val="18"/>
                <w:color w:val="auto"/>
              </w:rPr>
              <w:t>/s/ Bradley E. Scarbrough</w:t>
            </w:r>
          </w:p>
        </w:tc>
      </w:tr>
    </w:tbl>
    <w:p>
      <w:pPr>
        <w:ind w:left="5720"/>
        <w:spacing w:after="0"/>
        <w:rPr>
          <w:sz w:val="20"/>
          <w:szCs w:val="20"/>
          <w:color w:val="auto"/>
        </w:rPr>
      </w:pPr>
      <w:r>
        <w:rPr>
          <w:rFonts w:ascii="Arial" w:cs="Arial" w:eastAsia="Arial" w:hAnsi="Arial"/>
          <w:sz w:val="18"/>
          <w:szCs w:val="18"/>
          <w:color w:val="auto"/>
        </w:rPr>
        <w:t>Name: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(Face of 2027 Note)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CUSIP:[</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ISIN:[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340" w:type="dxa"/>
            <w:vAlign w:val="bottom"/>
          </w:tcPr>
          <w:p>
            <w:pPr>
              <w:spacing w:after="0"/>
              <w:rPr>
                <w:sz w:val="24"/>
                <w:szCs w:val="24"/>
                <w:color w:val="auto"/>
              </w:rPr>
            </w:pPr>
          </w:p>
        </w:tc>
        <w:tc>
          <w:tcPr>
            <w:tcW w:w="7240" w:type="dxa"/>
            <w:vAlign w:val="bottom"/>
          </w:tcPr>
          <w:p>
            <w:pPr>
              <w:jc w:val="center"/>
              <w:ind w:right="410"/>
              <w:spacing w:after="0"/>
              <w:rPr>
                <w:sz w:val="20"/>
                <w:szCs w:val="20"/>
                <w:color w:val="auto"/>
              </w:rPr>
            </w:pPr>
            <w:r>
              <w:rPr>
                <w:rFonts w:ascii="Arial" w:cs="Arial" w:eastAsia="Arial" w:hAnsi="Arial"/>
                <w:sz w:val="18"/>
                <w:szCs w:val="18"/>
                <w:color w:val="auto"/>
                <w:w w:val="96"/>
              </w:rPr>
              <w:t>MICRON TECHNOLOGY, INC.</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7240" w:type="dxa"/>
            <w:vAlign w:val="bottom"/>
          </w:tcPr>
          <w:p>
            <w:pPr>
              <w:jc w:val="center"/>
              <w:ind w:right="410"/>
              <w:spacing w:after="0"/>
              <w:rPr>
                <w:sz w:val="20"/>
                <w:szCs w:val="20"/>
                <w:color w:val="auto"/>
              </w:rPr>
            </w:pPr>
            <w:r>
              <w:rPr>
                <w:rFonts w:ascii="Arial" w:cs="Arial" w:eastAsia="Arial" w:hAnsi="Arial"/>
                <w:sz w:val="18"/>
                <w:szCs w:val="18"/>
                <w:color w:val="auto"/>
                <w:w w:val="90"/>
              </w:rPr>
              <w:t>4.185% Senior Note due 2027</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2340" w:type="dxa"/>
            <w:vAlign w:val="bottom"/>
          </w:tcPr>
          <w:p>
            <w:pPr>
              <w:spacing w:after="0"/>
              <w:rPr>
                <w:sz w:val="20"/>
                <w:szCs w:val="20"/>
                <w:color w:val="auto"/>
              </w:rPr>
            </w:pPr>
            <w:r>
              <w:rPr>
                <w:rFonts w:ascii="Arial" w:cs="Arial" w:eastAsia="Arial" w:hAnsi="Arial"/>
                <w:sz w:val="18"/>
                <w:szCs w:val="18"/>
                <w:color w:val="auto"/>
              </w:rPr>
              <w:t>No. [   ]</w:t>
            </w:r>
          </w:p>
        </w:tc>
        <w:tc>
          <w:tcPr>
            <w:tcW w:w="7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9120" w:type="dxa"/>
            <w:vAlign w:val="bottom"/>
            <w:gridSpan w:val="5"/>
          </w:tcPr>
          <w:p>
            <w:pPr>
              <w:jc w:val="right"/>
              <w:spacing w:after="0"/>
              <w:rPr>
                <w:sz w:val="20"/>
                <w:szCs w:val="20"/>
                <w:color w:val="auto"/>
              </w:rPr>
            </w:pPr>
            <w:r>
              <w:rPr>
                <w:rFonts w:ascii="Arial" w:cs="Arial" w:eastAsia="Arial" w:hAnsi="Arial"/>
                <w:sz w:val="18"/>
                <w:szCs w:val="18"/>
                <w:color w:val="auto"/>
              </w:rPr>
              <w:t>(as revised by the Schedule of Increases and</w:t>
            </w:r>
          </w:p>
        </w:tc>
      </w:tr>
      <w:tr>
        <w:trPr>
          <w:trHeight w:val="230"/>
        </w:trPr>
        <w:tc>
          <w:tcPr>
            <w:tcW w:w="2340" w:type="dxa"/>
            <w:vAlign w:val="bottom"/>
          </w:tcPr>
          <w:p>
            <w:pPr>
              <w:spacing w:after="0"/>
              <w:rPr>
                <w:sz w:val="20"/>
                <w:szCs w:val="20"/>
                <w:color w:val="auto"/>
              </w:rPr>
            </w:pPr>
          </w:p>
        </w:tc>
        <w:tc>
          <w:tcPr>
            <w:tcW w:w="9120" w:type="dxa"/>
            <w:vAlign w:val="bottom"/>
            <w:gridSpan w:val="5"/>
          </w:tcPr>
          <w:p>
            <w:pPr>
              <w:jc w:val="right"/>
              <w:spacing w:after="0"/>
              <w:rPr>
                <w:sz w:val="20"/>
                <w:szCs w:val="20"/>
                <w:color w:val="auto"/>
              </w:rPr>
            </w:pPr>
            <w:r>
              <w:rPr>
                <w:rFonts w:ascii="Arial" w:cs="Arial" w:eastAsia="Arial" w:hAnsi="Arial"/>
                <w:sz w:val="18"/>
                <w:szCs w:val="18"/>
                <w:color w:val="auto"/>
              </w:rPr>
              <w:t>Decreases in Global Note attached hereto)</w:t>
            </w:r>
          </w:p>
        </w:tc>
      </w:tr>
      <w:tr>
        <w:trPr>
          <w:trHeight w:val="418"/>
        </w:trPr>
        <w:tc>
          <w:tcPr>
            <w:tcW w:w="9580" w:type="dxa"/>
            <w:vAlign w:val="bottom"/>
            <w:gridSpan w:val="2"/>
          </w:tcPr>
          <w:p>
            <w:pPr>
              <w:spacing w:after="0"/>
              <w:rPr>
                <w:sz w:val="20"/>
                <w:szCs w:val="20"/>
                <w:color w:val="auto"/>
              </w:rPr>
            </w:pPr>
            <w:r>
              <w:rPr>
                <w:rFonts w:ascii="Arial" w:cs="Arial" w:eastAsia="Arial" w:hAnsi="Arial"/>
                <w:sz w:val="18"/>
                <w:szCs w:val="18"/>
                <w:color w:val="auto"/>
                <w:w w:val="94"/>
              </w:rPr>
              <w:t>Micron Technology, Inc., a Delaware corporation, promises to pay to CEDE &amp; CO. or registered assigns, the principal sum of $[</w:t>
            </w:r>
          </w:p>
        </w:tc>
        <w:tc>
          <w:tcPr>
            <w:tcW w:w="1740" w:type="dxa"/>
            <w:vAlign w:val="bottom"/>
            <w:gridSpan w:val="3"/>
          </w:tcPr>
          <w:p>
            <w:pPr>
              <w:ind w:left="320"/>
              <w:spacing w:after="0"/>
              <w:rPr>
                <w:sz w:val="20"/>
                <w:szCs w:val="20"/>
                <w:color w:val="auto"/>
              </w:rPr>
            </w:pPr>
            <w:r>
              <w:rPr>
                <w:rFonts w:ascii="Arial" w:cs="Arial" w:eastAsia="Arial" w:hAnsi="Arial"/>
                <w:sz w:val="18"/>
                <w:szCs w:val="18"/>
                <w:color w:val="auto"/>
                <w:w w:val="92"/>
              </w:rPr>
              <w:t>] (as revised by the</w:t>
            </w:r>
          </w:p>
        </w:tc>
        <w:tc>
          <w:tcPr>
            <w:tcW w:w="140" w:type="dxa"/>
            <w:vAlign w:val="bottom"/>
          </w:tcPr>
          <w:p>
            <w:pPr>
              <w:spacing w:after="0"/>
              <w:rPr>
                <w:sz w:val="24"/>
                <w:szCs w:val="24"/>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Schedule of Increases and Decreases in Global Note attached hereto) on February 15, 2027.</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240" w:type="dxa"/>
            <w:vAlign w:val="bottom"/>
          </w:tcPr>
          <w:p>
            <w:pPr>
              <w:ind w:left="600"/>
              <w:spacing w:after="0"/>
              <w:rPr>
                <w:sz w:val="20"/>
                <w:szCs w:val="20"/>
                <w:color w:val="auto"/>
              </w:rPr>
            </w:pPr>
            <w:r>
              <w:rPr>
                <w:rFonts w:ascii="Arial" w:cs="Arial" w:eastAsia="Arial" w:hAnsi="Arial"/>
                <w:sz w:val="18"/>
                <w:szCs w:val="18"/>
                <w:color w:val="auto"/>
              </w:rPr>
              <w:t>February 15 and August 15</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Record Dates:</w:t>
            </w:r>
          </w:p>
        </w:tc>
        <w:tc>
          <w:tcPr>
            <w:tcW w:w="7240" w:type="dxa"/>
            <w:vAlign w:val="bottom"/>
          </w:tcPr>
          <w:p>
            <w:pPr>
              <w:ind w:left="640"/>
              <w:spacing w:after="0"/>
              <w:rPr>
                <w:sz w:val="20"/>
                <w:szCs w:val="20"/>
                <w:color w:val="auto"/>
              </w:rPr>
            </w:pPr>
            <w:r>
              <w:rPr>
                <w:rFonts w:ascii="Arial" w:cs="Arial" w:eastAsia="Arial" w:hAnsi="Arial"/>
                <w:sz w:val="18"/>
                <w:szCs w:val="18"/>
                <w:color w:val="auto"/>
              </w:rPr>
              <w:t>January 31 and July 31</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7240" w:type="dxa"/>
            <w:vAlign w:val="bottom"/>
          </w:tcPr>
          <w:p>
            <w:pPr>
              <w:jc w:val="center"/>
              <w:ind w:right="390"/>
              <w:spacing w:after="0"/>
              <w:rPr>
                <w:sz w:val="20"/>
                <w:szCs w:val="20"/>
                <w:color w:val="auto"/>
              </w:rPr>
            </w:pPr>
            <w:r>
              <w:rPr>
                <w:rFonts w:ascii="Arial" w:cs="Arial" w:eastAsia="Arial" w:hAnsi="Arial"/>
                <w:sz w:val="18"/>
                <w:szCs w:val="18"/>
                <w:color w:val="auto"/>
                <w:w w:val="99"/>
              </w:rPr>
              <w:t>A-1</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2340" w:type="dxa"/>
            <w:vAlign w:val="bottom"/>
            <w:tcBorders>
              <w:bottom w:val="single" w:sz="8" w:color="808080"/>
            </w:tcBorders>
          </w:tcPr>
          <w:p>
            <w:pPr>
              <w:spacing w:after="0"/>
              <w:rPr>
                <w:sz w:val="11"/>
                <w:szCs w:val="11"/>
                <w:color w:val="auto"/>
              </w:rPr>
            </w:pPr>
          </w:p>
        </w:tc>
        <w:tc>
          <w:tcPr>
            <w:tcW w:w="7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3" w:name="page74"/>
    <w:bookmarkEnd w:id="73"/>
    <w:p>
      <w:pPr>
        <w:ind w:left="37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33445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4" w:name="page75"/>
    <w:bookmarkEnd w:id="74"/>
    <w:p>
      <w:pPr>
        <w:jc w:val="center"/>
        <w:ind w:right="160"/>
        <w:spacing w:after="0"/>
        <w:rPr>
          <w:sz w:val="20"/>
          <w:szCs w:val="20"/>
          <w:color w:val="auto"/>
        </w:rPr>
      </w:pPr>
      <w:r>
        <w:rPr>
          <w:rFonts w:ascii="Arial" w:cs="Arial" w:eastAsia="Arial" w:hAnsi="Arial"/>
          <w:sz w:val="18"/>
          <w:szCs w:val="18"/>
          <w:color w:val="auto"/>
        </w:rPr>
        <w:t>(Back of 2027 Note)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4.185% Senior Note due 2027</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638"/>
        <w:spacing w:after="0" w:line="269" w:lineRule="auto"/>
        <w:tabs>
          <w:tab w:leader="none" w:pos="1296"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2027 Note at 4.185% per annum from the date hereof until maturity. The Company will pay interest semi-annually on February 15 and August 15 of each year, commencing February 15, 2020,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2027 Notes will accrue from the most recent date to which interest has been paid or provided for or, if no interest has been paid or provided for, from July 12, 2019;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no existing Default in the payment of interest, and if this 2027 Note is authenticated between a record date referred to on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2027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2" w:lineRule="exact"/>
        <w:rPr>
          <w:rFonts w:ascii="Arial" w:cs="Arial" w:eastAsia="Arial" w:hAnsi="Arial"/>
          <w:sz w:val="17"/>
          <w:szCs w:val="17"/>
          <w:color w:val="auto"/>
        </w:rPr>
      </w:pPr>
    </w:p>
    <w:p>
      <w:pPr>
        <w:ind w:firstLine="638"/>
        <w:spacing w:after="0" w:line="288" w:lineRule="auto"/>
        <w:tabs>
          <w:tab w:leader="none" w:pos="1296"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2027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2027 Notes at the close of business on the January 31 or July 31 (whether or not a Business Day) next preceding the Interest Payment Date, even if such 2027 Notes are canceled after such record date and on or before such Interest Payment Date, except as provided in Section 2.13 of the Base Indenture with respect to defaulted interest. Principal and interest on the 2027 Notes will be made by (a) check mailed to the Holders of the 2027 Notes at their respective addresses set forth in the register of Holders of 2027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2027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9" w:lineRule="exact"/>
        <w:rPr>
          <w:rFonts w:ascii="Arial" w:cs="Arial" w:eastAsia="Arial" w:hAnsi="Arial"/>
          <w:sz w:val="16"/>
          <w:szCs w:val="16"/>
          <w:color w:val="auto"/>
        </w:rPr>
      </w:pPr>
    </w:p>
    <w:p>
      <w:pPr>
        <w:jc w:val="both"/>
        <w:ind w:right="120" w:firstLine="638"/>
        <w:spacing w:after="0" w:line="264" w:lineRule="auto"/>
        <w:tabs>
          <w:tab w:leader="none" w:pos="1296"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200" w:firstLine="638"/>
        <w:spacing w:after="0" w:line="277" w:lineRule="auto"/>
        <w:tabs>
          <w:tab w:leader="none" w:pos="1296"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2027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75" w:name="page76"/>
    <w:bookmarkEnd w:id="75"/>
    <w:p>
      <w:pPr>
        <w:ind w:right="140"/>
        <w:spacing w:after="0" w:line="272" w:lineRule="auto"/>
        <w:rPr>
          <w:sz w:val="20"/>
          <w:szCs w:val="20"/>
          <w:color w:val="auto"/>
        </w:rPr>
      </w:pPr>
      <w:r>
        <w:rPr>
          <w:rFonts w:ascii="Arial" w:cs="Arial" w:eastAsia="Arial" w:hAnsi="Arial"/>
          <w:sz w:val="17"/>
          <w:szCs w:val="17"/>
          <w:color w:val="auto"/>
        </w:rPr>
        <w:t>of February 6, 2019 between the Company and the Trustee, as amended by the Second Supplemental Indenture, dated as of July 12, 2019,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2027 Notes include those stated in the Indenture and those made part of the Indenture by reference to the TIA. The 2027 Notes are subject to all such terms, and Holders are referred to the Indenture and such Act for a statement of such terms. To the extent any provision of this 2027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2027 Notes pursuant to Section 2.3 of the Supplemental Indenture.</w:t>
      </w:r>
    </w:p>
    <w:p>
      <w:pPr>
        <w:spacing w:after="0" w:line="178" w:lineRule="exact"/>
        <w:rPr>
          <w:sz w:val="20"/>
          <w:szCs w:val="20"/>
          <w:color w:val="auto"/>
        </w:rPr>
      </w:pPr>
    </w:p>
    <w:p>
      <w:pPr>
        <w:ind w:right="220" w:firstLine="638"/>
        <w:spacing w:after="0" w:line="264" w:lineRule="auto"/>
        <w:tabs>
          <w:tab w:leader="none" w:pos="129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181" w:lineRule="exact"/>
        <w:rPr>
          <w:rFonts w:ascii="Arial" w:cs="Arial" w:eastAsia="Arial" w:hAnsi="Arial"/>
          <w:sz w:val="18"/>
          <w:szCs w:val="18"/>
          <w:color w:val="auto"/>
        </w:rPr>
      </w:pPr>
    </w:p>
    <w:p>
      <w:pPr>
        <w:ind w:right="100" w:firstLine="638"/>
        <w:spacing w:after="0" w:line="277" w:lineRule="auto"/>
        <w:tabs>
          <w:tab w:leader="none" w:pos="129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2027 Notes.</w:t>
      </w:r>
    </w:p>
    <w:p>
      <w:pPr>
        <w:spacing w:after="0" w:line="170" w:lineRule="exact"/>
        <w:rPr>
          <w:rFonts w:ascii="Arial" w:cs="Arial" w:eastAsia="Arial" w:hAnsi="Arial"/>
          <w:sz w:val="18"/>
          <w:szCs w:val="18"/>
          <w:color w:val="auto"/>
        </w:rPr>
      </w:pPr>
    </w:p>
    <w:p>
      <w:pPr>
        <w:ind w:right="460" w:firstLine="638"/>
        <w:spacing w:after="0" w:line="342" w:lineRule="auto"/>
        <w:tabs>
          <w:tab w:leader="none" w:pos="129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OFFER TO PURCHASE UPON CHANGE OF CONTROL</w:t>
      </w:r>
      <w:r>
        <w:rPr>
          <w:rFonts w:ascii="Arial" w:cs="Arial" w:eastAsia="Arial" w:hAnsi="Arial"/>
          <w:sz w:val="16"/>
          <w:szCs w:val="16"/>
          <w:color w:val="auto"/>
        </w:rPr>
        <w:t>. If a Change of Control Triggering Event with respect to the 2027 Notes</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the Company may be required to make an offer to purchase the 2027 Notes in the manner and with the effect provided in the Indenture.</w:t>
      </w:r>
    </w:p>
    <w:p>
      <w:pPr>
        <w:spacing w:after="0" w:line="123" w:lineRule="exact"/>
        <w:rPr>
          <w:rFonts w:ascii="Arial" w:cs="Arial" w:eastAsia="Arial" w:hAnsi="Arial"/>
          <w:sz w:val="16"/>
          <w:szCs w:val="16"/>
          <w:color w:val="auto"/>
        </w:rPr>
      </w:pPr>
    </w:p>
    <w:p>
      <w:pPr>
        <w:ind w:firstLine="638"/>
        <w:spacing w:after="0" w:line="272" w:lineRule="auto"/>
        <w:tabs>
          <w:tab w:leader="none" w:pos="1296"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2027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2027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2027 Note or portion of a 2027 Note selected for redemption, except for the unredeemed portion of any 2027 Note being redeemed in part. Also, neither the Trustee nor the Company need exchange or register the transfer of any 2027 Notes for a period of 15 days before the day of any selection of 2027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140" w:firstLine="638"/>
        <w:spacing w:after="0" w:line="277" w:lineRule="auto"/>
        <w:tabs>
          <w:tab w:leader="none" w:pos="129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2027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00" w:firstLine="638"/>
        <w:spacing w:after="0" w:line="273" w:lineRule="auto"/>
        <w:tabs>
          <w:tab w:leader="none" w:pos="1292"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2027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2027 Notes then outstanding, including, without limitation, consents obtained in connection with a tender offer or exchange offer for the 2027 Notes, and any existing default or compliance with any provision of the Indenture or the 2027 Notes, may be waived with the consent of the Holders of a majority in principal amount of the then outstanding 2027 Notes, including, without limitation, consents obtained in connection with a tender offer or exchange offer for the 2027 Notes. The Indenture or the 2027 Notes may be amended or supplemented without the consent of any Holder of a 2027 Note as described in the Indenture.</w:t>
      </w:r>
    </w:p>
    <w:p>
      <w:pPr>
        <w:spacing w:after="0" w:line="178" w:lineRule="exact"/>
        <w:rPr>
          <w:rFonts w:ascii="Arial" w:cs="Arial" w:eastAsia="Arial" w:hAnsi="Arial"/>
          <w:sz w:val="17"/>
          <w:szCs w:val="17"/>
          <w:color w:val="auto"/>
        </w:rPr>
      </w:pPr>
    </w:p>
    <w:p>
      <w:pPr>
        <w:ind w:right="160" w:firstLine="638"/>
        <w:spacing w:after="0" w:line="264" w:lineRule="auto"/>
        <w:tabs>
          <w:tab w:leader="none" w:pos="128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2027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2027 Notes may be declared due and payable in the manner and with the effect provided in the Indenture.</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20" w:top="341" w:right="259" w:bottom="1440" w:gutter="0" w:footer="0" w:header="0"/>
        </w:sectPr>
      </w:pPr>
    </w:p>
    <w:bookmarkStart w:id="76" w:name="page77"/>
    <w:bookmarkEnd w:id="76"/>
    <w:p>
      <w:pPr>
        <w:ind w:left="180" w:right="220" w:firstLine="638"/>
        <w:spacing w:after="0" w:line="342" w:lineRule="auto"/>
        <w:tabs>
          <w:tab w:leader="none" w:pos="1472"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2027 Notes and may otherwise deal with the Company or an Affiliate of the Company with the same rights it would have if it were not Trustee.</w:t>
      </w:r>
    </w:p>
    <w:p>
      <w:pPr>
        <w:spacing w:after="0" w:line="123" w:lineRule="exact"/>
        <w:rPr>
          <w:rFonts w:ascii="Arial" w:cs="Arial" w:eastAsia="Arial" w:hAnsi="Arial"/>
          <w:sz w:val="16"/>
          <w:szCs w:val="16"/>
          <w:color w:val="auto"/>
        </w:rPr>
      </w:pPr>
    </w:p>
    <w:p>
      <w:pPr>
        <w:ind w:left="180" w:right="180" w:firstLine="638"/>
        <w:spacing w:after="0" w:line="259"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2027 Notes or the Indenture or for any claim based on, or in respect or by reason of, such obligations or their creation. By accepting a 2027 Note, each Holder waives and releases all such liability. This waiver and release is part of the consideration for the issue of the 2027 Notes.</w:t>
      </w:r>
    </w:p>
    <w:p>
      <w:pPr>
        <w:spacing w:after="0" w:line="186" w:lineRule="exact"/>
        <w:rPr>
          <w:rFonts w:ascii="Arial" w:cs="Arial" w:eastAsia="Arial" w:hAnsi="Arial"/>
          <w:sz w:val="18"/>
          <w:szCs w:val="18"/>
          <w:color w:val="auto"/>
        </w:rPr>
      </w:pPr>
    </w:p>
    <w:p>
      <w:pPr>
        <w:ind w:left="1460" w:hanging="642"/>
        <w:spacing w:after="0"/>
        <w:tabs>
          <w:tab w:leader="none" w:pos="146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2027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180" w:right="140" w:firstLine="638"/>
        <w:spacing w:after="0" w:line="264"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180" w:right="20" w:firstLine="638"/>
        <w:spacing w:after="0" w:line="257"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2027 Notes and the Trustee shall use CUSIP numbers</w:t>
      </w:r>
      <w:r>
        <w:rPr>
          <w:rFonts w:ascii="Arial" w:cs="Arial" w:eastAsia="Arial" w:hAnsi="Arial"/>
          <w:sz w:val="18"/>
          <w:szCs w:val="18"/>
          <w:i w:val="1"/>
          <w:iCs w:val="1"/>
          <w:color w:val="auto"/>
        </w:rPr>
        <w:t xml:space="preserve"> </w:t>
      </w:r>
      <w:r>
        <w:rPr>
          <w:rFonts w:ascii="Arial" w:cs="Arial" w:eastAsia="Arial" w:hAnsi="Arial"/>
          <w:sz w:val="18"/>
          <w:szCs w:val="18"/>
          <w:color w:val="auto"/>
        </w:rPr>
        <w:t>in notices of redemption as a convenience to Holders. No representation is made as to the correctness of such numbers either as printed on the 2027 Notes or as contained in any notice of redemption and reliance may be placed only on the other elements of identification printed on the 2027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SECURITY</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decrease or</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decrease in</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 of increase in</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Principal amount of this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this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Note to:</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tcPr>
          <w:p>
            <w:pPr>
              <w:spacing w:after="0"/>
              <w:rPr>
                <w:sz w:val="21"/>
                <w:szCs w:val="21"/>
                <w:color w:val="auto"/>
              </w:rPr>
            </w:pPr>
          </w:p>
        </w:tc>
        <w:tc>
          <w:tcPr>
            <w:tcW w:w="6860" w:type="dxa"/>
            <w:vAlign w:val="bottom"/>
            <w:tcBorders>
              <w:top w:val="single" w:sz="8" w:color="auto"/>
            </w:tcBorders>
            <w:gridSpan w:val="4"/>
          </w:tcPr>
          <w:p>
            <w:pPr>
              <w:jc w:val="center"/>
              <w:ind w:right="4560"/>
              <w:spacing w:after="0"/>
              <w:rPr>
                <w:sz w:val="20"/>
                <w:szCs w:val="20"/>
                <w:color w:val="auto"/>
              </w:rPr>
            </w:pPr>
            <w:r>
              <w:rPr>
                <w:rFonts w:ascii="Arial" w:cs="Arial" w:eastAsia="Arial" w:hAnsi="Arial"/>
                <w:sz w:val="18"/>
                <w:szCs w:val="18"/>
                <w:color w:val="auto"/>
                <w:w w:val="89"/>
              </w:rPr>
              <w:t>(Insert assignee’s legal name)</w:t>
            </w:r>
          </w:p>
        </w:tc>
      </w:tr>
      <w:tr>
        <w:trPr>
          <w:trHeight w:val="418"/>
        </w:trPr>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00" w:type="dxa"/>
            <w:vAlign w:val="bottom"/>
            <w:gridSpan w:val="5"/>
          </w:tcPr>
          <w:p>
            <w:pPr>
              <w:jc w:val="center"/>
              <w:ind w:right="2120"/>
              <w:spacing w:after="0"/>
              <w:rPr>
                <w:sz w:val="20"/>
                <w:szCs w:val="20"/>
                <w:color w:val="auto"/>
              </w:rPr>
            </w:pPr>
            <w:r>
              <w:rPr>
                <w:rFonts w:ascii="Arial" w:cs="Arial" w:eastAsia="Arial" w:hAnsi="Arial"/>
                <w:sz w:val="18"/>
                <w:szCs w:val="18"/>
                <w:color w:val="auto"/>
                <w:w w:val="89"/>
              </w:rPr>
              <w:t>(Insert assignee’s soc. sec. or tax I.D. no.)</w:t>
            </w:r>
          </w:p>
        </w:tc>
      </w:tr>
      <w:tr>
        <w:trPr>
          <w:trHeight w:val="418"/>
        </w:trPr>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00" w:type="dxa"/>
            <w:vAlign w:val="bottom"/>
            <w:gridSpan w:val="5"/>
          </w:tcPr>
          <w:p>
            <w:pPr>
              <w:jc w:val="center"/>
              <w:ind w:right="212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37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860" w:type="dxa"/>
            <w:vAlign w:val="bottom"/>
            <w:gridSpan w:val="4"/>
          </w:tcPr>
          <w:p>
            <w:pPr>
              <w:ind w:left="40"/>
              <w:spacing w:after="0"/>
              <w:rPr>
                <w:sz w:val="20"/>
                <w:szCs w:val="20"/>
                <w:color w:val="auto"/>
              </w:rPr>
            </w:pPr>
            <w:r>
              <w:rPr>
                <w:rFonts w:ascii="Arial" w:cs="Arial" w:eastAsia="Arial" w:hAnsi="Arial"/>
                <w:sz w:val="18"/>
                <w:szCs w:val="18"/>
                <w:color w:val="auto"/>
                <w:w w:val="90"/>
              </w:rPr>
              <w:t>to transfer this Note on the books of the Company. The agent may substitute another to act for</w:t>
            </w:r>
          </w:p>
        </w:tc>
      </w:tr>
      <w:tr>
        <w:trPr>
          <w:trHeight w:val="237"/>
        </w:trPr>
        <w:tc>
          <w:tcPr>
            <w:tcW w:w="2120" w:type="dxa"/>
            <w:vAlign w:val="bottom"/>
            <w:gridSpan w:val="3"/>
          </w:tcPr>
          <w:p>
            <w:pPr>
              <w:spacing w:after="0"/>
              <w:rPr>
                <w:sz w:val="20"/>
                <w:szCs w:val="20"/>
                <w:color w:val="auto"/>
              </w:rPr>
            </w:pPr>
            <w:r>
              <w:rPr>
                <w:rFonts w:ascii="Arial" w:cs="Arial" w:eastAsia="Arial" w:hAnsi="Arial"/>
                <w:sz w:val="18"/>
                <w:szCs w:val="18"/>
                <w:color w:val="auto"/>
              </w:rPr>
              <w:t>him</w:t>
            </w:r>
          </w:p>
        </w:tc>
        <w:tc>
          <w:tcPr>
            <w:tcW w:w="2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2120" w:type="dxa"/>
            <w:vAlign w:val="bottom"/>
            <w:gridSpan w:val="3"/>
          </w:tcPr>
          <w:p>
            <w:pPr>
              <w:spacing w:after="0"/>
              <w:rPr>
                <w:sz w:val="20"/>
                <w:szCs w:val="20"/>
                <w:color w:val="auto"/>
              </w:rPr>
            </w:pPr>
            <w:r>
              <w:rPr>
                <w:rFonts w:ascii="Arial" w:cs="Arial" w:eastAsia="Arial" w:hAnsi="Arial"/>
                <w:sz w:val="18"/>
                <w:szCs w:val="18"/>
                <w:color w:val="auto"/>
              </w:rPr>
              <w:t>Date:</w:t>
            </w:r>
          </w:p>
        </w:tc>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26"/>
        </w:trPr>
        <w:tc>
          <w:tcPr>
            <w:tcW w:w="6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6860" w:type="dxa"/>
            <w:vAlign w:val="bottom"/>
            <w:gridSpan w:val="4"/>
          </w:tcPr>
          <w:p>
            <w:pPr>
              <w:ind w:left="1180"/>
              <w:spacing w:after="0"/>
              <w:rPr>
                <w:sz w:val="20"/>
                <w:szCs w:val="20"/>
                <w:color w:val="auto"/>
              </w:rPr>
            </w:pPr>
            <w:r>
              <w:rPr>
                <w:rFonts w:ascii="Arial" w:cs="Arial" w:eastAsia="Arial" w:hAnsi="Arial"/>
                <w:sz w:val="18"/>
                <w:szCs w:val="18"/>
                <w:color w:val="auto"/>
              </w:rPr>
              <w:t>Your Signature:</w:t>
            </w: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720" w:type="dxa"/>
            <w:vAlign w:val="bottom"/>
          </w:tcPr>
          <w:p>
            <w:pPr>
              <w:ind w:left="1180"/>
              <w:spacing w:after="0"/>
              <w:rPr>
                <w:sz w:val="20"/>
                <w:szCs w:val="20"/>
                <w:color w:val="auto"/>
              </w:rPr>
            </w:pPr>
            <w:r>
              <w:rPr>
                <w:rFonts w:ascii="Arial" w:cs="Arial" w:eastAsia="Arial" w:hAnsi="Arial"/>
                <w:sz w:val="18"/>
                <w:szCs w:val="18"/>
                <w:color w:val="auto"/>
                <w:w w:val="92"/>
              </w:rPr>
              <w:t>(sign exactly as your</w:t>
            </w:r>
          </w:p>
        </w:tc>
        <w:tc>
          <w:tcPr>
            <w:tcW w:w="4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appears on the face of this Note)</w:t>
            </w:r>
          </w:p>
        </w:tc>
      </w:tr>
      <w:tr>
        <w:trPr>
          <w:trHeight w:val="404"/>
        </w:trPr>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60" w:type="dxa"/>
            <w:vAlign w:val="bottom"/>
            <w:gridSpan w:val="3"/>
          </w:tcPr>
          <w:p>
            <w:pPr>
              <w:ind w:left="1180"/>
              <w:spacing w:after="0"/>
              <w:rPr>
                <w:sz w:val="20"/>
                <w:szCs w:val="20"/>
                <w:color w:val="auto"/>
              </w:rPr>
            </w:pPr>
            <w:r>
              <w:rPr>
                <w:rFonts w:ascii="Arial" w:cs="Arial" w:eastAsia="Arial" w:hAnsi="Arial"/>
                <w:sz w:val="18"/>
                <w:szCs w:val="18"/>
                <w:color w:val="auto"/>
              </w:rPr>
              <w:t>Tax Identification No:</w:t>
            </w:r>
          </w:p>
        </w:tc>
        <w:tc>
          <w:tcPr>
            <w:tcW w:w="3600" w:type="dxa"/>
            <w:vAlign w:val="bottom"/>
            <w:tcBorders>
              <w:bottom w:val="single" w:sz="8" w:color="auto"/>
            </w:tcBorders>
          </w:tcPr>
          <w:p>
            <w:pPr>
              <w:spacing w:after="0"/>
              <w:rPr>
                <w:sz w:val="24"/>
                <w:szCs w:val="24"/>
                <w:color w:val="auto"/>
              </w:rPr>
            </w:pPr>
          </w:p>
        </w:tc>
      </w:tr>
      <w:tr>
        <w:trPr>
          <w:trHeight w:val="412"/>
        </w:trPr>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100" w:type="dxa"/>
            <w:vAlign w:val="bottom"/>
            <w:gridSpan w:val="2"/>
          </w:tcPr>
          <w:p>
            <w:pPr>
              <w:ind w:left="1180"/>
              <w:spacing w:after="0"/>
              <w:rPr>
                <w:sz w:val="20"/>
                <w:szCs w:val="20"/>
                <w:color w:val="auto"/>
              </w:rPr>
            </w:pPr>
            <w:r>
              <w:rPr>
                <w:rFonts w:ascii="Arial" w:cs="Arial" w:eastAsia="Arial" w:hAnsi="Arial"/>
                <w:sz w:val="18"/>
                <w:szCs w:val="18"/>
                <w:color w:val="auto"/>
              </w:rPr>
              <w:t>Signature Guarantee:</w:t>
            </w:r>
          </w:p>
        </w:tc>
        <w:tc>
          <w:tcPr>
            <w:tcW w:w="3760" w:type="dxa"/>
            <w:vAlign w:val="bottom"/>
            <w:tcBorders>
              <w:bottom w:val="single" w:sz="8" w:color="auto"/>
            </w:tcBorders>
            <w:gridSpan w:val="2"/>
          </w:tcPr>
          <w:p>
            <w:pPr>
              <w:spacing w:after="0"/>
              <w:rPr>
                <w:sz w:val="24"/>
                <w:szCs w:val="24"/>
                <w:color w:val="auto"/>
              </w:rPr>
            </w:pPr>
          </w:p>
        </w:tc>
      </w:tr>
    </w:tbl>
    <w:p>
      <w:pPr>
        <w:spacing w:after="0" w:line="202" w:lineRule="exact"/>
        <w:rPr>
          <w:sz w:val="20"/>
          <w:szCs w:val="20"/>
          <w:color w:val="auto"/>
        </w:rPr>
      </w:pPr>
    </w:p>
    <w:p>
      <w:pPr>
        <w:jc w:val="both"/>
        <w:ind w:right="74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2027 Note purchased by the Company pursuant to Section 4.1 of the Supplemental Indenture, check the box below:</w:t>
      </w:r>
    </w:p>
    <w:p>
      <w:pPr>
        <w:spacing w:after="0" w:line="248" w:lineRule="exact"/>
        <w:rPr>
          <w:sz w:val="20"/>
          <w:szCs w:val="20"/>
          <w:color w:val="auto"/>
        </w:rPr>
      </w:pPr>
    </w:p>
    <w:p>
      <w:pPr>
        <w:ind w:left="1240" w:hanging="584"/>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you want to elect to have only part of the 2027 Note purchased by the Company pursuant to Section 4.1 of the Supplemental Indenture, state the amount you elect to have purchased ($2,000 or integral multiples of $1,000 in excess thereof; provided that the unrepurchased portion of a 2027 Note must be in a minimum principal amount of $2,000):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-38100</wp:posOffset>
            </wp:positionV>
            <wp:extent cx="6000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0702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9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14605</wp:posOffset>
            </wp:positionV>
            <wp:extent cx="23323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14605</wp:posOffset>
            </wp:positionV>
            <wp:extent cx="23926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(Face of 2030 Note)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CUSIP:[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ISIN:[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340" w:type="dxa"/>
            <w:vAlign w:val="bottom"/>
          </w:tcPr>
          <w:p>
            <w:pPr>
              <w:spacing w:after="0"/>
              <w:rPr>
                <w:sz w:val="24"/>
                <w:szCs w:val="24"/>
                <w:color w:val="auto"/>
              </w:rPr>
            </w:pPr>
          </w:p>
        </w:tc>
        <w:tc>
          <w:tcPr>
            <w:tcW w:w="7200" w:type="dxa"/>
            <w:vAlign w:val="bottom"/>
          </w:tcPr>
          <w:p>
            <w:pPr>
              <w:jc w:val="center"/>
              <w:ind w:right="370"/>
              <w:spacing w:after="0"/>
              <w:rPr>
                <w:sz w:val="20"/>
                <w:szCs w:val="20"/>
                <w:color w:val="auto"/>
              </w:rPr>
            </w:pPr>
            <w:r>
              <w:rPr>
                <w:rFonts w:ascii="Arial" w:cs="Arial" w:eastAsia="Arial" w:hAnsi="Arial"/>
                <w:sz w:val="18"/>
                <w:szCs w:val="18"/>
                <w:color w:val="auto"/>
                <w:w w:val="96"/>
              </w:rPr>
              <w:t>MICRON TECHNOLOGY, INC.</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7200" w:type="dxa"/>
            <w:vAlign w:val="bottom"/>
          </w:tcPr>
          <w:p>
            <w:pPr>
              <w:jc w:val="center"/>
              <w:ind w:right="370"/>
              <w:spacing w:after="0"/>
              <w:rPr>
                <w:sz w:val="20"/>
                <w:szCs w:val="20"/>
                <w:color w:val="auto"/>
              </w:rPr>
            </w:pPr>
            <w:r>
              <w:rPr>
                <w:rFonts w:ascii="Arial" w:cs="Arial" w:eastAsia="Arial" w:hAnsi="Arial"/>
                <w:sz w:val="18"/>
                <w:szCs w:val="18"/>
                <w:color w:val="auto"/>
                <w:w w:val="90"/>
              </w:rPr>
              <w:t>4.663% Senior Note due 2030</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2340" w:type="dxa"/>
            <w:vAlign w:val="bottom"/>
          </w:tcPr>
          <w:p>
            <w:pPr>
              <w:spacing w:after="0"/>
              <w:rPr>
                <w:sz w:val="20"/>
                <w:szCs w:val="20"/>
                <w:color w:val="auto"/>
              </w:rPr>
            </w:pPr>
            <w:r>
              <w:rPr>
                <w:rFonts w:ascii="Arial" w:cs="Arial" w:eastAsia="Arial" w:hAnsi="Arial"/>
                <w:sz w:val="18"/>
                <w:szCs w:val="18"/>
                <w:color w:val="auto"/>
              </w:rPr>
              <w:t>No. [   ]</w:t>
            </w:r>
          </w:p>
        </w:tc>
        <w:tc>
          <w:tcPr>
            <w:tcW w:w="7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9120" w:type="dxa"/>
            <w:vAlign w:val="bottom"/>
            <w:gridSpan w:val="5"/>
          </w:tcPr>
          <w:p>
            <w:pPr>
              <w:jc w:val="right"/>
              <w:spacing w:after="0"/>
              <w:rPr>
                <w:sz w:val="20"/>
                <w:szCs w:val="20"/>
                <w:color w:val="auto"/>
              </w:rPr>
            </w:pPr>
            <w:r>
              <w:rPr>
                <w:rFonts w:ascii="Arial" w:cs="Arial" w:eastAsia="Arial" w:hAnsi="Arial"/>
                <w:sz w:val="18"/>
                <w:szCs w:val="18"/>
                <w:color w:val="auto"/>
              </w:rPr>
              <w:t>(as revised by the Schedule of Increases and</w:t>
            </w:r>
          </w:p>
        </w:tc>
      </w:tr>
      <w:tr>
        <w:trPr>
          <w:trHeight w:val="230"/>
        </w:trPr>
        <w:tc>
          <w:tcPr>
            <w:tcW w:w="2340" w:type="dxa"/>
            <w:vAlign w:val="bottom"/>
          </w:tcPr>
          <w:p>
            <w:pPr>
              <w:spacing w:after="0"/>
              <w:rPr>
                <w:sz w:val="20"/>
                <w:szCs w:val="20"/>
                <w:color w:val="auto"/>
              </w:rPr>
            </w:pPr>
          </w:p>
        </w:tc>
        <w:tc>
          <w:tcPr>
            <w:tcW w:w="9120" w:type="dxa"/>
            <w:vAlign w:val="bottom"/>
            <w:gridSpan w:val="5"/>
          </w:tcPr>
          <w:p>
            <w:pPr>
              <w:jc w:val="right"/>
              <w:spacing w:after="0"/>
              <w:rPr>
                <w:sz w:val="20"/>
                <w:szCs w:val="20"/>
                <w:color w:val="auto"/>
              </w:rPr>
            </w:pPr>
            <w:r>
              <w:rPr>
                <w:rFonts w:ascii="Arial" w:cs="Arial" w:eastAsia="Arial" w:hAnsi="Arial"/>
                <w:sz w:val="18"/>
                <w:szCs w:val="18"/>
                <w:color w:val="auto"/>
              </w:rPr>
              <w:t>Decreases in Global Note attached hereto)</w:t>
            </w:r>
          </w:p>
        </w:tc>
      </w:tr>
      <w:tr>
        <w:trPr>
          <w:trHeight w:val="418"/>
        </w:trPr>
        <w:tc>
          <w:tcPr>
            <w:tcW w:w="9540" w:type="dxa"/>
            <w:vAlign w:val="bottom"/>
            <w:gridSpan w:val="2"/>
          </w:tcPr>
          <w:p>
            <w:pPr>
              <w:spacing w:after="0"/>
              <w:rPr>
                <w:sz w:val="20"/>
                <w:szCs w:val="20"/>
                <w:color w:val="auto"/>
              </w:rPr>
            </w:pPr>
            <w:r>
              <w:rPr>
                <w:rFonts w:ascii="Arial" w:cs="Arial" w:eastAsia="Arial" w:hAnsi="Arial"/>
                <w:sz w:val="18"/>
                <w:szCs w:val="18"/>
                <w:color w:val="auto"/>
                <w:w w:val="94"/>
              </w:rPr>
              <w:t>Micron Technology, Inc., a Delaware corporation, promises to pay to CEDE &amp; CO. or registered assigns, the principal sum of $[</w:t>
            </w:r>
          </w:p>
        </w:tc>
        <w:tc>
          <w:tcPr>
            <w:tcW w:w="17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 (as revised by the</w:t>
            </w:r>
          </w:p>
        </w:tc>
        <w:tc>
          <w:tcPr>
            <w:tcW w:w="200" w:type="dxa"/>
            <w:vAlign w:val="bottom"/>
          </w:tcPr>
          <w:p>
            <w:pPr>
              <w:spacing w:after="0"/>
              <w:rPr>
                <w:sz w:val="24"/>
                <w:szCs w:val="24"/>
                <w:color w:val="auto"/>
              </w:rPr>
            </w:pP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Schedule of Increases and Decreases in Global Note attached hereto) on February 15, 2030.</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200" w:type="dxa"/>
            <w:vAlign w:val="bottom"/>
          </w:tcPr>
          <w:p>
            <w:pPr>
              <w:ind w:left="600"/>
              <w:spacing w:after="0"/>
              <w:rPr>
                <w:sz w:val="20"/>
                <w:szCs w:val="20"/>
                <w:color w:val="auto"/>
              </w:rPr>
            </w:pPr>
            <w:r>
              <w:rPr>
                <w:rFonts w:ascii="Arial" w:cs="Arial" w:eastAsia="Arial" w:hAnsi="Arial"/>
                <w:sz w:val="18"/>
                <w:szCs w:val="18"/>
                <w:color w:val="auto"/>
              </w:rPr>
              <w:t>February 15 and August 15</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Record Dates:</w:t>
            </w:r>
          </w:p>
        </w:tc>
        <w:tc>
          <w:tcPr>
            <w:tcW w:w="7200" w:type="dxa"/>
            <w:vAlign w:val="bottom"/>
          </w:tcPr>
          <w:p>
            <w:pPr>
              <w:ind w:left="640"/>
              <w:spacing w:after="0"/>
              <w:rPr>
                <w:sz w:val="20"/>
                <w:szCs w:val="20"/>
                <w:color w:val="auto"/>
              </w:rPr>
            </w:pPr>
            <w:r>
              <w:rPr>
                <w:rFonts w:ascii="Arial" w:cs="Arial" w:eastAsia="Arial" w:hAnsi="Arial"/>
                <w:sz w:val="18"/>
                <w:szCs w:val="18"/>
                <w:color w:val="auto"/>
              </w:rPr>
              <w:t>January 31 and July 31</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2340" w:type="dxa"/>
            <w:vAlign w:val="bottom"/>
          </w:tcPr>
          <w:p>
            <w:pPr>
              <w:spacing w:after="0"/>
              <w:rPr>
                <w:sz w:val="24"/>
                <w:szCs w:val="24"/>
                <w:color w:val="auto"/>
              </w:rPr>
            </w:pPr>
          </w:p>
        </w:tc>
        <w:tc>
          <w:tcPr>
            <w:tcW w:w="7200" w:type="dxa"/>
            <w:vAlign w:val="bottom"/>
          </w:tcPr>
          <w:p>
            <w:pPr>
              <w:jc w:val="center"/>
              <w:ind w:right="370"/>
              <w:spacing w:after="0"/>
              <w:rPr>
                <w:sz w:val="20"/>
                <w:szCs w:val="20"/>
                <w:color w:val="auto"/>
              </w:rPr>
            </w:pPr>
            <w:r>
              <w:rPr>
                <w:rFonts w:ascii="Arial" w:cs="Arial" w:eastAsia="Arial" w:hAnsi="Arial"/>
                <w:sz w:val="18"/>
                <w:szCs w:val="18"/>
                <w:color w:val="auto"/>
                <w:w w:val="92"/>
              </w:rPr>
              <w:t>B-1</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2"/>
        </w:trPr>
        <w:tc>
          <w:tcPr>
            <w:tcW w:w="2340" w:type="dxa"/>
            <w:vAlign w:val="bottom"/>
            <w:tcBorders>
              <w:bottom w:val="single" w:sz="8" w:color="808080"/>
            </w:tcBorders>
          </w:tcPr>
          <w:p>
            <w:pPr>
              <w:spacing w:after="0"/>
              <w:rPr>
                <w:sz w:val="11"/>
                <w:szCs w:val="11"/>
                <w:color w:val="auto"/>
              </w:rPr>
            </w:pPr>
          </w:p>
        </w:tc>
        <w:tc>
          <w:tcPr>
            <w:tcW w:w="72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81" w:name="page82"/>
    <w:bookmarkEnd w:id="81"/>
    <w:p>
      <w:pPr>
        <w:ind w:left="37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33445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82" w:name="page83"/>
    <w:bookmarkEnd w:id="82"/>
    <w:p>
      <w:pPr>
        <w:jc w:val="center"/>
        <w:ind w:right="160"/>
        <w:spacing w:after="0"/>
        <w:rPr>
          <w:sz w:val="20"/>
          <w:szCs w:val="20"/>
          <w:color w:val="auto"/>
        </w:rPr>
      </w:pPr>
      <w:r>
        <w:rPr>
          <w:rFonts w:ascii="Arial" w:cs="Arial" w:eastAsia="Arial" w:hAnsi="Arial"/>
          <w:sz w:val="18"/>
          <w:szCs w:val="18"/>
          <w:color w:val="auto"/>
        </w:rPr>
        <w:t>(Back of 2030 Note)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4.663% Senior Note due 2030</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638"/>
        <w:spacing w:after="0" w:line="269" w:lineRule="auto"/>
        <w:tabs>
          <w:tab w:leader="none" w:pos="1296"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2030 Note at 4.663% per annum from the date hereof until maturity. The Company will pay interest semi-annually on February 15 and August 15 of each year, commencing February 15, 2020,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2030 Notes will accrue from the most recent date to which interest has been paid or provided for or, if no interest has been paid or provided for, from July 12, 2019;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no existing Default in the payment of interest, and if this 2030 Note is authenticated between a record date referred to on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2030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2" w:lineRule="exact"/>
        <w:rPr>
          <w:rFonts w:ascii="Arial" w:cs="Arial" w:eastAsia="Arial" w:hAnsi="Arial"/>
          <w:sz w:val="17"/>
          <w:szCs w:val="17"/>
          <w:color w:val="auto"/>
        </w:rPr>
      </w:pPr>
    </w:p>
    <w:p>
      <w:pPr>
        <w:ind w:firstLine="638"/>
        <w:spacing w:after="0" w:line="288" w:lineRule="auto"/>
        <w:tabs>
          <w:tab w:leader="none" w:pos="1296"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2030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2030 Notes at the close of business on the January 31 or July 31 (whether or not a Business Day) next preceding the Interest Payment Date, even if such 2030 Notes are canceled after such record date and on or before such Interest Payment Date, except as provided in Section 2.13 of the Base Indenture with respect to defaulted interest. Principal and interest on the 2030 Notes will be made by (a) check mailed to the Holders of the 2030 Notes at their respective addresses set forth in the register of Holders of 2030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2030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9" w:lineRule="exact"/>
        <w:rPr>
          <w:rFonts w:ascii="Arial" w:cs="Arial" w:eastAsia="Arial" w:hAnsi="Arial"/>
          <w:sz w:val="16"/>
          <w:szCs w:val="16"/>
          <w:color w:val="auto"/>
        </w:rPr>
      </w:pPr>
    </w:p>
    <w:p>
      <w:pPr>
        <w:jc w:val="both"/>
        <w:ind w:right="120" w:firstLine="638"/>
        <w:spacing w:after="0" w:line="264" w:lineRule="auto"/>
        <w:tabs>
          <w:tab w:leader="none" w:pos="129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200" w:firstLine="638"/>
        <w:spacing w:after="0" w:line="277" w:lineRule="auto"/>
        <w:tabs>
          <w:tab w:leader="none" w:pos="129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2030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83" w:name="page84"/>
    <w:bookmarkEnd w:id="83"/>
    <w:p>
      <w:pPr>
        <w:ind w:right="140"/>
        <w:spacing w:after="0" w:line="272" w:lineRule="auto"/>
        <w:rPr>
          <w:sz w:val="20"/>
          <w:szCs w:val="20"/>
          <w:color w:val="auto"/>
        </w:rPr>
      </w:pPr>
      <w:r>
        <w:rPr>
          <w:rFonts w:ascii="Arial" w:cs="Arial" w:eastAsia="Arial" w:hAnsi="Arial"/>
          <w:sz w:val="17"/>
          <w:szCs w:val="17"/>
          <w:color w:val="auto"/>
        </w:rPr>
        <w:t>of February 6, 2019 between the Company and the Trustee, as amended by the Second Supplemental Indenture, dated as of July 12, 2019,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2030 Notes include those stated in the Indenture and those made part of the Indenture by reference to the TIA. The 2030 Notes are subject to all such terms, and Holders are referred to the Indenture and such Act for a statement of such terms. To the extent any provision of this 2030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2030 Notes pursuant to Section 2.3 of the Supplemental Indenture.</w:t>
      </w:r>
    </w:p>
    <w:p>
      <w:pPr>
        <w:spacing w:after="0" w:line="178" w:lineRule="exact"/>
        <w:rPr>
          <w:sz w:val="20"/>
          <w:szCs w:val="20"/>
          <w:color w:val="auto"/>
        </w:rPr>
      </w:pPr>
    </w:p>
    <w:p>
      <w:pPr>
        <w:ind w:right="220" w:firstLine="638"/>
        <w:spacing w:after="0" w:line="264"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181" w:lineRule="exact"/>
        <w:rPr>
          <w:rFonts w:ascii="Arial" w:cs="Arial" w:eastAsia="Arial" w:hAnsi="Arial"/>
          <w:sz w:val="18"/>
          <w:szCs w:val="18"/>
          <w:color w:val="auto"/>
        </w:rPr>
      </w:pPr>
    </w:p>
    <w:p>
      <w:pPr>
        <w:ind w:right="100" w:firstLine="638"/>
        <w:spacing w:after="0" w:line="277"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2030 Notes.</w:t>
      </w:r>
    </w:p>
    <w:p>
      <w:pPr>
        <w:spacing w:after="0" w:line="170" w:lineRule="exact"/>
        <w:rPr>
          <w:rFonts w:ascii="Arial" w:cs="Arial" w:eastAsia="Arial" w:hAnsi="Arial"/>
          <w:sz w:val="18"/>
          <w:szCs w:val="18"/>
          <w:color w:val="auto"/>
        </w:rPr>
      </w:pPr>
    </w:p>
    <w:p>
      <w:pPr>
        <w:ind w:right="460" w:firstLine="638"/>
        <w:spacing w:after="0" w:line="342" w:lineRule="auto"/>
        <w:tabs>
          <w:tab w:leader="none" w:pos="129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OFFER TO PURCHASE UPON CHANGE OF CONTROL</w:t>
      </w:r>
      <w:r>
        <w:rPr>
          <w:rFonts w:ascii="Arial" w:cs="Arial" w:eastAsia="Arial" w:hAnsi="Arial"/>
          <w:sz w:val="16"/>
          <w:szCs w:val="16"/>
          <w:color w:val="auto"/>
        </w:rPr>
        <w:t>. If a Change of Control Triggering Event with respect to the 2030 Notes</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the Company may be required to make an offer to purchase the 2030 Notes in the manner and with the effect provided in the Indenture.</w:t>
      </w:r>
    </w:p>
    <w:p>
      <w:pPr>
        <w:spacing w:after="0" w:line="123" w:lineRule="exact"/>
        <w:rPr>
          <w:rFonts w:ascii="Arial" w:cs="Arial" w:eastAsia="Arial" w:hAnsi="Arial"/>
          <w:sz w:val="16"/>
          <w:szCs w:val="16"/>
          <w:color w:val="auto"/>
        </w:rPr>
      </w:pPr>
    </w:p>
    <w:p>
      <w:pPr>
        <w:ind w:firstLine="638"/>
        <w:spacing w:after="0" w:line="272" w:lineRule="auto"/>
        <w:tabs>
          <w:tab w:leader="none" w:pos="1296"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2030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2030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2030 Note or portion of a 2030 Note selected for redemption, except for the unredeemed portion of any 2030 Note being redeemed in part. Also, neither the Trustee nor the Company need exchange or register the transfer of any 2030 Notes for a period of 15 days before the day of any selection of 2030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140" w:firstLine="638"/>
        <w:spacing w:after="0" w:line="277"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2030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00" w:firstLine="638"/>
        <w:spacing w:after="0" w:line="273" w:lineRule="auto"/>
        <w:tabs>
          <w:tab w:leader="none" w:pos="1292"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2030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2030 Notes then outstanding, including, without limitation, consents obtained in connection with a tender offer or exchange offer for the 2030 Notes, and any existing default or compliance with any provision of the Indenture or the 2030 Notes, may be waived with the consent of the Holders of a majority in principal amount of the then outstanding 2030 Notes, including, without limitation, consents obtained in connection with a tender offer or exchange offer for the 2030 Notes. The Indenture or the 2030 Notes may be amended or supplemented without the consent of any Holder of a 2030 Note as described in the Indenture.</w:t>
      </w:r>
    </w:p>
    <w:p>
      <w:pPr>
        <w:spacing w:after="0" w:line="178" w:lineRule="exact"/>
        <w:rPr>
          <w:rFonts w:ascii="Arial" w:cs="Arial" w:eastAsia="Arial" w:hAnsi="Arial"/>
          <w:sz w:val="17"/>
          <w:szCs w:val="17"/>
          <w:color w:val="auto"/>
        </w:rPr>
      </w:pPr>
    </w:p>
    <w:p>
      <w:pPr>
        <w:ind w:right="160" w:firstLine="638"/>
        <w:spacing w:after="0" w:line="264" w:lineRule="auto"/>
        <w:tabs>
          <w:tab w:leader="none" w:pos="128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2030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2030 Notes may be declared due and payable in the manner and with the effect provided in the Indenture.</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20" w:top="341" w:right="259" w:bottom="1440" w:gutter="0" w:footer="0" w:header="0"/>
        </w:sectPr>
      </w:pPr>
    </w:p>
    <w:bookmarkStart w:id="84" w:name="page85"/>
    <w:bookmarkEnd w:id="84"/>
    <w:p>
      <w:pPr>
        <w:ind w:left="180" w:right="220" w:firstLine="638"/>
        <w:spacing w:after="0" w:line="342" w:lineRule="auto"/>
        <w:tabs>
          <w:tab w:leader="none" w:pos="1472"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2030 Notes and may otherwise deal with the Company or an Affiliate of the Company with the same rights it would have if it were not Trustee.</w:t>
      </w:r>
    </w:p>
    <w:p>
      <w:pPr>
        <w:spacing w:after="0" w:line="123" w:lineRule="exact"/>
        <w:rPr>
          <w:rFonts w:ascii="Arial" w:cs="Arial" w:eastAsia="Arial" w:hAnsi="Arial"/>
          <w:sz w:val="16"/>
          <w:szCs w:val="16"/>
          <w:color w:val="auto"/>
        </w:rPr>
      </w:pPr>
    </w:p>
    <w:p>
      <w:pPr>
        <w:ind w:left="180" w:right="180" w:firstLine="638"/>
        <w:spacing w:after="0" w:line="259" w:lineRule="auto"/>
        <w:tabs>
          <w:tab w:leader="none" w:pos="147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2030 Notes or the Indenture or for any claim based on, or in respect or by reason of, such obligations or their creation. By accepting a 2030 Note, each Holder waives and releases all such liability. This waiver and release is part of the consideration for the issue of the 2030 Notes.</w:t>
      </w:r>
    </w:p>
    <w:p>
      <w:pPr>
        <w:spacing w:after="0" w:line="186" w:lineRule="exact"/>
        <w:rPr>
          <w:rFonts w:ascii="Arial" w:cs="Arial" w:eastAsia="Arial" w:hAnsi="Arial"/>
          <w:sz w:val="18"/>
          <w:szCs w:val="18"/>
          <w:color w:val="auto"/>
        </w:rPr>
      </w:pPr>
    </w:p>
    <w:p>
      <w:pPr>
        <w:ind w:left="1460" w:hanging="642"/>
        <w:spacing w:after="0"/>
        <w:tabs>
          <w:tab w:leader="none" w:pos="14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2030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180" w:right="140" w:firstLine="638"/>
        <w:spacing w:after="0" w:line="264" w:lineRule="auto"/>
        <w:tabs>
          <w:tab w:leader="none" w:pos="147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180" w:right="20" w:firstLine="638"/>
        <w:spacing w:after="0" w:line="257" w:lineRule="auto"/>
        <w:tabs>
          <w:tab w:leader="none" w:pos="147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2030 Notes and the Trustee shall use CUSIP numbers</w:t>
      </w:r>
      <w:r>
        <w:rPr>
          <w:rFonts w:ascii="Arial" w:cs="Arial" w:eastAsia="Arial" w:hAnsi="Arial"/>
          <w:sz w:val="18"/>
          <w:szCs w:val="18"/>
          <w:i w:val="1"/>
          <w:iCs w:val="1"/>
          <w:color w:val="auto"/>
        </w:rPr>
        <w:t xml:space="preserve"> </w:t>
      </w:r>
      <w:r>
        <w:rPr>
          <w:rFonts w:ascii="Arial" w:cs="Arial" w:eastAsia="Arial" w:hAnsi="Arial"/>
          <w:sz w:val="18"/>
          <w:szCs w:val="18"/>
          <w:color w:val="auto"/>
        </w:rPr>
        <w:t>in notices of redemption as a convenience to Holders. No representation is made as to the correctness of such numbers either as printed on the 2030 Notes or as contained in any notice of redemption and reliance may be placed only on the other elements of identification printed on the 2030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SECURITY</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decrease or</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decrease in</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 of increase in</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Principal amount of this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this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Note to:</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9020" w:type="dxa"/>
            <w:vAlign w:val="bottom"/>
            <w:tcBorders>
              <w:top w:val="single" w:sz="8" w:color="auto"/>
            </w:tcBorders>
            <w:gridSpan w:val="5"/>
          </w:tcPr>
          <w:p>
            <w:pPr>
              <w:jc w:val="center"/>
              <w:ind w:right="2400"/>
              <w:spacing w:after="0"/>
              <w:rPr>
                <w:sz w:val="20"/>
                <w:szCs w:val="20"/>
                <w:color w:val="auto"/>
              </w:rPr>
            </w:pPr>
            <w:r>
              <w:rPr>
                <w:rFonts w:ascii="Arial" w:cs="Arial" w:eastAsia="Arial" w:hAnsi="Arial"/>
                <w:sz w:val="18"/>
                <w:szCs w:val="18"/>
                <w:color w:val="auto"/>
                <w:w w:val="89"/>
              </w:rPr>
              <w:t>(Insert assignee’s legal name)</w:t>
            </w:r>
          </w:p>
        </w:tc>
      </w:tr>
      <w:tr>
        <w:trPr>
          <w:trHeight w:val="418"/>
        </w:trPr>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20" w:type="dxa"/>
            <w:vAlign w:val="bottom"/>
            <w:gridSpan w:val="5"/>
          </w:tcPr>
          <w:p>
            <w:pPr>
              <w:jc w:val="center"/>
              <w:ind w:right="2400"/>
              <w:spacing w:after="0"/>
              <w:rPr>
                <w:sz w:val="20"/>
                <w:szCs w:val="20"/>
                <w:color w:val="auto"/>
              </w:rPr>
            </w:pPr>
            <w:r>
              <w:rPr>
                <w:rFonts w:ascii="Arial" w:cs="Arial" w:eastAsia="Arial" w:hAnsi="Arial"/>
                <w:sz w:val="18"/>
                <w:szCs w:val="18"/>
                <w:color w:val="auto"/>
                <w:w w:val="89"/>
              </w:rPr>
              <w:t>(Insert assignee’s soc. sec. or tax I.D. no.)</w:t>
            </w:r>
          </w:p>
        </w:tc>
      </w:tr>
      <w:tr>
        <w:trPr>
          <w:trHeight w:val="418"/>
        </w:trPr>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20" w:type="dxa"/>
            <w:vAlign w:val="bottom"/>
            <w:gridSpan w:val="5"/>
          </w:tcPr>
          <w:p>
            <w:pPr>
              <w:jc w:val="center"/>
              <w:ind w:right="240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37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16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to transfer this Note on the books of the Company. The agent may</w:t>
            </w:r>
          </w:p>
        </w:tc>
      </w:tr>
      <w:tr>
        <w:trPr>
          <w:trHeight w:val="237"/>
        </w:trPr>
        <w:tc>
          <w:tcPr>
            <w:tcW w:w="2400" w:type="dxa"/>
            <w:vAlign w:val="bottom"/>
            <w:gridSpan w:val="3"/>
          </w:tcPr>
          <w:p>
            <w:pPr>
              <w:spacing w:after="0"/>
              <w:rPr>
                <w:sz w:val="20"/>
                <w:szCs w:val="20"/>
                <w:color w:val="auto"/>
              </w:rPr>
            </w:pPr>
            <w:r>
              <w:rPr>
                <w:rFonts w:ascii="Arial" w:cs="Arial" w:eastAsia="Arial" w:hAnsi="Arial"/>
                <w:sz w:val="18"/>
                <w:szCs w:val="18"/>
                <w:color w:val="auto"/>
                <w:w w:val="94"/>
              </w:rPr>
              <w:t>substitute another to act for him</w:t>
            </w:r>
          </w:p>
        </w:tc>
        <w:tc>
          <w:tcPr>
            <w:tcW w:w="3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32"/>
        </w:trPr>
        <w:tc>
          <w:tcPr>
            <w:tcW w:w="2400" w:type="dxa"/>
            <w:vAlign w:val="bottom"/>
            <w:gridSpan w:val="3"/>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26"/>
        </w:trPr>
        <w:tc>
          <w:tcPr>
            <w:tcW w:w="6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020" w:type="dxa"/>
            <w:vAlign w:val="bottom"/>
            <w:gridSpan w:val="5"/>
          </w:tcPr>
          <w:p>
            <w:pPr>
              <w:ind w:left="3340"/>
              <w:spacing w:after="0"/>
              <w:rPr>
                <w:sz w:val="20"/>
                <w:szCs w:val="20"/>
                <w:color w:val="auto"/>
              </w:rPr>
            </w:pPr>
            <w:r>
              <w:rPr>
                <w:rFonts w:ascii="Arial" w:cs="Arial" w:eastAsia="Arial" w:hAnsi="Arial"/>
                <w:sz w:val="18"/>
                <w:szCs w:val="18"/>
                <w:color w:val="auto"/>
              </w:rPr>
              <w:t>Your Signature:</w:t>
            </w: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80" w:type="dxa"/>
            <w:vAlign w:val="bottom"/>
            <w:gridSpan w:val="2"/>
          </w:tcPr>
          <w:p>
            <w:pPr>
              <w:ind w:left="3340"/>
              <w:spacing w:after="0"/>
              <w:rPr>
                <w:sz w:val="20"/>
                <w:szCs w:val="20"/>
                <w:color w:val="auto"/>
              </w:rPr>
            </w:pPr>
            <w:r>
              <w:rPr>
                <w:rFonts w:ascii="Arial" w:cs="Arial" w:eastAsia="Arial" w:hAnsi="Arial"/>
                <w:sz w:val="18"/>
                <w:szCs w:val="18"/>
                <w:color w:val="auto"/>
                <w:w w:val="92"/>
              </w:rPr>
              <w:t>(sign exactly as your</w:t>
            </w:r>
          </w:p>
        </w:tc>
        <w:tc>
          <w:tcPr>
            <w:tcW w:w="4140" w:type="dxa"/>
            <w:vAlign w:val="bottom"/>
            <w:tcBorders>
              <w:top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88"/>
              </w:rPr>
              <w:t>name appears on the face of this Note)</w:t>
            </w:r>
          </w:p>
        </w:tc>
      </w:tr>
      <w:tr>
        <w:trPr>
          <w:trHeight w:val="404"/>
        </w:trPr>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60" w:type="dxa"/>
            <w:vAlign w:val="bottom"/>
            <w:gridSpan w:val="4"/>
          </w:tcPr>
          <w:p>
            <w:pPr>
              <w:ind w:left="3340"/>
              <w:spacing w:after="0"/>
              <w:rPr>
                <w:sz w:val="20"/>
                <w:szCs w:val="20"/>
                <w:color w:val="auto"/>
              </w:rPr>
            </w:pPr>
            <w:r>
              <w:rPr>
                <w:rFonts w:ascii="Arial" w:cs="Arial" w:eastAsia="Arial" w:hAnsi="Arial"/>
                <w:sz w:val="18"/>
                <w:szCs w:val="18"/>
                <w:color w:val="auto"/>
              </w:rPr>
              <w:t>Tax Identification No:</w:t>
            </w:r>
          </w:p>
        </w:tc>
        <w:tc>
          <w:tcPr>
            <w:tcW w:w="3660" w:type="dxa"/>
            <w:vAlign w:val="bottom"/>
            <w:tcBorders>
              <w:bottom w:val="single" w:sz="8" w:color="auto"/>
            </w:tcBorders>
          </w:tcPr>
          <w:p>
            <w:pPr>
              <w:spacing w:after="0"/>
              <w:rPr>
                <w:sz w:val="24"/>
                <w:szCs w:val="24"/>
                <w:color w:val="auto"/>
              </w:rPr>
            </w:pPr>
          </w:p>
        </w:tc>
      </w:tr>
      <w:tr>
        <w:trPr>
          <w:trHeight w:val="412"/>
        </w:trPr>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60" w:type="dxa"/>
            <w:vAlign w:val="bottom"/>
            <w:gridSpan w:val="3"/>
          </w:tcPr>
          <w:p>
            <w:pPr>
              <w:ind w:left="3340"/>
              <w:spacing w:after="0"/>
              <w:rPr>
                <w:sz w:val="20"/>
                <w:szCs w:val="20"/>
                <w:color w:val="auto"/>
              </w:rPr>
            </w:pPr>
            <w:r>
              <w:rPr>
                <w:rFonts w:ascii="Arial" w:cs="Arial" w:eastAsia="Arial" w:hAnsi="Arial"/>
                <w:sz w:val="18"/>
                <w:szCs w:val="18"/>
                <w:color w:val="auto"/>
              </w:rPr>
              <w:t>Signature Guarantee:</w:t>
            </w:r>
          </w:p>
        </w:tc>
        <w:tc>
          <w:tcPr>
            <w:tcW w:w="3760" w:type="dxa"/>
            <w:vAlign w:val="bottom"/>
            <w:tcBorders>
              <w:bottom w:val="single" w:sz="8" w:color="auto"/>
            </w:tcBorders>
            <w:gridSpan w:val="2"/>
          </w:tcPr>
          <w:p>
            <w:pPr>
              <w:spacing w:after="0"/>
              <w:rPr>
                <w:sz w:val="24"/>
                <w:szCs w:val="24"/>
                <w:color w:val="auto"/>
              </w:rPr>
            </w:pPr>
          </w:p>
        </w:tc>
      </w:tr>
    </w:tbl>
    <w:p>
      <w:pPr>
        <w:spacing w:after="0" w:line="202" w:lineRule="exact"/>
        <w:rPr>
          <w:sz w:val="20"/>
          <w:szCs w:val="20"/>
          <w:color w:val="auto"/>
        </w:rPr>
      </w:pPr>
    </w:p>
    <w:p>
      <w:pPr>
        <w:jc w:val="both"/>
        <w:ind w:right="74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If you want to elect to have this </w:t>
      </w:r>
      <w:r>
        <w:rPr>
          <w:rFonts w:ascii="Arial" w:cs="Arial" w:eastAsia="Arial" w:hAnsi="Arial"/>
          <w:sz w:val="15"/>
          <w:szCs w:val="15"/>
          <w:color w:val="auto"/>
        </w:rPr>
        <w:t>2030</w:t>
      </w:r>
      <w:r>
        <w:rPr>
          <w:rFonts w:ascii="Arial" w:cs="Arial" w:eastAsia="Arial" w:hAnsi="Arial"/>
          <w:sz w:val="16"/>
          <w:szCs w:val="16"/>
          <w:color w:val="auto"/>
        </w:rPr>
        <w:t xml:space="preserve"> Note purchased by the Company pursuant to Section 4.1 of the Supplemental Indenture, check the box below:</w:t>
      </w:r>
    </w:p>
    <w:p>
      <w:pPr>
        <w:spacing w:after="0" w:line="248" w:lineRule="exact"/>
        <w:rPr>
          <w:sz w:val="20"/>
          <w:szCs w:val="20"/>
          <w:color w:val="auto"/>
        </w:rPr>
      </w:pPr>
    </w:p>
    <w:p>
      <w:pPr>
        <w:ind w:left="1240" w:hanging="584"/>
        <w:spacing w:after="0"/>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If you want to elect to have only part of the </w:t>
      </w:r>
      <w:r>
        <w:rPr>
          <w:rFonts w:ascii="Arial" w:cs="Arial" w:eastAsia="Arial" w:hAnsi="Arial"/>
          <w:sz w:val="17"/>
          <w:szCs w:val="17"/>
          <w:color w:val="auto"/>
        </w:rPr>
        <w:t>2030</w:t>
      </w:r>
      <w:r>
        <w:rPr>
          <w:rFonts w:ascii="Arial" w:cs="Arial" w:eastAsia="Arial" w:hAnsi="Arial"/>
          <w:sz w:val="18"/>
          <w:szCs w:val="18"/>
          <w:color w:val="auto"/>
        </w:rPr>
        <w:t xml:space="preserve"> Note purchased by the Company pursuant to Section 4.1 of the Supplemental Indenture, state the amount you elect to have purchased ($2,000 or integral multiples of $1,000 in excess thereof; provided that the unrepurchased portion of a 2030 Note must be in a minimum principal amount of $2,000):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-38100</wp:posOffset>
            </wp:positionV>
            <wp:extent cx="571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0702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9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14605</wp:posOffset>
            </wp:positionV>
            <wp:extent cx="23926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acted as counsel to Micron Technology, Inc., a Delaware corporation (the “Company”), in connection with the filing by the Company with the Securities and Exchange Commission (the “Commission”) on October 10, 2017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(the “Debt Securities”), with an indeterminate amount as may at various times be issued at indeterminate prices, in reliance on Rule 456(b) and Rule 457(r) under the Act.</w:t>
      </w:r>
    </w:p>
    <w:p>
      <w:pPr>
        <w:spacing w:after="0" w:line="19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Pursuant to the Registration Statement, the Company has issued $900,000,000 aggregate principal amount of Senior Notes due 2027 (the “2027 Notes”) and $850,000,000 aggregate principal amount of Senior Notes due 2030 (the “2030 Notes” and, together with the 2027 Notes, the “Notes”), all of which have been sold pursuant to that certain Underwriting Agreement (the “Underwriting Agreement”), dated as of July 10, 2019, among the Company, Goldman Sachs &amp; Co. LLC, J.P. Morgan Securities LLC and Wells Fargo Securities, LLC, as representatives of the other several underwriters named in Schedule I thereto.</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Each series of Notes has been issued in the form set forth in the Indenture, dated as of February 6, 2019 (the “Base Indenture”), between the Company and U.S. Bank National Association, as trustee (the “Trustee”) as supplemented by that certain Second Supplemental Indenture dated as of July 12, 2019 (the “Second Supplemental Indenture” and together with the Base Indenture, the “Indenture”), between the Company and the Trustee.</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examined the Registration Statement, together with the exhibits thereto and the documents incorporated by reference therein; the prospectus, dated October 10, 2017, together with the documents incorporated by reference therein, filed with the Registration Statement (the “Prospectus”); the preliminary prospectus supplement, dated July 10, 2019, in the form filed with the Commission pursuant to Rule 424(b) of the Securities Act relating to the offering of the Notes; the free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ind w:right="20"/>
        <w:spacing w:after="0" w:line="257" w:lineRule="auto"/>
        <w:rPr>
          <w:sz w:val="20"/>
          <w:szCs w:val="20"/>
          <w:color w:val="auto"/>
        </w:rPr>
      </w:pPr>
      <w:r>
        <w:rPr>
          <w:rFonts w:ascii="Arial" w:cs="Arial" w:eastAsia="Arial" w:hAnsi="Arial"/>
          <w:sz w:val="18"/>
          <w:szCs w:val="18"/>
          <w:color w:val="auto"/>
        </w:rPr>
        <w:t>prospectus, dated July 10, 2019, in the form filed with the Commission pursuant to Rule 433 of the Securities Act; the final prospectus supplement, dated July 10, 2019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9" w:name="page90"/>
    <w:bookmarkEnd w:id="89"/>
    <w:p>
      <w:pPr>
        <w:ind w:firstLine="648"/>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20"/>
      </w:cols>
      <w:pgMar w:left="760" w:top="3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o"/>
      <w:numFmt w:val="bullet"/>
      <w:start w:val="1"/>
    </w:lvl>
  </w:abstractNum>
  <w:abstractNum w:abstractNumId="1">
    <w:nsid w:val="70A64E2A"/>
    <w:multiLevelType w:val="hybridMultilevel"/>
    <w:lvl w:ilvl="0">
      <w:lvlJc w:val="left"/>
      <w:lvlText w:val="(%1)"/>
      <w:numFmt w:val="lowerRoman"/>
      <w:start w:val="2"/>
    </w:lvl>
  </w:abstractNum>
  <w:abstractNum w:abstractNumId="2">
    <w:nsid w:val="6A2342EC"/>
    <w:multiLevelType w:val="hybridMultilevel"/>
    <w:lvl w:ilvl="0">
      <w:lvlJc w:val="left"/>
      <w:lvlText w:val="%1."/>
      <w:numFmt w:val="decimal"/>
      <w:start w:val="1"/>
    </w:lvl>
    <w:lvl w:ilvl="1">
      <w:lvlJc w:val="left"/>
      <w:lvlText w:val="(%2)"/>
      <w:numFmt w:val="lowerLetter"/>
      <w:start w:val="1"/>
    </w:lvl>
  </w:abstractNum>
  <w:abstractNum w:abstractNumId="3">
    <w:nsid w:val="2A487CB0"/>
    <w:multiLevelType w:val="hybridMultilevel"/>
    <w:lvl w:ilvl="0">
      <w:lvlJc w:val="left"/>
      <w:lvlText w:val="(%1)"/>
      <w:numFmt w:val="lowerLetter"/>
      <w:start w:val="2"/>
    </w:lvl>
  </w:abstractNum>
  <w:abstractNum w:abstractNumId="4">
    <w:nsid w:val="1D4ED43B"/>
    <w:multiLevelType w:val="hybridMultilevel"/>
    <w:lvl w:ilvl="0">
      <w:lvlJc w:val="left"/>
      <w:lvlText w:val="(%1)"/>
      <w:numFmt w:val="lowerLetter"/>
      <w:start w:val="4"/>
    </w:lvl>
  </w:abstractNum>
  <w:abstractNum w:abstractNumId="5">
    <w:nsid w:val="725A06FB"/>
    <w:multiLevelType w:val="hybridMultilevel"/>
    <w:lvl w:ilvl="0">
      <w:lvlJc w:val="left"/>
      <w:lvlText w:val="(%1)"/>
      <w:numFmt w:val="lowerLetter"/>
      <w:start w:val="6"/>
    </w:lvl>
  </w:abstractNum>
  <w:abstractNum w:abstractNumId="6">
    <w:nsid w:val="2CD89A32"/>
    <w:multiLevelType w:val="hybridMultilevel"/>
    <w:lvl w:ilvl="0">
      <w:lvlJc w:val="left"/>
      <w:lvlText w:val="%1"/>
      <w:numFmt w:val="decimal"/>
      <w:start w:val="1"/>
    </w:lvl>
    <w:lvl w:ilvl="1">
      <w:lvlJc w:val="left"/>
      <w:lvlText w:val="(%2)"/>
      <w:numFmt w:val="lowerLetter"/>
      <w:start w:val="10"/>
    </w:lvl>
  </w:abstractNum>
  <w:abstractNum w:abstractNumId="7">
    <w:nsid w:val="57E4CCAF"/>
    <w:multiLevelType w:val="hybridMultilevel"/>
    <w:lvl w:ilvl="0">
      <w:lvlJc w:val="left"/>
      <w:lvlText w:val="(%1)"/>
      <w:numFmt w:val="decimal"/>
      <w:start w:val="2"/>
    </w:lvl>
    <w:lvl w:ilvl="1">
      <w:lvlJc w:val="left"/>
      <w:lvlText w:val="(%2)"/>
      <w:numFmt w:val="lowerLetter"/>
      <w:start w:val="12"/>
    </w:lvl>
  </w:abstractNum>
  <w:abstractNum w:abstractNumId="8">
    <w:nsid w:val="7A6D8D3C"/>
    <w:multiLevelType w:val="hybridMultilevel"/>
    <w:lvl w:ilvl="0">
      <w:lvlJc w:val="left"/>
      <w:lvlText w:val="(%1)"/>
      <w:numFmt w:val="lowerLetter"/>
      <w:start w:val="13"/>
    </w:lvl>
  </w:abstractNum>
  <w:abstractNum w:abstractNumId="9">
    <w:nsid w:val="4B588F54"/>
    <w:multiLevelType w:val="hybridMultilevel"/>
    <w:lvl w:ilvl="0">
      <w:lvlJc w:val="left"/>
      <w:lvlText w:val="(%1)"/>
      <w:numFmt w:val="lowerLetter"/>
      <w:start w:val="18"/>
    </w:lvl>
  </w:abstractNum>
  <w:abstractNum w:abstractNumId="10">
    <w:nsid w:val="542289EC"/>
    <w:multiLevelType w:val="hybridMultilevel"/>
    <w:lvl w:ilvl="0">
      <w:lvlJc w:val="left"/>
      <w:lvlText w:val="(%1)"/>
      <w:numFmt w:val="lowerLetter"/>
      <w:start w:val="21"/>
    </w:lvl>
  </w:abstractNum>
  <w:abstractNum w:abstractNumId="11">
    <w:nsid w:val="6DE91B18"/>
    <w:multiLevelType w:val="hybridMultilevel"/>
    <w:lvl w:ilvl="0">
      <w:lvlJc w:val="left"/>
      <w:lvlText w:val="%1"/>
      <w:numFmt w:val="lowerRoman"/>
      <w:start w:val="1"/>
    </w:lvl>
    <w:lvl w:ilvl="1">
      <w:lvlJc w:val="left"/>
      <w:lvlText w:val="(%2)"/>
      <w:numFmt w:val="upperLetter"/>
      <w:start w:val="1"/>
    </w:lvl>
  </w:abstractNum>
  <w:abstractNum w:abstractNumId="12">
    <w:nsid w:val="38437FDB"/>
    <w:multiLevelType w:val="hybridMultilevel"/>
    <w:lvl w:ilvl="0">
      <w:lvlJc w:val="left"/>
      <w:lvlText w:val="(%1)"/>
      <w:numFmt w:val="lowerRoman"/>
      <w:start w:val="2"/>
    </w:lvl>
    <w:lvl w:ilvl="1">
      <w:lvlJc w:val="left"/>
      <w:lvlText w:val="(%2)"/>
      <w:numFmt w:val="upperLetter"/>
      <w:start w:val="1"/>
    </w:lvl>
  </w:abstractNum>
  <w:abstractNum w:abstractNumId="13">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4">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5">
    <w:nsid w:val="684A481A"/>
    <w:multiLevelType w:val="hybridMultilevel"/>
    <w:lvl w:ilvl="0">
      <w:lvlJc w:val="left"/>
      <w:lvlText w:val="%1"/>
      <w:numFmt w:val="decimal"/>
      <w:start w:val="1"/>
    </w:lvl>
    <w:lvl w:ilvl="1">
      <w:lvlJc w:val="left"/>
      <w:lvlText w:val="(%2)"/>
      <w:numFmt w:val="lowerLetter"/>
      <w:start w:val="23"/>
    </w:lvl>
    <w:lvl w:ilvl="2">
      <w:lvlJc w:val="left"/>
      <w:lvlText w:val="%3"/>
      <w:numFmt w:val="lowerLetter"/>
      <w:start w:val="1"/>
    </w:lvl>
    <w:lvl w:ilvl="3">
      <w:lvlJc w:val="left"/>
      <w:lvlText w:val="%4"/>
      <w:numFmt w:val="upperLetter"/>
      <w:start w:val="1"/>
    </w:lvl>
  </w:abstractNum>
  <w:abstractNum w:abstractNumId="16">
    <w:nsid w:val="579478F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7">
    <w:nsid w:val="749ABB43"/>
    <w:multiLevelType w:val="hybridMultilevel"/>
    <w:lvl w:ilvl="0">
      <w:lvlJc w:val="left"/>
      <w:lvlText w:val="%1."/>
      <w:numFmt w:val="decimal"/>
      <w:start w:val="4"/>
    </w:lvl>
  </w:abstractNum>
  <w:abstractNum w:abstractNumId="18">
    <w:nsid w:val="3DC240FB"/>
    <w:multiLevelType w:val="hybridMultilevel"/>
    <w:lvl w:ilvl="0">
      <w:lvlJc w:val="left"/>
      <w:lvlText w:val="%1."/>
      <w:numFmt w:val="decimal"/>
      <w:start w:val="5"/>
    </w:lvl>
    <w:lvl w:ilvl="1">
      <w:lvlJc w:val="left"/>
      <w:lvlText w:val="(%2)"/>
      <w:numFmt w:val="lowerLetter"/>
      <w:start w:val="1"/>
    </w:lvl>
  </w:abstractNum>
  <w:abstractNum w:abstractNumId="19">
    <w:nsid w:val="1BA026FA"/>
    <w:multiLevelType w:val="hybridMultilevel"/>
    <w:lvl w:ilvl="0">
      <w:lvlJc w:val="left"/>
      <w:lvlText w:val="(%1)"/>
      <w:numFmt w:val="lowerLetter"/>
      <w:start w:val="3"/>
    </w:lvl>
    <w:lvl w:ilvl="1">
      <w:lvlJc w:val="left"/>
      <w:lvlText w:val="(%2)"/>
      <w:numFmt w:val="lowerRoman"/>
      <w:start w:val="1"/>
    </w:lvl>
  </w:abstractNum>
  <w:abstractNum w:abstractNumId="20">
    <w:nsid w:val="79A1DEAA"/>
    <w:multiLevelType w:val="hybridMultilevel"/>
    <w:lvl w:ilvl="0">
      <w:lvlJc w:val="left"/>
      <w:lvlText w:val="%1"/>
      <w:numFmt w:val="decimal"/>
      <w:start w:val="1"/>
    </w:lvl>
    <w:lvl w:ilvl="1">
      <w:lvlJc w:val="left"/>
      <w:lvlText w:val="(%2)"/>
      <w:numFmt w:val="lowerLetter"/>
      <w:start w:val="5"/>
    </w:lvl>
  </w:abstractNum>
  <w:abstractNum w:abstractNumId="21">
    <w:nsid w:val="75C6C33A"/>
    <w:multiLevelType w:val="hybridMultilevel"/>
    <w:lvl w:ilvl="0">
      <w:lvlJc w:val="left"/>
      <w:lvlText w:val="%1."/>
      <w:numFmt w:val="decimal"/>
      <w:start w:val="6"/>
    </w:lvl>
    <w:lvl w:ilvl="1">
      <w:lvlJc w:val="left"/>
      <w:lvlText w:val="(%2)"/>
      <w:numFmt w:val="lowerLetter"/>
      <w:start w:val="1"/>
    </w:lvl>
  </w:abstractNum>
  <w:abstractNum w:abstractNumId="22">
    <w:nsid w:val="12E685FB"/>
    <w:multiLevelType w:val="hybridMultilevel"/>
    <w:lvl w:ilvl="0">
      <w:lvlJc w:val="left"/>
      <w:lvlText w:val="(%1)"/>
      <w:numFmt w:val="lowerLetter"/>
      <w:start w:val="2"/>
    </w:lvl>
  </w:abstractNum>
  <w:abstractNum w:abstractNumId="23">
    <w:nsid w:val="70C6A529"/>
    <w:multiLevelType w:val="hybridMultilevel"/>
    <w:lvl w:ilvl="0">
      <w:lvlJc w:val="left"/>
      <w:lvlText w:val="(%1)"/>
      <w:numFmt w:val="lowerRoman"/>
      <w:start w:val="6"/>
    </w:lvl>
    <w:lvl w:ilvl="1">
      <w:lvlJc w:val="left"/>
      <w:lvlText w:val="(%2)"/>
      <w:numFmt w:val="lowerLetter"/>
      <w:start w:val="6"/>
    </w:lvl>
  </w:abstractNum>
  <w:abstractNum w:abstractNumId="24">
    <w:nsid w:val="520EEDD1"/>
    <w:multiLevelType w:val="hybridMultilevel"/>
    <w:lvl w:ilvl="0">
      <w:lvlJc w:val="left"/>
      <w:lvlText w:val="(%1)"/>
      <w:numFmt w:val="lowerRoman"/>
      <w:start w:val="2"/>
    </w:lvl>
    <w:lvl w:ilvl="1">
      <w:lvlJc w:val="left"/>
      <w:lvlText w:val="%2"/>
      <w:numFmt w:val="lowerLetter"/>
      <w:start w:val="1"/>
    </w:lvl>
  </w:abstractNum>
  <w:abstractNum w:abstractNumId="25">
    <w:nsid w:val="374A3FE6"/>
    <w:multiLevelType w:val="hybridMultilevel"/>
    <w:lvl w:ilvl="0">
      <w:lvlJc w:val="left"/>
      <w:lvlText w:val="(%1)"/>
      <w:numFmt w:val="lowerLetter"/>
      <w:start w:val="7"/>
    </w:lvl>
  </w:abstractNum>
  <w:abstractNum w:abstractNumId="26">
    <w:nsid w:val="4F4EF005"/>
    <w:multiLevelType w:val="hybridMultilevel"/>
    <w:lvl w:ilvl="0">
      <w:lvlJc w:val="left"/>
      <w:lvlText w:val="%1"/>
      <w:numFmt w:val="decimal"/>
      <w:start w:val="1"/>
    </w:lvl>
    <w:lvl w:ilvl="1">
      <w:lvlJc w:val="left"/>
      <w:lvlText w:val="(%2)"/>
      <w:numFmt w:val="lowerLetter"/>
      <w:start w:val="10"/>
    </w:lvl>
  </w:abstractNum>
  <w:abstractNum w:abstractNumId="27">
    <w:nsid w:val="23F9C13C"/>
    <w:multiLevelType w:val="hybridMultilevel"/>
    <w:lvl w:ilvl="0">
      <w:lvlJc w:val="left"/>
      <w:lvlText w:val="%1."/>
      <w:numFmt w:val="decimal"/>
      <w:start w:val="7"/>
    </w:lvl>
    <w:lvl w:ilvl="1">
      <w:lvlJc w:val="left"/>
      <w:lvlText w:val="%2"/>
      <w:numFmt w:val="lowerLetter"/>
      <w:start w:val="1"/>
    </w:lvl>
  </w:abstractNum>
  <w:abstractNum w:abstractNumId="28">
    <w:nsid w:val="649BB77C"/>
    <w:multiLevelType w:val="hybridMultilevel"/>
    <w:lvl w:ilvl="0">
      <w:lvlJc w:val="left"/>
      <w:lvlText w:val="(%1)"/>
      <w:numFmt w:val="lowerLetter"/>
      <w:start w:val="1"/>
    </w:lvl>
  </w:abstractNum>
  <w:abstractNum w:abstractNumId="29">
    <w:nsid w:val="275AC794"/>
    <w:multiLevelType w:val="hybridMultilevel"/>
    <w:lvl w:ilvl="0">
      <w:lvlJc w:val="left"/>
      <w:lvlText w:val="(%1)"/>
      <w:numFmt w:val="lowerLetter"/>
      <w:start w:val="2"/>
    </w:lvl>
  </w:abstractNum>
  <w:abstractNum w:abstractNumId="30">
    <w:nsid w:val="39386575"/>
    <w:multiLevelType w:val="hybridMultilevel"/>
    <w:lvl w:ilvl="0">
      <w:lvlJc w:val="left"/>
      <w:lvlText w:val="%1."/>
      <w:numFmt w:val="decimal"/>
      <w:start w:val="8"/>
    </w:lvl>
    <w:lvl w:ilvl="1">
      <w:lvlJc w:val="left"/>
      <w:lvlText w:val="(%2)"/>
      <w:numFmt w:val="lowerLetter"/>
      <w:start w:val="2"/>
    </w:lvl>
  </w:abstractNum>
  <w:abstractNum w:abstractNumId="31">
    <w:nsid w:val="1CF10FD8"/>
    <w:multiLevelType w:val="hybridMultilevel"/>
    <w:lvl w:ilvl="0">
      <w:lvlJc w:val="left"/>
      <w:lvlText w:val="(%1)"/>
      <w:numFmt w:val="lowerLetter"/>
      <w:start w:val="3"/>
    </w:lvl>
  </w:abstractNum>
  <w:abstractNum w:abstractNumId="32">
    <w:nsid w:val="180115BE"/>
    <w:multiLevelType w:val="hybridMultilevel"/>
    <w:lvl w:ilvl="0">
      <w:lvlJc w:val="left"/>
      <w:lvlText w:val="(%1)"/>
      <w:numFmt w:val="lowerLetter"/>
      <w:start w:val="4"/>
    </w:lvl>
  </w:abstractNum>
  <w:abstractNum w:abstractNumId="33">
    <w:nsid w:val="235BA861"/>
    <w:multiLevelType w:val="hybridMultilevel"/>
    <w:lvl w:ilvl="0">
      <w:lvlJc w:val="left"/>
      <w:lvlText w:val="%1."/>
      <w:numFmt w:val="decimal"/>
      <w:start w:val="9"/>
    </w:lvl>
  </w:abstractNum>
  <w:abstractNum w:abstractNumId="34">
    <w:nsid w:val="47398C89"/>
    <w:multiLevelType w:val="hybridMultilevel"/>
    <w:lvl w:ilvl="0">
      <w:lvlJc w:val="left"/>
      <w:lvlText w:val="(%1)"/>
      <w:numFmt w:val="lowerLetter"/>
      <w:start w:val="3"/>
    </w:lvl>
    <w:lvl w:ilvl="1">
      <w:lvlJc w:val="left"/>
      <w:lvlText w:val="%2."/>
      <w:numFmt w:val="decimal"/>
      <w:start w:val="10"/>
    </w:lvl>
  </w:abstractNum>
  <w:abstractNum w:abstractNumId="35">
    <w:nsid w:val="354FE9F9"/>
    <w:multiLevelType w:val="hybridMultilevel"/>
    <w:lvl w:ilvl="0">
      <w:lvlJc w:val="left"/>
      <w:lvlText w:val="%1."/>
      <w:numFmt w:val="decimal"/>
      <w:start w:val="11"/>
    </w:lvl>
  </w:abstractNum>
  <w:abstractNum w:abstractNumId="36">
    <w:nsid w:val="15B5AF5C"/>
    <w:multiLevelType w:val="hybridMultilevel"/>
    <w:lvl w:ilvl="0">
      <w:lvlJc w:val="left"/>
      <w:lvlText w:val="%1."/>
      <w:numFmt w:val="decimal"/>
      <w:start w:val="12"/>
    </w:lvl>
  </w:abstractNum>
  <w:abstractNum w:abstractNumId="37">
    <w:nsid w:val="741226BB"/>
    <w:multiLevelType w:val="hybridMultilevel"/>
    <w:lvl w:ilvl="0">
      <w:lvlJc w:val="left"/>
      <w:lvlText w:val="%1"/>
      <w:numFmt w:val="decimal"/>
      <w:start w:val="1"/>
    </w:lvl>
    <w:lvl w:ilvl="1">
      <w:lvlJc w:val="left"/>
      <w:lvlText w:val="(%2)"/>
      <w:numFmt w:val="lowerLetter"/>
      <w:start w:val="2"/>
    </w:lvl>
  </w:abstractNum>
  <w:abstractNum w:abstractNumId="38">
    <w:nsid w:val="D34B6A8"/>
    <w:multiLevelType w:val="hybridMultilevel"/>
    <w:lvl w:ilvl="0">
      <w:lvlJc w:val="left"/>
      <w:lvlText w:val="%1."/>
      <w:numFmt w:val="decimal"/>
      <w:start w:val="13"/>
    </w:lvl>
    <w:lvl w:ilvl="1">
      <w:lvlJc w:val="left"/>
      <w:lvlText w:val="%2"/>
      <w:numFmt w:val="lowerLetter"/>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7"/>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2"/>
    </w:lvl>
  </w:abstractNum>
  <w:abstractNum w:abstractNumId="44">
    <w:nsid w:val="579BE4F1"/>
    <w:multiLevelType w:val="hybridMultilevel"/>
    <w:lvl w:ilvl="0">
      <w:lvlJc w:val="left"/>
      <w:lvlText w:val="(%1)"/>
      <w:numFmt w:val="lowerRoman"/>
      <w:start w:val="1"/>
    </w:lvl>
  </w:abstractNum>
  <w:abstractNum w:abstractNumId="45">
    <w:nsid w:val="310C50B3"/>
    <w:multiLevelType w:val="hybridMultilevel"/>
    <w:lvl w:ilvl="0">
      <w:lvlJc w:val="left"/>
      <w:lvlText w:val="(%1)"/>
      <w:numFmt w:val="lowerRoman"/>
      <w:start w:val="2"/>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6"/>
    </w:lvl>
  </w:abstractNum>
  <w:abstractNum w:abstractNumId="49">
    <w:nsid w:val="1DBABF00"/>
    <w:multiLevelType w:val="hybridMultilevel"/>
    <w:lvl w:ilvl="0">
      <w:lvlJc w:val="left"/>
      <w:lvlText w:val="(%1)"/>
      <w:numFmt w:val="decimal"/>
      <w:start w:val="14"/>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lowerLetter"/>
      <w:start w:val="2"/>
    </w:lvl>
    <w:lvl w:ilvl="1">
      <w:lvlJc w:val="left"/>
      <w:lvlText w:val="(%2)"/>
      <w:numFmt w:val="decimal"/>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55">
    <w:nsid w:val="6590700B"/>
    <w:multiLevelType w:val="hybridMultilevel"/>
    <w:lvl w:ilvl="0">
      <w:lvlJc w:val="left"/>
      <w:lvlText w:val="(%1)"/>
      <w:numFmt w:val="lowerRoman"/>
      <w:start w:val="2"/>
    </w:lvl>
  </w:abstractNum>
  <w:abstractNum w:abstractNumId="56">
    <w:nsid w:val="15014ACB"/>
    <w:multiLevelType w:val="hybridMultilevel"/>
    <w:lvl w:ilvl="0">
      <w:lvlJc w:val="left"/>
      <w:lvlText w:val="(%1)"/>
      <w:numFmt w:val="lowerLetter"/>
      <w:start w:val="3"/>
    </w:lvl>
  </w:abstractNum>
  <w:abstractNum w:abstractNumId="57">
    <w:nsid w:val="5F5E7FD0"/>
    <w:multiLevelType w:val="hybridMultilevel"/>
    <w:lvl w:ilvl="0">
      <w:lvlJc w:val="left"/>
      <w:lvlText w:val="(%1)"/>
      <w:numFmt w:val="lowerLetter"/>
      <w:start w:val="4"/>
    </w:lvl>
  </w:abstractNum>
  <w:abstractNum w:abstractNumId="58">
    <w:nsid w:val="98A3148"/>
    <w:multiLevelType w:val="hybridMultilevel"/>
    <w:lvl w:ilvl="0">
      <w:lvlJc w:val="left"/>
      <w:lvlText w:val="(%1)"/>
      <w:numFmt w:val="lowerLetter"/>
      <w:start w:val="6"/>
    </w:lvl>
    <w:lvl w:ilvl="1">
      <w:lvlJc w:val="left"/>
      <w:lvlText w:val="(%2)"/>
      <w:numFmt w:val="decimal"/>
      <w:start w:val="1"/>
    </w:lvl>
  </w:abstractNum>
  <w:abstractNum w:abstractNumId="59">
    <w:nsid w:val="799D0247"/>
    <w:multiLevelType w:val="hybridMultilevel"/>
    <w:lvl w:ilvl="0">
      <w:lvlJc w:val="left"/>
      <w:lvlText w:val="(%1)"/>
      <w:numFmt w:val="decimal"/>
      <w:start w:val="5"/>
    </w:lvl>
    <w:lvl w:ilvl="1">
      <w:lvlJc w:val="left"/>
      <w:lvlText w:val="(%2)"/>
      <w:numFmt w:val="lowerRoman"/>
      <w:start w:val="1"/>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Letter"/>
      <w:start w:val="2"/>
    </w:lvl>
    <w:lvl w:ilvl="1">
      <w:lvlJc w:val="left"/>
      <w:lvlText w:val="(%2)"/>
      <w:numFmt w:val="lowerRoman"/>
      <w:start w:val="1"/>
    </w:lvl>
  </w:abstractNum>
  <w:abstractNum w:abstractNumId="62">
    <w:nsid w:val="168E121F"/>
    <w:multiLevelType w:val="hybridMultilevel"/>
    <w:lvl w:ilvl="0">
      <w:lvlJc w:val="left"/>
      <w:lvlText w:val="(%1)"/>
      <w:numFmt w:val="lowerLetter"/>
      <w:start w:val="1"/>
    </w:lvl>
    <w:lvl w:ilvl="1">
      <w:lvlJc w:val="left"/>
      <w:lvlText w:val="(%2)"/>
      <w:numFmt w:val="lowerRoman"/>
      <w:start w:val="1"/>
    </w:lvl>
  </w:abstractNum>
  <w:abstractNum w:abstractNumId="63">
    <w:nsid w:val="1EBA5D23"/>
    <w:multiLevelType w:val="hybridMultilevel"/>
    <w:lvl w:ilvl="0">
      <w:lvlJc w:val="left"/>
      <w:lvlText w:val="(%1)"/>
      <w:numFmt w:val="lowerLetter"/>
      <w:start w:val="2"/>
    </w:lvl>
    <w:lvl w:ilvl="1">
      <w:lvlJc w:val="left"/>
      <w:lvlText w:val="(%2)"/>
      <w:numFmt w:val="lowerRoman"/>
      <w:start w:val="1"/>
    </w:lvl>
  </w:abstractNum>
  <w:abstractNum w:abstractNumId="64">
    <w:nsid w:val="661E3F1E"/>
    <w:multiLevelType w:val="hybridMultilevel"/>
    <w:lvl w:ilvl="0">
      <w:lvlJc w:val="left"/>
      <w:lvlText w:val="(%1)"/>
      <w:numFmt w:val="lowerLetter"/>
      <w:start w:val="1"/>
    </w:lvl>
    <w:lvl w:ilvl="1">
      <w:lvlJc w:val="left"/>
      <w:lvlText w:val="(%2)"/>
      <w:numFmt w:val="decimal"/>
      <w:start w:val="1"/>
    </w:lvl>
  </w:abstractNum>
  <w:abstractNum w:abstractNumId="65">
    <w:nsid w:val="5DC79EA8"/>
    <w:multiLevelType w:val="hybridMultilevel"/>
    <w:lvl w:ilvl="0">
      <w:lvlJc w:val="left"/>
      <w:lvlText w:val="%1"/>
      <w:numFmt w:val="lowerLetter"/>
      <w:start w:val="1"/>
    </w:lvl>
    <w:lvl w:ilvl="1">
      <w:lvlJc w:val="left"/>
      <w:lvlText w:val="(%2)"/>
      <w:numFmt w:val="decimal"/>
      <w:start w:val="4"/>
    </w:lvl>
  </w:abstractNum>
  <w:abstractNum w:abstractNumId="66">
    <w:nsid w:val="540A471C"/>
    <w:multiLevelType w:val="hybridMultilevel"/>
    <w:lvl w:ilvl="0">
      <w:lvlJc w:val="left"/>
      <w:lvlText w:val="(%1)"/>
      <w:numFmt w:val="lowerLetter"/>
      <w:start w:val="3"/>
    </w:lvl>
    <w:lvl w:ilvl="1">
      <w:lvlJc w:val="left"/>
      <w:lvlText w:val="(%2)"/>
      <w:numFmt w:val="decimal"/>
      <w:start w:val="1"/>
    </w:lvl>
  </w:abstractNum>
  <w:abstractNum w:abstractNumId="67">
    <w:nsid w:val="7BD3EE7B"/>
    <w:multiLevelType w:val="hybridMultilevel"/>
    <w:lvl w:ilvl="0">
      <w:lvlJc w:val="left"/>
      <w:lvlText w:val="(%1)"/>
      <w:numFmt w:val="lowerLetter"/>
      <w:start w:val="6"/>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3"/>
    </w:lvl>
  </w:abstractNum>
  <w:abstractNum w:abstractNumId="70">
    <w:nsid w:val="BF72B14"/>
    <w:multiLevelType w:val="hybridMultilevel"/>
    <w:lvl w:ilvl="0">
      <w:lvlJc w:val="left"/>
      <w:lvlText w:val="%1"/>
      <w:numFmt w:val="lowerLetter"/>
      <w:start w:val="1"/>
    </w:lvl>
    <w:lvl w:ilvl="1">
      <w:lvlJc w:val="left"/>
      <w:lvlText w:val="(%2)"/>
      <w:numFmt w:val="lowerLetter"/>
      <w:start w:val="1"/>
    </w:lvl>
  </w:abstractNum>
  <w:abstractNum w:abstractNumId="71">
    <w:nsid w:val="11447B73"/>
    <w:multiLevelType w:val="hybridMultilevel"/>
    <w:lvl w:ilvl="0">
      <w:lvlJc w:val="left"/>
      <w:lvlText w:val="(%1)"/>
      <w:numFmt w:val="lowerLetter"/>
      <w:start w:val="35"/>
    </w:lvl>
    <w:lvl w:ilvl="1">
      <w:lvlJc w:val="left"/>
      <w:lvlText w:val="(%2)"/>
      <w:numFmt w:val="lowerLetter"/>
      <w:start w:val="4"/>
    </w:lvl>
  </w:abstractNum>
  <w:abstractNum w:abstractNumId="72">
    <w:nsid w:val="42963E5A"/>
    <w:multiLevelType w:val="hybridMultilevel"/>
    <w:lvl w:ilvl="0">
      <w:lvlJc w:val="left"/>
      <w:lvlText w:val="(%1)"/>
      <w:numFmt w:val="lowerLetter"/>
      <w:start w:val="5"/>
    </w:lvl>
  </w:abstractNum>
  <w:abstractNum w:abstractNumId="73">
    <w:nsid w:val="A0382C5"/>
    <w:multiLevelType w:val="hybridMultilevel"/>
    <w:lvl w:ilvl="0">
      <w:lvlJc w:val="left"/>
      <w:lvlText w:val="(%1)"/>
      <w:numFmt w:val="lowerLetter"/>
      <w:start w:val="4"/>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5"/>
    </w:lvl>
  </w:abstractNum>
  <w:abstractNum w:abstractNumId="76">
    <w:nsid w:val="3B0FD379"/>
    <w:multiLevelType w:val="hybridMultilevel"/>
    <w:lvl w:ilvl="0">
      <w:lvlJc w:val="left"/>
      <w:lvlText w:val="%1."/>
      <w:numFmt w:val="decimal"/>
      <w:start w:val="12"/>
    </w:lvl>
  </w:abstractNum>
  <w:abstractNum w:abstractNumId="77">
    <w:nsid w:val="68EB2F63"/>
    <w:multiLevelType w:val="hybridMultilevel"/>
    <w:lvl w:ilvl="0">
      <w:lvlJc w:val="left"/>
      <w:lvlText w:val="o"/>
      <w:numFmt w:val="bullet"/>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5"/>
    </w:lvl>
  </w:abstractNum>
  <w:abstractNum w:abstractNumId="80">
    <w:nsid w:val="6A5EE64"/>
    <w:multiLevelType w:val="hybridMultilevel"/>
    <w:lvl w:ilvl="0">
      <w:lvlJc w:val="left"/>
      <w:lvlText w:val="%1."/>
      <w:numFmt w:val="decimal"/>
      <w:start w:val="12"/>
    </w:lvl>
  </w:abstractNum>
  <w:abstractNum w:abstractNumId="81">
    <w:nsid w:val="1433062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8" Type="http://schemas.openxmlformats.org/officeDocument/2006/relationships/hyperlink" Target="http://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2019-12-28T10:41:57Z</dcterms:created>
  <dcterms:modified xsi:type="dcterms:W3CDTF">2019-12-28T10:41:57Z</dcterms:modified>
</cp:coreProperties>
</file>