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2,364,694</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25,395,949</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25,395,949</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11.94%</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25,395,949</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25,395,949</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11.94%</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25,395,949</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25,395,949</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11.94%</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Micron Technology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2805 East Columbia Road</w:t>
      </w:r>
    </w:p>
    <w:p>
      <w:pPr>
        <w:spacing w:after="0" w:line="16" w:lineRule="exact"/>
        <w:rPr>
          <w:sz w:val="24"/>
          <w:szCs w:val="24"/>
          <w:color w:val="auto"/>
        </w:rPr>
      </w:pP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25,395,949</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11.94%</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860" w:right="419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2,364,694</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25,395,949</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Micron Technology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Micron Technology Incorporated at December 31, 1997 is true, complete and correct.</w:t>
      </w:r>
    </w:p>
    <w:p>
      <w:pPr>
        <w:spacing w:after="0" w:line="37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22,592,031 shares or 10.62% of the common stock outstanding of Micron Technology Incorporated ("the Company") as a result of acting as investment adviser to various investment companies registered under Section 8 of the Investment Company Act of 1940, and as a result of acting as sub-adviser to Fidelity American Special Situations Trust ("FASST"). The number of shares of common stock of Micron Technology Incorporated owned by the investment companies at December 31, 1997 included 1,316,341 shares of common stock resulting from the assumed conversion of $88,780,000 principal amount of 7% Convertible Subordinated Debentures 7/1/04 (14.8272 shares of common stock for each $1,000 principal amount of debenture).</w:t>
      </w:r>
    </w:p>
    <w:p>
      <w:pPr>
        <w:spacing w:after="0" w:line="38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22,486,531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105,500 shares held by FASST.</w:t>
      </w:r>
    </w:p>
    <w:p>
      <w:pPr>
        <w:spacing w:after="0" w:line="208"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2,737,017 shares or 1.29% of the common stock outstanding of the Company as a result of its serving as investment manager of the institutional account(s). The number of shares of common stock of Micron Technology Incorporated owned by the institutional account(s) at December 31, 1997 included 71,436 shares of common stock resulting from the assumed conversion of $4,818,000 principal amount of the 7% Convertible Subordinated Debentures 7/1/04 described above.</w:t>
      </w:r>
    </w:p>
    <w:p>
      <w:pPr>
        <w:spacing w:after="0" w:line="215"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2,737,017 shares and sole power to vote or to direct the voting of 2,192,294 shares, and no power to vote or to direct the voting of 544,723 shares of common stock owned by the institutional account(s) as reported above.</w:t>
      </w:r>
    </w:p>
    <w:p>
      <w:pPr>
        <w:spacing w:after="0" w:line="209"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w:t>
      </w:r>
    </w:p>
    <w:p>
      <w:pPr>
        <w:sectPr>
          <w:pgSz w:w="11900" w:h="16838" w:orient="portrait"/>
          <w:cols w:equalWidth="0" w:num="1">
            <w:col w:w="10219"/>
          </w:cols>
          <w:pgMar w:left="240" w:top="541" w:right="1440" w:bottom="0" w:gutter="0" w:footer="0" w:header="0"/>
        </w:sectPr>
      </w:pPr>
    </w:p>
    <w:bookmarkStart w:id="3" w:name="page4"/>
    <w:bookmarkEnd w:id="3"/>
    <w:p>
      <w:pPr>
        <w:ind w:right="2419"/>
        <w:spacing w:after="0" w:line="236" w:lineRule="auto"/>
        <w:rPr>
          <w:sz w:val="20"/>
          <w:szCs w:val="20"/>
          <w:color w:val="auto"/>
        </w:rPr>
      </w:pPr>
      <w:r>
        <w:rPr>
          <w:rFonts w:ascii="Courier New" w:cs="Courier New" w:eastAsia="Courier New" w:hAnsi="Courier New"/>
          <w:sz w:val="18"/>
          <w:szCs w:val="18"/>
          <w:color w:val="auto"/>
        </w:rPr>
        <w:t>and the execution of the shareholders' voting agreement, members of the Johnson family may be deemed, under the Investment Company Act of 1940, to form a controlling group with respect to FMR Corp.</w:t>
      </w:r>
    </w:p>
    <w:p>
      <w:pPr>
        <w:spacing w:after="0" w:line="6"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172,400 shares or 0.08% of the common stock outstanding of the Company, which includes 105,500 shares or 0.05% of the common stock outstanding of the Company owned by FASST. Additional information with respect to the beneficial ownership of Fidelity International Limited is shown on Exhibit B, page 1.</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172,400 shares or 0.08% of the common stock outstanding of Micron Technology Incorporated, which includes 105,500 shares or 0.05% of the common stock outstanding of the Company owned by FASST.</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ectPr>
          <w:pgSz w:w="11900" w:h="16838" w:orient="portrait"/>
          <w:cols w:equalWidth="0" w:num="1">
            <w:col w:w="10219"/>
          </w:cols>
          <w:pgMar w:left="240" w:top="142" w:right="1440" w:bottom="0" w:gutter="0" w:footer="0" w:header="0"/>
        </w:sectPr>
      </w:pPr>
    </w:p>
    <w:bookmarkStart w:id="4" w:name="page5"/>
    <w:bookmarkEnd w:id="4"/>
    <w:p>
      <w:pPr>
        <w:ind w:right="1999" w:firstLine="843"/>
        <w:spacing w:after="0" w:line="279" w:lineRule="auto"/>
        <w:rPr>
          <w:sz w:val="20"/>
          <w:szCs w:val="20"/>
          <w:color w:val="auto"/>
        </w:rPr>
      </w:pPr>
      <w:r>
        <w:rPr>
          <w:rFonts w:ascii="Courier New" w:cs="Courier New" w:eastAsia="Courier New" w:hAnsi="Courier New"/>
          <w:sz w:val="16"/>
          <w:szCs w:val="16"/>
          <w:color w:val="auto"/>
        </w:rPr>
        <w:t>FIL has the sole power to vote and the sole power to dispose of 66,900 shares. FIL, FMR Corp., through its control of Fidelity, and FASST each has sole power to vote and to dispose of the 105,500 shares held by FASST.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1998, agree and consent to the joint filing on their behalf of this Schedule 13G in connection with their beneficial ownership of the common stock of Micron Technology Incorporated at December 31, 1997.</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of Power</w:t>
      </w:r>
    </w:p>
    <w:p>
      <w:pPr>
        <w:spacing w:after="0" w:line="238" w:lineRule="auto"/>
        <w:rPr>
          <w:sz w:val="20"/>
          <w:szCs w:val="20"/>
          <w:color w:val="auto"/>
        </w:rPr>
      </w:pPr>
      <w:r>
        <w:rPr>
          <w:rFonts w:ascii="Courier New" w:cs="Courier New" w:eastAsia="Courier New" w:hAnsi="Courier New"/>
          <w:sz w:val="18"/>
          <w:szCs w:val="18"/>
          <w:color w:val="auto"/>
        </w:rPr>
        <w:t>of 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 subsidiaries</w:t>
      </w:r>
    </w:p>
    <w:p>
      <w:pPr>
        <w:ind w:left="860"/>
        <w:spacing w:after="0"/>
        <w:rPr>
          <w:sz w:val="20"/>
          <w:szCs w:val="20"/>
          <w:color w:val="auto"/>
        </w:rPr>
      </w:pPr>
      <w:r>
        <w:rPr>
          <w:rFonts w:ascii="Courier New" w:cs="Courier New" w:eastAsia="Courier New" w:hAnsi="Courier New"/>
          <w:sz w:val="18"/>
          <w:szCs w:val="18"/>
          <w:color w:val="auto"/>
        </w:rPr>
        <w:t>Edward C. Johnson 3d</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Power of</w:t>
      </w:r>
    </w:p>
    <w:p>
      <w:pPr>
        <w:spacing w:after="0" w:line="238"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Edward C. Johnson 3d</w:t>
      </w:r>
    </w:p>
    <w:p>
      <w:pPr>
        <w:ind w:left="860"/>
        <w:spacing w:after="0" w:line="237" w:lineRule="auto"/>
        <w:rPr>
          <w:sz w:val="20"/>
          <w:szCs w:val="20"/>
          <w:color w:val="auto"/>
        </w:rPr>
      </w:pPr>
      <w:r>
        <w:rPr>
          <w:rFonts w:ascii="Courier New" w:cs="Courier New" w:eastAsia="Courier New" w:hAnsi="Courier New"/>
          <w:sz w:val="18"/>
          <w:szCs w:val="18"/>
          <w:color w:val="auto"/>
        </w:rPr>
        <w:t>Abigail P. Johnson</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Abigail P. Johnson</w:t>
      </w: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2019-12-13T13:14:39Z</dcterms:created>
  <dcterms:modified xsi:type="dcterms:W3CDTF">2019-12-13T13:14:39Z</dcterms:modified>
</cp:coreProperties>
</file>