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6320"/>
        <w:spacing w:after="0"/>
        <w:rPr>
          <w:sz w:val="20"/>
          <w:szCs w:val="20"/>
          <w:color w:val="auto"/>
        </w:rPr>
      </w:pPr>
      <w:r>
        <w:rPr>
          <w:rFonts w:ascii="Courier New" w:cs="Courier New" w:eastAsia="Courier New" w:hAnsi="Courier New"/>
          <w:sz w:val="18"/>
          <w:szCs w:val="18"/>
          <w:color w:val="auto"/>
        </w:rPr>
        <w:t>OMB APPROVAL</w:t>
      </w:r>
    </w:p>
    <w:p>
      <w:pPr>
        <w:spacing w:after="0" w:line="4" w:lineRule="exact"/>
        <w:rPr>
          <w:sz w:val="24"/>
          <w:szCs w:val="24"/>
          <w:color w:val="auto"/>
        </w:rPr>
      </w:pPr>
    </w:p>
    <w:p>
      <w:pPr>
        <w:ind w:left="5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5700"/>
        <w:spacing w:after="0"/>
        <w:tabs>
          <w:tab w:leader="none" w:pos="7040" w:val="left"/>
        </w:tabs>
        <w:rPr>
          <w:sz w:val="20"/>
          <w:szCs w:val="20"/>
          <w:color w:val="auto"/>
        </w:rPr>
      </w:pPr>
      <w:r>
        <w:rPr>
          <w:rFonts w:ascii="Courier New" w:cs="Courier New" w:eastAsia="Courier New" w:hAnsi="Courier New"/>
          <w:sz w:val="18"/>
          <w:szCs w:val="18"/>
          <w:color w:val="auto"/>
        </w:rPr>
        <w:t>OMB Number:</w:t>
      </w:r>
      <w:r>
        <w:rPr>
          <w:sz w:val="20"/>
          <w:szCs w:val="20"/>
          <w:color w:val="auto"/>
        </w:rPr>
        <w:tab/>
      </w:r>
      <w:r>
        <w:rPr>
          <w:rFonts w:ascii="Courier New" w:cs="Courier New" w:eastAsia="Courier New" w:hAnsi="Courier New"/>
          <w:sz w:val="16"/>
          <w:szCs w:val="16"/>
          <w:color w:val="auto"/>
        </w:rPr>
        <w:t>3235-0145</w:t>
      </w:r>
    </w:p>
    <w:p>
      <w:pPr>
        <w:spacing w:after="0" w:line="4" w:lineRule="exact"/>
        <w:rPr>
          <w:sz w:val="24"/>
          <w:szCs w:val="24"/>
          <w:color w:val="auto"/>
        </w:rPr>
      </w:pPr>
    </w:p>
    <w:p>
      <w:pPr>
        <w:ind w:left="5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right"/>
        <w:ind w:right="1779"/>
        <w:spacing w:after="0"/>
        <w:tabs>
          <w:tab w:leader="none" w:pos="1680" w:val="left"/>
        </w:tabs>
        <w:rPr>
          <w:sz w:val="20"/>
          <w:szCs w:val="20"/>
          <w:color w:val="auto"/>
        </w:rPr>
      </w:pPr>
      <w:r>
        <w:rPr>
          <w:rFonts w:ascii="Courier New" w:cs="Courier New" w:eastAsia="Courier New" w:hAnsi="Courier New"/>
          <w:sz w:val="18"/>
          <w:szCs w:val="18"/>
          <w:color w:val="auto"/>
        </w:rPr>
        <w:t>Expires:</w:t>
      </w:r>
      <w:r>
        <w:rPr>
          <w:sz w:val="20"/>
          <w:szCs w:val="20"/>
          <w:color w:val="auto"/>
        </w:rPr>
        <w:tab/>
      </w:r>
      <w:r>
        <w:rPr>
          <w:rFonts w:ascii="Courier New" w:cs="Courier New" w:eastAsia="Courier New" w:hAnsi="Courier New"/>
          <w:sz w:val="16"/>
          <w:szCs w:val="16"/>
          <w:color w:val="auto"/>
        </w:rPr>
        <w:t>October 31, 1997</w:t>
      </w:r>
    </w:p>
    <w:p>
      <w:pPr>
        <w:spacing w:after="0" w:line="4" w:lineRule="exact"/>
        <w:rPr>
          <w:sz w:val="24"/>
          <w:szCs w:val="24"/>
          <w:color w:val="auto"/>
        </w:rPr>
      </w:pPr>
    </w:p>
    <w:p>
      <w:pPr>
        <w:ind w:left="5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5700"/>
        <w:spacing w:after="0"/>
        <w:rPr>
          <w:sz w:val="20"/>
          <w:szCs w:val="20"/>
          <w:color w:val="auto"/>
        </w:rPr>
      </w:pPr>
      <w:r>
        <w:rPr>
          <w:rFonts w:ascii="Courier New" w:cs="Courier New" w:eastAsia="Courier New" w:hAnsi="Courier New"/>
          <w:sz w:val="18"/>
          <w:szCs w:val="18"/>
          <w:color w:val="auto"/>
        </w:rPr>
        <w:t>Estimated average burden</w:t>
      </w:r>
    </w:p>
    <w:p>
      <w:pPr>
        <w:spacing w:after="0" w:line="4" w:lineRule="exact"/>
        <w:rPr>
          <w:sz w:val="24"/>
          <w:szCs w:val="24"/>
          <w:color w:val="auto"/>
        </w:rPr>
      </w:pPr>
    </w:p>
    <w:p>
      <w:pPr>
        <w:ind w:left="5700"/>
        <w:spacing w:after="0"/>
        <w:rPr>
          <w:sz w:val="20"/>
          <w:szCs w:val="20"/>
          <w:color w:val="auto"/>
        </w:rPr>
      </w:pPr>
      <w:r>
        <w:rPr>
          <w:rFonts w:ascii="Courier New" w:cs="Courier New" w:eastAsia="Courier New" w:hAnsi="Courier New"/>
          <w:sz w:val="16"/>
          <w:szCs w:val="16"/>
          <w:color w:val="auto"/>
        </w:rPr>
        <w:t>hours per response...14.90</w:t>
      </w:r>
    </w:p>
    <w:p>
      <w:pPr>
        <w:spacing w:after="0" w:line="21" w:lineRule="exact"/>
        <w:rPr>
          <w:sz w:val="24"/>
          <w:szCs w:val="24"/>
          <w:color w:val="auto"/>
        </w:rPr>
      </w:pPr>
    </w:p>
    <w:p>
      <w:pPr>
        <w:ind w:left="57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NETFRAME SYSTEMS INCORPORATED</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jc w:val="center"/>
        <w:ind w:right="199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COMMON STOCK, $0.001 PAR VALUE PER SHARE</w:t>
      </w:r>
    </w:p>
    <w:p>
      <w:pPr>
        <w:jc w:val="center"/>
        <w:ind w:right="1999"/>
        <w:spacing w:after="0" w:line="238" w:lineRule="auto"/>
        <w:rPr>
          <w:sz w:val="20"/>
          <w:szCs w:val="20"/>
          <w:color w:val="auto"/>
        </w:rPr>
      </w:pPr>
      <w:r>
        <w:rPr>
          <w:rFonts w:ascii="Courier New" w:cs="Courier New" w:eastAsia="Courier New" w:hAnsi="Courier New"/>
          <w:sz w:val="18"/>
          <w:szCs w:val="18"/>
          <w:color w:val="auto"/>
        </w:rPr>
        <w:t>(INCLUDING THE ASSOCIATED PREFERRED SHARE PURCHASE RIGHTS)</w:t>
      </w:r>
    </w:p>
    <w:p>
      <w:pPr>
        <w:ind w:left="1160"/>
        <w:spacing w:after="0"/>
        <w:rPr>
          <w:sz w:val="20"/>
          <w:szCs w:val="20"/>
          <w:color w:val="auto"/>
        </w:rPr>
      </w:pPr>
      <w:r>
        <w:rPr>
          <w:rFonts w:ascii="Courier New" w:cs="Courier New" w:eastAsia="Courier New" w:hAnsi="Courier New"/>
          <w:sz w:val="18"/>
          <w:szCs w:val="18"/>
          <w:color w:val="auto"/>
        </w:rPr>
        <w:t>--------------------------------------------------------</w:t>
      </w:r>
    </w:p>
    <w:p>
      <w:pPr>
        <w:jc w:val="center"/>
        <w:ind w:right="1999"/>
        <w:spacing w:after="0" w:line="237"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64-1106109</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RODERIC W. LEWIS, MICRON TECHNOLOGY, INC., 8000 S. FEDERAL WAY,</w:t>
      </w:r>
    </w:p>
    <w:p>
      <w:pPr>
        <w:ind w:left="1580"/>
        <w:spacing w:after="0"/>
        <w:tabs>
          <w:tab w:leader="none" w:pos="5140" w:val="left"/>
        </w:tabs>
        <w:rPr>
          <w:sz w:val="20"/>
          <w:szCs w:val="20"/>
          <w:color w:val="auto"/>
        </w:rPr>
      </w:pPr>
      <w:r>
        <w:rPr>
          <w:rFonts w:ascii="Courier New" w:cs="Courier New" w:eastAsia="Courier New" w:hAnsi="Courier New"/>
          <w:sz w:val="18"/>
          <w:szCs w:val="18"/>
          <w:color w:val="auto"/>
        </w:rPr>
        <w:t>P.O. BOX 6, BOISE, ID 83707-0006</w:t>
      </w:r>
      <w:r>
        <w:rPr>
          <w:sz w:val="20"/>
          <w:szCs w:val="20"/>
          <w:color w:val="auto"/>
        </w:rPr>
        <w:tab/>
      </w:r>
      <w:r>
        <w:rPr>
          <w:rFonts w:ascii="Courier New" w:cs="Courier New" w:eastAsia="Courier New" w:hAnsi="Courier New"/>
          <w:sz w:val="16"/>
          <w:szCs w:val="16"/>
          <w:color w:val="auto"/>
        </w:rPr>
        <w:t>(208) 368-4000</w:t>
      </w:r>
    </w:p>
    <w:p>
      <w:pPr>
        <w:ind w:left="1580"/>
        <w:spacing w:after="0"/>
        <w:rPr>
          <w:sz w:val="20"/>
          <w:szCs w:val="20"/>
          <w:color w:val="auto"/>
        </w:rPr>
      </w:pPr>
      <w:r>
        <w:rPr>
          <w:rFonts w:ascii="Courier New" w:cs="Courier New" w:eastAsia="Courier New" w:hAnsi="Courier New"/>
          <w:sz w:val="18"/>
          <w:szCs w:val="18"/>
          <w:color w:val="auto"/>
        </w:rPr>
        <w:t>------------------------------------------------</w:t>
      </w:r>
    </w:p>
    <w:p>
      <w:pPr>
        <w:jc w:val="center"/>
        <w:ind w:right="1879"/>
        <w:spacing w:after="0" w:line="237" w:lineRule="auto"/>
        <w:rPr>
          <w:sz w:val="20"/>
          <w:szCs w:val="20"/>
          <w:color w:val="auto"/>
        </w:rPr>
      </w:pPr>
      <w:r>
        <w:rPr>
          <w:rFonts w:ascii="Courier New" w:cs="Courier New" w:eastAsia="Courier New" w:hAnsi="Courier New"/>
          <w:sz w:val="18"/>
          <w:szCs w:val="18"/>
          <w:color w:val="auto"/>
        </w:rPr>
        <w:t>(Name, Address and Telephone Number of Person</w:t>
      </w:r>
    </w:p>
    <w:p>
      <w:pPr>
        <w:jc w:val="center"/>
        <w:ind w:right="1879"/>
        <w:spacing w:after="0" w:line="238"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August 28, 1997</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1779" w:firstLine="843"/>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[_]</w:t>
      </w:r>
    </w:p>
    <w:p>
      <w:pPr>
        <w:sectPr>
          <w:pgSz w:w="11900" w:h="16838" w:orient="portrait"/>
          <w:cols w:equalWidth="0" w:num="1">
            <w:col w:w="10219"/>
          </w:cols>
          <w:pgMar w:left="240" w:top="655"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CUSIP NO. 64-1106109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2 OF 4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860" w:space="720"/>
            <w:col w:w="1920" w:space="720"/>
            <w:col w:w="3999"/>
          </w:cols>
          <w:pgMar w:left="240" w:top="723" w:right="1440" w:bottom="0" w:gutter="0" w:footer="0" w:header="0"/>
        </w:sectPr>
      </w:pPr>
    </w:p>
    <w:p>
      <w:pPr>
        <w:spacing w:after="0" w:line="24" w:lineRule="exact"/>
        <w:rPr>
          <w:sz w:val="20"/>
          <w:szCs w:val="20"/>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REPORTING PERSON</w:t>
      </w: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S.S. OR I.R.S. IDENTIFICATION NO. OF ABOVE PERSON</w:t>
      </w:r>
    </w:p>
    <w:p>
      <w:pPr>
        <w:spacing w:after="0" w:line="201" w:lineRule="exact"/>
        <w:rPr>
          <w:rFonts w:ascii="Courier New" w:cs="Courier New" w:eastAsia="Courier New" w:hAnsi="Courier New"/>
          <w:sz w:val="16"/>
          <w:szCs w:val="16"/>
          <w:color w:val="auto"/>
        </w:rPr>
      </w:pPr>
    </w:p>
    <w:p>
      <w:pPr>
        <w:ind w:left="6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MICRON TECHNOLOGY, INC.</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75-1618004</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IF A MEMBER OF A GROUP</w:t>
      </w:r>
    </w:p>
    <w:tbl>
      <w:tblPr>
        <w:tblLayout w:type="fixed"/>
        <w:tblInd w:w="120" w:type="dxa"/>
        <w:tblCellMar>
          <w:top w:w="0" w:type="dxa"/>
          <w:left w:w="0" w:type="dxa"/>
          <w:bottom w:w="0" w:type="dxa"/>
          <w:right w:w="0" w:type="dxa"/>
        </w:tblCellMar>
      </w:tblPr>
      <w:tr>
        <w:trPr>
          <w:trHeight w:val="203"/>
        </w:trPr>
        <w:tc>
          <w:tcPr>
            <w:tcW w:w="3360" w:type="dxa"/>
            <w:vAlign w:val="bottom"/>
          </w:tcPr>
          <w:p>
            <w:pPr>
              <w:jc w:val="right"/>
              <w:ind w:right="3172"/>
              <w:spacing w:after="0"/>
              <w:rPr>
                <w:sz w:val="20"/>
                <w:szCs w:val="20"/>
                <w:color w:val="auto"/>
              </w:rPr>
            </w:pPr>
            <w:r>
              <w:rPr>
                <w:rFonts w:ascii="Courier New" w:cs="Courier New" w:eastAsia="Courier New" w:hAnsi="Courier New"/>
                <w:sz w:val="18"/>
                <w:szCs w:val="18"/>
                <w:color w:val="auto"/>
                <w:w w:val="73"/>
              </w:rPr>
              <w:t>2</w:t>
            </w:r>
          </w:p>
        </w:tc>
        <w:tc>
          <w:tcPr>
            <w:tcW w:w="3640" w:type="dxa"/>
            <w:vAlign w:val="bottom"/>
          </w:tcPr>
          <w:p>
            <w:pPr>
              <w:ind w:left="32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[_]</w:t>
            </w:r>
          </w:p>
        </w:tc>
      </w:tr>
      <w:tr>
        <w:trPr>
          <w:trHeight w:val="203"/>
        </w:trPr>
        <w:tc>
          <w:tcPr>
            <w:tcW w:w="3360" w:type="dxa"/>
            <w:vAlign w:val="bottom"/>
          </w:tcPr>
          <w:p>
            <w:pPr>
              <w:spacing w:after="0"/>
              <w:rPr>
                <w:sz w:val="17"/>
                <w:szCs w:val="17"/>
                <w:color w:val="auto"/>
              </w:rPr>
            </w:pPr>
          </w:p>
        </w:tc>
        <w:tc>
          <w:tcPr>
            <w:tcW w:w="3640" w:type="dxa"/>
            <w:vAlign w:val="bottom"/>
          </w:tcPr>
          <w:p>
            <w:pPr>
              <w:ind w:left="32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[X]</w:t>
            </w:r>
          </w:p>
        </w:tc>
      </w:tr>
    </w:tbl>
    <w:p>
      <w:pPr>
        <w:spacing w:after="0" w:line="207"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SEC USE ONLY</w:t>
      </w:r>
    </w:p>
    <w:p>
      <w:pPr>
        <w:ind w:left="1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SOURCE OF FUNDS</w:t>
      </w:r>
    </w:p>
    <w:p>
      <w:pPr>
        <w:ind w:left="120"/>
        <w:spacing w:after="0"/>
        <w:rPr>
          <w:sz w:val="20"/>
          <w:szCs w:val="20"/>
          <w:color w:val="auto"/>
        </w:rPr>
      </w:pPr>
      <w:r>
        <w:rPr>
          <w:rFonts w:ascii="Courier New" w:cs="Courier New" w:eastAsia="Courier New" w:hAnsi="Courier New"/>
          <w:sz w:val="18"/>
          <w:szCs w:val="18"/>
          <w:color w:val="auto"/>
        </w:rPr>
        <w:t>4</w:t>
      </w:r>
    </w:p>
    <w:p>
      <w:pPr>
        <w:ind w:left="640"/>
        <w:spacing w:after="0" w:line="237" w:lineRule="auto"/>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BOX IF DISCLOSURE OF LEGAL PROCEEDINGS IS REQUIRED PURSUANT TO</w:t>
      </w:r>
    </w:p>
    <w:p>
      <w:pPr>
        <w:ind w:left="120"/>
        <w:spacing w:after="0"/>
        <w:tabs>
          <w:tab w:leader="none" w:pos="620" w:val="left"/>
          <w:tab w:leader="none" w:pos="788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ITEMS 2(d) or 2(e)</w:t>
      </w:r>
      <w:r>
        <w:rPr>
          <w:sz w:val="20"/>
          <w:szCs w:val="20"/>
          <w:color w:val="auto"/>
        </w:rPr>
        <w:tab/>
      </w:r>
      <w:r>
        <w:rPr>
          <w:rFonts w:ascii="Courier New" w:cs="Courier New" w:eastAsia="Courier New" w:hAnsi="Courier New"/>
          <w:sz w:val="16"/>
          <w:szCs w:val="16"/>
          <w:color w:val="auto"/>
        </w:rPr>
        <w:t>[_]</w:t>
      </w:r>
    </w:p>
    <w:p>
      <w:pPr>
        <w:spacing w:after="0" w:line="200" w:lineRule="exact"/>
        <w:rPr>
          <w:sz w:val="20"/>
          <w:szCs w:val="20"/>
          <w:color w:val="auto"/>
        </w:rPr>
      </w:pPr>
    </w:p>
    <w:p>
      <w:pPr>
        <w:spacing w:after="0" w:line="209"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CITIZENSHIP OR PLACE OF ORGANIZATION</w:t>
      </w:r>
    </w:p>
    <w:p>
      <w:pPr>
        <w:ind w:left="120"/>
        <w:spacing w:after="0"/>
        <w:rPr>
          <w:sz w:val="20"/>
          <w:szCs w:val="20"/>
          <w:color w:val="auto"/>
        </w:rPr>
      </w:pPr>
      <w:r>
        <w:rPr>
          <w:rFonts w:ascii="Courier New" w:cs="Courier New" w:eastAsia="Courier New" w:hAnsi="Courier New"/>
          <w:sz w:val="18"/>
          <w:szCs w:val="18"/>
          <w:color w:val="auto"/>
        </w:rPr>
        <w:t>6</w:t>
      </w:r>
    </w:p>
    <w:p>
      <w:pPr>
        <w:ind w:left="640"/>
        <w:spacing w:after="0" w:line="237" w:lineRule="auto"/>
        <w:rPr>
          <w:sz w:val="20"/>
          <w:szCs w:val="20"/>
          <w:color w:val="auto"/>
        </w:rPr>
      </w:pPr>
      <w:r>
        <w:rPr>
          <w:rFonts w:ascii="Courier New" w:cs="Courier New" w:eastAsia="Courier New" w:hAnsi="Courier New"/>
          <w:sz w:val="18"/>
          <w:szCs w:val="18"/>
          <w:color w:val="auto"/>
        </w:rPr>
        <w:t>STATE OF DELAWARE</w:t>
      </w:r>
    </w:p>
    <w:p>
      <w:pPr>
        <w:spacing w:after="0" w:line="207"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SOLE VOTING POWER</w:t>
      </w:r>
    </w:p>
    <w:p>
      <w:pPr>
        <w:ind w:left="2320"/>
        <w:spacing w:after="0"/>
        <w:rPr>
          <w:sz w:val="20"/>
          <w:szCs w:val="20"/>
          <w:color w:val="auto"/>
        </w:rPr>
      </w:pPr>
      <w:r>
        <w:rPr>
          <w:rFonts w:ascii="Courier New" w:cs="Courier New" w:eastAsia="Courier New" w:hAnsi="Courier New"/>
          <w:sz w:val="18"/>
          <w:szCs w:val="18"/>
          <w:color w:val="auto"/>
        </w:rPr>
        <w:t>7</w:t>
      </w:r>
    </w:p>
    <w:p>
      <w:pPr>
        <w:ind w:left="540"/>
        <w:spacing w:after="0"/>
        <w:tabs>
          <w:tab w:leader="none" w:pos="272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6"/>
          <w:szCs w:val="16"/>
          <w:color w:val="auto"/>
        </w:rPr>
        <w:t>-0-</w:t>
      </w:r>
    </w:p>
    <w:p>
      <w:pPr>
        <w:spacing w:after="0" w:line="202" w:lineRule="exact"/>
        <w:rPr>
          <w:sz w:val="20"/>
          <w:szCs w:val="20"/>
          <w:color w:val="auto"/>
        </w:rPr>
      </w:pPr>
    </w:p>
    <w:p>
      <w:pPr>
        <w:ind w:left="640"/>
        <w:spacing w:after="0"/>
        <w:tabs>
          <w:tab w:leader="none" w:pos="220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6"/>
          <w:szCs w:val="16"/>
          <w:color w:val="auto"/>
        </w:rPr>
        <w:t>---------------------------------------------------------</w:t>
      </w:r>
    </w:p>
    <w:p>
      <w:pPr>
        <w:ind w:left="2640"/>
        <w:spacing w:after="0" w:line="238" w:lineRule="auto"/>
        <w:rPr>
          <w:sz w:val="20"/>
          <w:szCs w:val="20"/>
          <w:color w:val="auto"/>
        </w:rPr>
      </w:pPr>
      <w:r>
        <w:rPr>
          <w:rFonts w:ascii="Courier New" w:cs="Courier New" w:eastAsia="Courier New" w:hAnsi="Courier New"/>
          <w:sz w:val="18"/>
          <w:szCs w:val="18"/>
          <w:color w:val="auto"/>
        </w:rPr>
        <w:t>SHARED VOTING POWER</w:t>
      </w:r>
    </w:p>
    <w:p>
      <w:pPr>
        <w:ind w:left="320"/>
        <w:spacing w:after="0"/>
        <w:tabs>
          <w:tab w:leader="none" w:pos="2300" w:val="left"/>
        </w:tabs>
        <w:rPr>
          <w:sz w:val="20"/>
          <w:szCs w:val="20"/>
          <w:color w:val="auto"/>
        </w:rPr>
      </w:pPr>
      <w:r>
        <w:rPr>
          <w:rFonts w:ascii="Courier New" w:cs="Courier New" w:eastAsia="Courier New" w:hAnsi="Courier New"/>
          <w:sz w:val="18"/>
          <w:szCs w:val="18"/>
          <w:color w:val="auto"/>
        </w:rPr>
        <w:t>BENEFICIALLY</w:t>
      </w:r>
      <w:r>
        <w:rPr>
          <w:sz w:val="20"/>
          <w:szCs w:val="20"/>
          <w:color w:val="auto"/>
        </w:rPr>
        <w:tab/>
      </w:r>
      <w:r>
        <w:rPr>
          <w:rFonts w:ascii="Courier New" w:cs="Courier New" w:eastAsia="Courier New" w:hAnsi="Courier New"/>
          <w:sz w:val="18"/>
          <w:szCs w:val="18"/>
          <w:color w:val="auto"/>
        </w:rPr>
        <w:t>8</w:t>
      </w:r>
    </w:p>
    <w:p>
      <w:pPr>
        <w:ind w:left="2640"/>
        <w:spacing w:after="0" w:line="237" w:lineRule="auto"/>
        <w:rPr>
          <w:sz w:val="20"/>
          <w:szCs w:val="20"/>
          <w:color w:val="auto"/>
        </w:rPr>
      </w:pPr>
      <w:r>
        <w:rPr>
          <w:rFonts w:ascii="Courier New" w:cs="Courier New" w:eastAsia="Courier New" w:hAnsi="Courier New"/>
          <w:sz w:val="18"/>
          <w:szCs w:val="18"/>
          <w:color w:val="auto"/>
        </w:rPr>
        <w:t>100% /1/</w:t>
      </w:r>
    </w:p>
    <w:p>
      <w:pPr>
        <w:ind w:left="540"/>
        <w:spacing w:after="0" w:line="238" w:lineRule="auto"/>
        <w:rPr>
          <w:sz w:val="20"/>
          <w:szCs w:val="20"/>
          <w:color w:val="auto"/>
        </w:rPr>
      </w:pPr>
      <w:r>
        <w:rPr>
          <w:rFonts w:ascii="Courier New" w:cs="Courier New" w:eastAsia="Courier New" w:hAnsi="Courier New"/>
          <w:sz w:val="18"/>
          <w:szCs w:val="18"/>
          <w:color w:val="auto"/>
        </w:rPr>
        <w:t>OWNED BY</w:t>
      </w:r>
    </w:p>
    <w:p>
      <w:pPr>
        <w:ind w:left="2220"/>
        <w:spacing w:after="0"/>
        <w:rPr>
          <w:sz w:val="20"/>
          <w:szCs w:val="20"/>
          <w:color w:val="auto"/>
        </w:rPr>
      </w:pPr>
      <w:r>
        <w:rPr>
          <w:rFonts w:ascii="Courier New" w:cs="Courier New" w:eastAsia="Courier New" w:hAnsi="Courier New"/>
          <w:sz w:val="18"/>
          <w:szCs w:val="18"/>
          <w:color w:val="auto"/>
        </w:rPr>
        <w:t>---------------------------------------------------------</w:t>
      </w:r>
    </w:p>
    <w:p>
      <w:pPr>
        <w:ind w:left="740"/>
        <w:spacing w:after="0"/>
        <w:tabs>
          <w:tab w:leader="none" w:pos="2620" w:val="left"/>
        </w:tabs>
        <w:rPr>
          <w:sz w:val="20"/>
          <w:szCs w:val="20"/>
          <w:color w:val="auto"/>
        </w:rPr>
      </w:pPr>
      <w:r>
        <w:rPr>
          <w:rFonts w:ascii="Courier New" w:cs="Courier New" w:eastAsia="Courier New" w:hAnsi="Courier New"/>
          <w:sz w:val="18"/>
          <w:szCs w:val="18"/>
          <w:color w:val="auto"/>
        </w:rPr>
        <w:t>EACH</w:t>
      </w:r>
      <w:r>
        <w:rPr>
          <w:sz w:val="20"/>
          <w:szCs w:val="20"/>
          <w:color w:val="auto"/>
        </w:rPr>
        <w:tab/>
      </w:r>
      <w:r>
        <w:rPr>
          <w:rFonts w:ascii="Courier New" w:cs="Courier New" w:eastAsia="Courier New" w:hAnsi="Courier New"/>
          <w:sz w:val="16"/>
          <w:szCs w:val="16"/>
          <w:color w:val="auto"/>
        </w:rPr>
        <w:t>SOLE DISPOSITIVE POWER</w:t>
      </w:r>
    </w:p>
    <w:p>
      <w:pPr>
        <w:ind w:left="2320"/>
        <w:spacing w:after="0"/>
        <w:rPr>
          <w:sz w:val="20"/>
          <w:szCs w:val="20"/>
          <w:color w:val="auto"/>
        </w:rPr>
      </w:pPr>
      <w:r>
        <w:rPr>
          <w:rFonts w:ascii="Courier New" w:cs="Courier New" w:eastAsia="Courier New" w:hAnsi="Courier New"/>
          <w:sz w:val="18"/>
          <w:szCs w:val="18"/>
          <w:color w:val="auto"/>
        </w:rPr>
        <w:t>9</w:t>
      </w: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6"/>
          <w:szCs w:val="16"/>
          <w:color w:val="auto"/>
        </w:rPr>
        <w:t>-0-</w:t>
      </w:r>
    </w:p>
    <w:p>
      <w:pPr>
        <w:spacing w:after="0" w:line="202" w:lineRule="exact"/>
        <w:rPr>
          <w:sz w:val="20"/>
          <w:szCs w:val="20"/>
          <w:color w:val="auto"/>
        </w:rPr>
      </w:pPr>
    </w:p>
    <w:p>
      <w:pPr>
        <w:ind w:left="6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6"/>
          <w:szCs w:val="16"/>
          <w:color w:val="auto"/>
        </w:rPr>
        <w:t>---------------------------------------------------------</w:t>
      </w:r>
    </w:p>
    <w:p>
      <w:pPr>
        <w:ind w:left="2640"/>
        <w:spacing w:after="0" w:line="238" w:lineRule="auto"/>
        <w:rPr>
          <w:sz w:val="20"/>
          <w:szCs w:val="20"/>
          <w:color w:val="auto"/>
        </w:rPr>
      </w:pPr>
      <w:r>
        <w:rPr>
          <w:rFonts w:ascii="Courier New" w:cs="Courier New" w:eastAsia="Courier New" w:hAnsi="Courier New"/>
          <w:sz w:val="18"/>
          <w:szCs w:val="18"/>
          <w:color w:val="auto"/>
        </w:rPr>
        <w:t>SHARED DISPOSITIVE POWER</w:t>
      </w:r>
    </w:p>
    <w:p>
      <w:pPr>
        <w:ind w:left="740"/>
        <w:spacing w:after="0"/>
        <w:tabs>
          <w:tab w:leader="none" w:pos="220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10</w:t>
      </w:r>
    </w:p>
    <w:p>
      <w:pPr>
        <w:ind w:left="2640"/>
        <w:spacing w:after="0" w:line="237" w:lineRule="auto"/>
        <w:rPr>
          <w:sz w:val="20"/>
          <w:szCs w:val="20"/>
          <w:color w:val="auto"/>
        </w:rPr>
      </w:pPr>
      <w:r>
        <w:rPr>
          <w:rFonts w:ascii="Courier New" w:cs="Courier New" w:eastAsia="Courier New" w:hAnsi="Courier New"/>
          <w:sz w:val="18"/>
          <w:szCs w:val="18"/>
          <w:color w:val="auto"/>
        </w:rPr>
        <w:t>SEE ITEM 8 ABOVE</w:t>
      </w:r>
    </w:p>
    <w:p>
      <w:pPr>
        <w:spacing w:after="0" w:line="5"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AGGREGATE AMOUNT BENEFICIALLY OWNED BY EACH REPORTING PERSON</w:t>
      </w:r>
    </w:p>
    <w:p>
      <w:pPr>
        <w:spacing w:after="0"/>
        <w:rPr>
          <w:sz w:val="20"/>
          <w:szCs w:val="20"/>
          <w:color w:val="auto"/>
        </w:rPr>
      </w:pPr>
      <w:r>
        <w:rPr>
          <w:rFonts w:ascii="Courier New" w:cs="Courier New" w:eastAsia="Courier New" w:hAnsi="Courier New"/>
          <w:sz w:val="18"/>
          <w:szCs w:val="18"/>
          <w:color w:val="auto"/>
        </w:rPr>
        <w:t>11</w:t>
      </w:r>
    </w:p>
    <w:p>
      <w:pPr>
        <w:ind w:left="640"/>
        <w:spacing w:after="0" w:line="237" w:lineRule="auto"/>
        <w:rPr>
          <w:sz w:val="20"/>
          <w:szCs w:val="20"/>
          <w:color w:val="auto"/>
        </w:rPr>
      </w:pPr>
      <w:r>
        <w:rPr>
          <w:rFonts w:ascii="Courier New" w:cs="Courier New" w:eastAsia="Courier New" w:hAnsi="Courier New"/>
          <w:sz w:val="18"/>
          <w:szCs w:val="18"/>
          <w:color w:val="auto"/>
        </w:rPr>
        <w:t>100% of outstanding shares of Common Stock /1/</w:t>
      </w:r>
    </w:p>
    <w:p>
      <w:pPr>
        <w:spacing w:after="0" w:line="207"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BOX IF THE AGGREGATE AMOUNT IN ROW (11) EXCLUDES CERTAIN SHARES  [_]</w:t>
      </w:r>
    </w:p>
    <w:p>
      <w:pPr>
        <w:spacing w:after="0"/>
        <w:rPr>
          <w:sz w:val="20"/>
          <w:szCs w:val="20"/>
          <w:color w:val="auto"/>
        </w:rPr>
      </w:pPr>
      <w:r>
        <w:rPr>
          <w:rFonts w:ascii="Courier New" w:cs="Courier New" w:eastAsia="Courier New" w:hAnsi="Courier New"/>
          <w:sz w:val="18"/>
          <w:szCs w:val="18"/>
          <w:color w:val="auto"/>
        </w:rPr>
        <w:t>12</w:t>
      </w:r>
    </w:p>
    <w:p>
      <w:pPr>
        <w:ind w:left="640"/>
        <w:spacing w:after="0" w:line="237" w:lineRule="auto"/>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PERCENT OF CLASS REPRESENTED BY AMOUNT IN ROW (11)</w:t>
      </w:r>
    </w:p>
    <w:p>
      <w:pPr>
        <w:spacing w:after="0"/>
        <w:rPr>
          <w:sz w:val="20"/>
          <w:szCs w:val="20"/>
          <w:color w:val="auto"/>
        </w:rPr>
      </w:pPr>
      <w:r>
        <w:rPr>
          <w:rFonts w:ascii="Courier New" w:cs="Courier New" w:eastAsia="Courier New" w:hAnsi="Courier New"/>
          <w:sz w:val="18"/>
          <w:szCs w:val="18"/>
          <w:color w:val="auto"/>
        </w:rPr>
        <w:t>13</w:t>
      </w:r>
    </w:p>
    <w:p>
      <w:pPr>
        <w:ind w:left="640"/>
        <w:spacing w:after="0" w:line="237" w:lineRule="auto"/>
        <w:rPr>
          <w:sz w:val="20"/>
          <w:szCs w:val="20"/>
          <w:color w:val="auto"/>
        </w:rPr>
      </w:pPr>
      <w:r>
        <w:rPr>
          <w:rFonts w:ascii="Courier New" w:cs="Courier New" w:eastAsia="Courier New" w:hAnsi="Courier New"/>
          <w:sz w:val="18"/>
          <w:szCs w:val="18"/>
          <w:color w:val="auto"/>
        </w:rPr>
        <w:t>100%</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TYPE OF REPORTING PERSON</w:t>
      </w:r>
    </w:p>
    <w:p>
      <w:pPr>
        <w:spacing w:after="0" w:line="238" w:lineRule="auto"/>
        <w:rPr>
          <w:sz w:val="20"/>
          <w:szCs w:val="20"/>
          <w:color w:val="auto"/>
        </w:rPr>
      </w:pPr>
      <w:r>
        <w:rPr>
          <w:rFonts w:ascii="Courier New" w:cs="Courier New" w:eastAsia="Courier New" w:hAnsi="Courier New"/>
          <w:sz w:val="18"/>
          <w:szCs w:val="18"/>
          <w:color w:val="auto"/>
        </w:rPr>
        <w:t>14</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2319" w:hanging="527"/>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 The Issuer was acquired on August 28, 1997 by Micron Electronics, Inc. ("Micron Electronics") pursuant to a merger of Payette Acquisition</w:t>
      </w:r>
    </w:p>
    <w:p>
      <w:pPr>
        <w:sectPr>
          <w:pgSz w:w="11900" w:h="16838" w:orient="portrait"/>
          <w:cols w:equalWidth="0" w:num="1">
            <w:col w:w="10219"/>
          </w:cols>
          <w:pgMar w:left="240" w:top="723" w:right="1440" w:bottom="0" w:gutter="0" w:footer="0" w:header="0"/>
          <w:type w:val="continuous"/>
        </w:sectPr>
      </w:pPr>
    </w:p>
    <w:bookmarkStart w:id="2" w:name="page3"/>
    <w:bookmarkEnd w:id="2"/>
    <w:p>
      <w:pPr>
        <w:ind w:right="1999"/>
        <w:spacing w:after="0" w:line="237" w:lineRule="auto"/>
        <w:rPr>
          <w:sz w:val="20"/>
          <w:szCs w:val="20"/>
          <w:color w:val="auto"/>
        </w:rPr>
      </w:pPr>
      <w:r>
        <w:rPr>
          <w:rFonts w:ascii="Courier New" w:cs="Courier New" w:eastAsia="Courier New" w:hAnsi="Courier New"/>
          <w:sz w:val="18"/>
          <w:szCs w:val="18"/>
          <w:color w:val="auto"/>
        </w:rPr>
        <w:t>Corporation ("Payette"), a wholly-owned subsidiary of Micron Electronics, with and into the Issuer with the Issuer being the surviving corporation upon the merger and thereby becoming a wholly-owned subsidiary of Micron Electronics. Upon the merger of Payette and the Issuer, the separate corporate existence of Payette ceased. Prior to the merger, Payette held approximately 62.8% of the Issuer's Common Stock acquired pursuant to a tender offer commenced by Payette which was consummated on July 18, 1997. Micron Electronics is a majority-owned subsidiary of Micron Technology, Inc.</w:t>
      </w:r>
    </w:p>
    <w:p>
      <w:pPr>
        <w:sectPr>
          <w:pgSz w:w="11900" w:h="16838" w:orient="portrait"/>
          <w:cols w:equalWidth="0" w:num="1">
            <w:col w:w="9679"/>
          </w:cols>
          <w:pgMar w:left="780" w:top="142"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CUSIP NO. 64-1106109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 OF 4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860" w:space="720"/>
            <w:col w:w="1920" w:space="720"/>
            <w:col w:w="3999"/>
          </w:cols>
          <w:pgMar w:left="240" w:top="723" w:right="1440" w:bottom="1440" w:gutter="0" w:footer="0" w:header="0"/>
        </w:sectPr>
      </w:pPr>
    </w:p>
    <w:p>
      <w:pPr>
        <w:spacing w:after="0" w:line="226"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Neither the filing of this Amendment No. 2 to the Schedule 13D and amendments thereto, filed with the Securities and Exchange Commission on June 20, 1997 and July 29, 1997 (as amended, this "STATEMENT") nor any of its contents shall be deemed to constitute an admission by Micron Technology, Inc., a Delaware corporation, that it is the beneficial owner of any of the Common Stock referred to herein, for purposes of Section 13(d) of the Securities Exchange Act of 1934, as amended, or for any other purpose, and such beneficial ownership is expressly disclaimed.</w:t>
      </w:r>
    </w:p>
    <w:p>
      <w:pPr>
        <w:spacing w:after="0" w:line="212" w:lineRule="exact"/>
        <w:rPr>
          <w:sz w:val="20"/>
          <w:szCs w:val="20"/>
          <w:color w:val="auto"/>
        </w:rPr>
      </w:pPr>
    </w:p>
    <w:p>
      <w:pPr>
        <w:ind w:right="1779" w:firstLine="211"/>
        <w:spacing w:after="0" w:line="238" w:lineRule="auto"/>
        <w:rPr>
          <w:sz w:val="20"/>
          <w:szCs w:val="20"/>
          <w:color w:val="auto"/>
        </w:rPr>
      </w:pPr>
      <w:r>
        <w:rPr>
          <w:rFonts w:ascii="Courier New" w:cs="Courier New" w:eastAsia="Courier New" w:hAnsi="Courier New"/>
          <w:sz w:val="18"/>
          <w:szCs w:val="18"/>
          <w:color w:val="auto"/>
        </w:rPr>
        <w:t>This Amendment No. 2 to Schedule 13D constitutes a statement relating to the acquisition on August 28, 1997 by Micron Electronics, Inc., a Minnesota corporation ("Micron Electronics"), of all outstanding shares of Common Stock, $0.001 par value per share, together with all associated rights (the "Shares") of NetFRAME Systems Incorporated, a Delaware corporation (the "Issuer"), which were not previously owned by Micron Electronics or any of its direct or indirect subsidiaries. The acquisition was effected pursuant to a merger of Micron Electronics' wholly-owned subsidiary, Payette Acquisition Corporation ("Payette") with and into the Issuer (the "Merger"). Because Micron is a majority-owned subsidiary of Micron Technology, Inc., Micron Technology, Inc. may be deemed to beneficially own the shares acquired pursuant to the Merger and the Offer (as defined below).</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Merger constitutes the second and final step of the acquisition of the Issuer by Micron. Pursuant to a tender offer (the "Offer") consummated on July 18, 1997, Payette acquired 8,775,554 Shares representing approximately 62.8% of the Issuer's Common Stock on such date.</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420" w:right="2099"/>
        <w:spacing w:after="0" w:line="237" w:lineRule="auto"/>
        <w:rPr>
          <w:sz w:val="20"/>
          <w:szCs w:val="20"/>
          <w:color w:val="auto"/>
        </w:rPr>
      </w:pPr>
      <w:r>
        <w:rPr>
          <w:rFonts w:ascii="Courier New" w:cs="Courier New" w:eastAsia="Courier New" w:hAnsi="Courier New"/>
          <w:sz w:val="18"/>
          <w:szCs w:val="18"/>
          <w:color w:val="auto"/>
        </w:rPr>
        <w:t>The acquisition of NetFrame was effected on August 28, 1997 pursuant to the Merger of Payette with and into the Issuer, with the Issuer being the surviving corporation (the "Surviving Corporation") upon the Merger and thereby becoming a wholly-owned subsidiary of Micron Electronics. The Merger was consummated following approval by the stockholders of the Issuer at a Special Meeting of Stockholders held August 27, 1997.</w:t>
      </w:r>
    </w:p>
    <w:p>
      <w:pPr>
        <w:spacing w:after="0" w:line="210" w:lineRule="exact"/>
        <w:rPr>
          <w:sz w:val="20"/>
          <w:szCs w:val="20"/>
          <w:color w:val="auto"/>
        </w:rPr>
      </w:pPr>
    </w:p>
    <w:p>
      <w:pPr>
        <w:ind w:left="420" w:right="1779"/>
        <w:spacing w:after="0" w:line="238" w:lineRule="auto"/>
        <w:rPr>
          <w:sz w:val="20"/>
          <w:szCs w:val="20"/>
          <w:color w:val="auto"/>
        </w:rPr>
      </w:pPr>
      <w:r>
        <w:rPr>
          <w:rFonts w:ascii="Courier New" w:cs="Courier New" w:eastAsia="Courier New" w:hAnsi="Courier New"/>
          <w:sz w:val="18"/>
          <w:szCs w:val="18"/>
          <w:color w:val="auto"/>
        </w:rPr>
        <w:t>Prior to the Merger, Payette held approximately 62.8% of the shares of Common Stock of the Issuer acquired by Payette upon consummation of the Offer on July 18, 1997. As a result of the Merger, Micron Electronics became the beneficial owner of 100% of the Issuer's Common Stock. Pursuant to the Merger, each of the outstanding Shares not held by Micron Electronics, Payette or any other subsidiary of Micron Electronics (other than those shares held by former NetFrame stockholders who have demanded and perfected any appraisal rights they may have under Delaware law) was converted into the right to receive $1.00, in cash without interest. Following the effective time of the Merger on August 28, 1997, the separate corporate existence of Payette ceased and each outstanding share of capital stock of Payette was converted into one share of Common Stock</w:t>
      </w:r>
    </w:p>
    <w:p>
      <w:pPr>
        <w:spacing w:after="0" w:line="4" w:lineRule="exact"/>
        <w:rPr>
          <w:sz w:val="20"/>
          <w:szCs w:val="20"/>
          <w:color w:val="auto"/>
        </w:rPr>
      </w:pPr>
    </w:p>
    <w:p>
      <w:pPr>
        <w:ind w:left="420" w:right="2099"/>
        <w:spacing w:after="0" w:line="237" w:lineRule="auto"/>
        <w:rPr>
          <w:sz w:val="20"/>
          <w:szCs w:val="20"/>
          <w:color w:val="auto"/>
        </w:rPr>
      </w:pPr>
      <w:r>
        <w:rPr>
          <w:rFonts w:ascii="Courier New" w:cs="Courier New" w:eastAsia="Courier New" w:hAnsi="Courier New"/>
          <w:sz w:val="18"/>
          <w:szCs w:val="18"/>
          <w:color w:val="auto"/>
        </w:rPr>
        <w:t>of the Surviving Corporation. Each share of the Issuer's Common Stock owned by Micron Electronics, Payette or any other subsidiary of Micron Electronics was automatically canceled and retired. The registration of the Issuer's Common Stock under Section 12 of the Securities and Exchange Act of 1934, as amended, was terminated by the Issuer pursuant to a Form 15 filed with the Commission on August 29, 1997.</w:t>
      </w:r>
    </w:p>
    <w:p>
      <w:pPr>
        <w:spacing w:after="0" w:line="210" w:lineRule="exact"/>
        <w:rPr>
          <w:sz w:val="20"/>
          <w:szCs w:val="20"/>
          <w:color w:val="auto"/>
        </w:rPr>
      </w:pPr>
    </w:p>
    <w:p>
      <w:pPr>
        <w:ind w:left="420" w:right="1999"/>
        <w:spacing w:after="0" w:line="237" w:lineRule="auto"/>
        <w:rPr>
          <w:sz w:val="20"/>
          <w:szCs w:val="20"/>
          <w:color w:val="auto"/>
        </w:rPr>
      </w:pPr>
      <w:r>
        <w:rPr>
          <w:rFonts w:ascii="Courier New" w:cs="Courier New" w:eastAsia="Courier New" w:hAnsi="Courier New"/>
          <w:sz w:val="18"/>
          <w:szCs w:val="18"/>
          <w:color w:val="auto"/>
        </w:rPr>
        <w:t>In connection with Offer and the Merger, Micron Electronics was granted an option to purchase Shares representing a 19.9% equity stake in Issuer pursuant to a Stock Option Agreement, which agreement terminated upon consummation of the Offer.</w:t>
      </w:r>
    </w:p>
    <w:p>
      <w:pPr>
        <w:sectPr>
          <w:pgSz w:w="11900" w:h="16838" w:orient="portrait"/>
          <w:cols w:equalWidth="0" w:num="1">
            <w:col w:w="10219"/>
          </w:cols>
          <w:pgMar w:left="240" w:top="723" w:right="1440" w:bottom="1440" w:gutter="0" w:footer="0" w:header="0"/>
          <w:type w:val="continuous"/>
        </w:sectPr>
      </w:pPr>
    </w:p>
    <w:bookmarkStart w:id="4" w:name="page5"/>
    <w:bookmarkEnd w:id="4"/>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jc w:val="both"/>
        <w:ind w:right="199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8, 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Micron Technology, Inc.</w:t>
      </w:r>
    </w:p>
    <w:p>
      <w:pPr>
        <w:spacing w:after="0" w:line="200" w:lineRule="exact"/>
        <w:rPr>
          <w:sz w:val="20"/>
          <w:szCs w:val="20"/>
          <w:color w:val="auto"/>
        </w:rPr>
      </w:pPr>
    </w:p>
    <w:p>
      <w:pPr>
        <w:sectPr>
          <w:pgSz w:w="11900" w:h="16838" w:orient="portrait"/>
          <w:cols w:equalWidth="0" w:num="2">
            <w:col w:w="2980" w:space="720"/>
            <w:col w:w="6519"/>
          </w:cols>
          <w:pgMar w:left="240" w:top="717" w:right="1440" w:bottom="1440" w:gutter="0" w:footer="0" w:header="0"/>
          <w:type w:val="continuous"/>
        </w:sectPr>
      </w:pPr>
    </w:p>
    <w:p>
      <w:pPr>
        <w:spacing w:after="0" w:line="22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 /s/ Roderic W. Lewis</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Name: Roderic W. Lewis</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Title: Vice President of Legal Affairs,</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General Counsel and</w:t>
      </w:r>
    </w:p>
    <w:p>
      <w:pPr>
        <w:ind w:left="4440"/>
        <w:spacing w:after="0" w:line="238" w:lineRule="auto"/>
        <w:rPr>
          <w:sz w:val="20"/>
          <w:szCs w:val="20"/>
          <w:color w:val="auto"/>
        </w:rPr>
      </w:pPr>
      <w:r>
        <w:rPr>
          <w:rFonts w:ascii="Courier New" w:cs="Courier New" w:eastAsia="Courier New" w:hAnsi="Courier New"/>
          <w:sz w:val="18"/>
          <w:szCs w:val="18"/>
          <w:color w:val="auto"/>
        </w:rPr>
        <w:t>Corporate Secretary</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2"/>
      <w:numFmt w:val="decimal"/>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2019-12-16T16:33:18Z</dcterms:created>
  <dcterms:modified xsi:type="dcterms:W3CDTF">2019-12-16T16:33:18Z</dcterms:modified>
</cp:coreProperties>
</file>