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27,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October 27, 2016, Micron Technology, Inc. (“Micron”) entered into an amendment (the “Amendment”) to the Company’s existing credit agreement, dated April 26, 2016 (the “Credit Agreement”), to reduce the applicable margin under the Credit Agreement. After giving effect to the Amendment, term loans under the Credit Agreement will bear interest, at Micron’s election, at either (A) the base rate, which is defined as a fluctuating rate per annum equal to the greatest of (i) the prime rate in effect, (ii) the federal funds rate in effect plus 0.50%, and (iii) an adjusted LIBOR determined on the basis of a one-month interest period plus 1.0%, in each case, plus an applicable margin of 2.75% or (B) an adjusted LIBOR plus an applicable margin of 3.75%.</w:t>
      </w:r>
    </w:p>
    <w:p>
      <w:pPr>
        <w:sectPr>
          <w:pgSz w:w="11900" w:h="16838" w:orient="portrait"/>
          <w:cols w:equalWidth="0" w:num="1">
            <w:col w:w="11320"/>
          </w:cols>
          <w:pgMar w:left="240" w:top="742" w:right="3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96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October 27, 2016</w:t>
            </w:r>
          </w:p>
        </w:tc>
        <w:tc>
          <w:tcPr>
            <w:tcW w:w="2640" w:type="dxa"/>
            <w:vAlign w:val="bottom"/>
          </w:tcPr>
          <w:p>
            <w:pPr>
              <w:ind w:left="176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4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40" w:type="dxa"/>
            <w:vAlign w:val="bottom"/>
          </w:tcPr>
          <w:p>
            <w:pPr>
              <w:ind w:left="176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60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2019-12-05T16:09:11Z</dcterms:created>
  <dcterms:modified xsi:type="dcterms:W3CDTF">2019-12-05T16:09:11Z</dcterms:modified>
</cp:coreProperties>
</file>