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Term Sheet dated May 17, 2007 to</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Preliminary Prospectus dated May 16, 2007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333-143026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$1,135,000,000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aggregate principal amount of its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1.875% Convertible Senior Notes due June 1, 2014</w:t>
      </w:r>
    </w:p>
    <w:p>
      <w:pPr>
        <w:spacing w:after="0" w:line="219" w:lineRule="exact"/>
        <w:rPr>
          <w:sz w:val="24"/>
          <w:szCs w:val="24"/>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This free writing prospectus relates only to the securities described below and should be read together with the preliminary prospectus dated May 16, 2007 (including the documents incorporated by reference therein) relating to the securities.</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Micron Technology, Inc.</w:t>
            </w:r>
          </w:p>
        </w:tc>
      </w:tr>
      <w:tr>
        <w:trPr>
          <w:trHeight w:val="431"/>
        </w:trPr>
        <w:tc>
          <w:tcPr>
            <w:tcW w:w="4100" w:type="dxa"/>
            <w:vAlign w:val="bottom"/>
          </w:tcPr>
          <w:p>
            <w:pPr>
              <w:spacing w:after="0"/>
              <w:rPr>
                <w:sz w:val="20"/>
                <w:szCs w:val="20"/>
                <w:color w:val="auto"/>
              </w:rPr>
            </w:pPr>
            <w:r>
              <w:rPr>
                <w:rFonts w:ascii="Arial" w:cs="Arial" w:eastAsia="Arial" w:hAnsi="Arial"/>
                <w:sz w:val="18"/>
                <w:szCs w:val="18"/>
                <w:color w:val="auto"/>
              </w:rPr>
              <w:t>Title of Securities</w:t>
            </w:r>
          </w:p>
        </w:tc>
        <w:tc>
          <w:tcPr>
            <w:tcW w:w="7320" w:type="dxa"/>
            <w:vAlign w:val="bottom"/>
          </w:tcPr>
          <w:p>
            <w:pPr>
              <w:ind w:left="1400"/>
              <w:spacing w:after="0"/>
              <w:rPr>
                <w:sz w:val="20"/>
                <w:szCs w:val="20"/>
                <w:color w:val="auto"/>
              </w:rPr>
            </w:pPr>
            <w:r>
              <w:rPr>
                <w:rFonts w:ascii="Arial" w:cs="Arial" w:eastAsia="Arial" w:hAnsi="Arial"/>
                <w:sz w:val="18"/>
                <w:szCs w:val="18"/>
                <w:color w:val="auto"/>
              </w:rPr>
              <w:t>1.875% Convertible Senior Notes due 2014</w:t>
            </w:r>
          </w:p>
        </w:tc>
      </w:tr>
      <w:tr>
        <w:trPr>
          <w:trHeight w:val="43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Ticker/Exchange</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MU / NYSE</w:t>
            </w:r>
          </w:p>
        </w:tc>
      </w:tr>
      <w:tr>
        <w:trPr>
          <w:trHeight w:val="431"/>
        </w:trPr>
        <w:tc>
          <w:tcPr>
            <w:tcW w:w="4100" w:type="dxa"/>
            <w:vAlign w:val="bottom"/>
          </w:tcPr>
          <w:p>
            <w:pPr>
              <w:spacing w:after="0"/>
              <w:rPr>
                <w:sz w:val="20"/>
                <w:szCs w:val="20"/>
                <w:color w:val="auto"/>
              </w:rPr>
            </w:pPr>
            <w:r>
              <w:rPr>
                <w:rFonts w:ascii="Arial" w:cs="Arial" w:eastAsia="Arial" w:hAnsi="Arial"/>
                <w:sz w:val="18"/>
                <w:szCs w:val="18"/>
                <w:color w:val="auto"/>
              </w:rPr>
              <w:t>Aggregate principal amount offered</w:t>
            </w:r>
          </w:p>
        </w:tc>
        <w:tc>
          <w:tcPr>
            <w:tcW w:w="7320" w:type="dxa"/>
            <w:vAlign w:val="bottom"/>
          </w:tcPr>
          <w:p>
            <w:pPr>
              <w:ind w:left="1400"/>
              <w:spacing w:after="0"/>
              <w:rPr>
                <w:sz w:val="20"/>
                <w:szCs w:val="20"/>
                <w:color w:val="auto"/>
              </w:rPr>
            </w:pPr>
            <w:r>
              <w:rPr>
                <w:rFonts w:ascii="Arial" w:cs="Arial" w:eastAsia="Arial" w:hAnsi="Arial"/>
                <w:sz w:val="18"/>
                <w:szCs w:val="18"/>
                <w:color w:val="auto"/>
              </w:rPr>
              <w:t>$1.135 billion</w:t>
            </w:r>
          </w:p>
        </w:tc>
      </w:tr>
      <w:tr>
        <w:trPr>
          <w:trHeight w:val="43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Over-allotment option</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$165 million</w:t>
            </w:r>
          </w:p>
        </w:tc>
      </w:tr>
      <w:tr>
        <w:trPr>
          <w:trHeight w:val="431"/>
        </w:trPr>
        <w:tc>
          <w:tcPr>
            <w:tcW w:w="4100" w:type="dxa"/>
            <w:vAlign w:val="bottom"/>
          </w:tcPr>
          <w:p>
            <w:pPr>
              <w:spacing w:after="0"/>
              <w:rPr>
                <w:sz w:val="20"/>
                <w:szCs w:val="20"/>
                <w:color w:val="auto"/>
              </w:rPr>
            </w:pPr>
            <w:r>
              <w:rPr>
                <w:rFonts w:ascii="Arial" w:cs="Arial" w:eastAsia="Arial" w:hAnsi="Arial"/>
                <w:sz w:val="18"/>
                <w:szCs w:val="18"/>
                <w:color w:val="auto"/>
              </w:rPr>
              <w:t>Issue price</w:t>
            </w:r>
          </w:p>
        </w:tc>
        <w:tc>
          <w:tcPr>
            <w:tcW w:w="7320" w:type="dxa"/>
            <w:vAlign w:val="bottom"/>
          </w:tcPr>
          <w:p>
            <w:pPr>
              <w:ind w:left="1400"/>
              <w:spacing w:after="0"/>
              <w:rPr>
                <w:sz w:val="20"/>
                <w:szCs w:val="20"/>
                <w:color w:val="auto"/>
              </w:rPr>
            </w:pPr>
            <w:r>
              <w:rPr>
                <w:rFonts w:ascii="Arial" w:cs="Arial" w:eastAsia="Arial" w:hAnsi="Arial"/>
                <w:sz w:val="18"/>
                <w:szCs w:val="18"/>
                <w:color w:val="auto"/>
              </w:rPr>
              <w:t>100%</w:t>
            </w:r>
          </w:p>
        </w:tc>
      </w:tr>
      <w:tr>
        <w:trPr>
          <w:trHeight w:val="43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Aggregate underwriting compensation</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4"/>
              </w:rPr>
              <w:t>$22.1 million (assuming no exercise of the underwriters' over-allotment option)</w:t>
            </w:r>
          </w:p>
        </w:tc>
      </w:tr>
      <w:tr>
        <w:trPr>
          <w:trHeight w:val="431"/>
        </w:trPr>
        <w:tc>
          <w:tcPr>
            <w:tcW w:w="4100" w:type="dxa"/>
            <w:vAlign w:val="bottom"/>
          </w:tcPr>
          <w:p>
            <w:pPr>
              <w:spacing w:after="0"/>
              <w:rPr>
                <w:sz w:val="20"/>
                <w:szCs w:val="20"/>
                <w:color w:val="auto"/>
              </w:rPr>
            </w:pPr>
            <w:r>
              <w:rPr>
                <w:rFonts w:ascii="Arial" w:cs="Arial" w:eastAsia="Arial" w:hAnsi="Arial"/>
                <w:sz w:val="18"/>
                <w:szCs w:val="18"/>
                <w:color w:val="auto"/>
              </w:rPr>
              <w:t>Interest rate</w:t>
            </w:r>
          </w:p>
        </w:tc>
        <w:tc>
          <w:tcPr>
            <w:tcW w:w="7320" w:type="dxa"/>
            <w:vAlign w:val="bottom"/>
          </w:tcPr>
          <w:p>
            <w:pPr>
              <w:ind w:left="1400"/>
              <w:spacing w:after="0"/>
              <w:rPr>
                <w:sz w:val="20"/>
                <w:szCs w:val="20"/>
                <w:color w:val="auto"/>
              </w:rPr>
            </w:pPr>
            <w:r>
              <w:rPr>
                <w:rFonts w:ascii="Arial" w:cs="Arial" w:eastAsia="Arial" w:hAnsi="Arial"/>
                <w:sz w:val="18"/>
                <w:szCs w:val="18"/>
                <w:color w:val="auto"/>
              </w:rPr>
              <w:t>1.875% per year, accruing from May 23, 2007</w:t>
            </w:r>
          </w:p>
        </w:tc>
      </w:tr>
      <w:tr>
        <w:trPr>
          <w:trHeight w:val="43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Last sale price of MU common stock</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$11.50 (May 17, 2007)</w:t>
            </w:r>
          </w:p>
        </w:tc>
      </w:tr>
      <w:tr>
        <w:trPr>
          <w:trHeight w:val="431"/>
        </w:trPr>
        <w:tc>
          <w:tcPr>
            <w:tcW w:w="4100" w:type="dxa"/>
            <w:vAlign w:val="bottom"/>
          </w:tcPr>
          <w:p>
            <w:pPr>
              <w:spacing w:after="0"/>
              <w:rPr>
                <w:sz w:val="20"/>
                <w:szCs w:val="20"/>
                <w:color w:val="auto"/>
              </w:rPr>
            </w:pPr>
            <w:r>
              <w:rPr>
                <w:rFonts w:ascii="Arial" w:cs="Arial" w:eastAsia="Arial" w:hAnsi="Arial"/>
                <w:sz w:val="18"/>
                <w:szCs w:val="18"/>
                <w:color w:val="auto"/>
              </w:rPr>
              <w:t>Conversion premium</w:t>
            </w:r>
          </w:p>
        </w:tc>
        <w:tc>
          <w:tcPr>
            <w:tcW w:w="7320" w:type="dxa"/>
            <w:vAlign w:val="bottom"/>
          </w:tcPr>
          <w:p>
            <w:pPr>
              <w:ind w:left="1400"/>
              <w:spacing w:after="0"/>
              <w:rPr>
                <w:sz w:val="20"/>
                <w:szCs w:val="20"/>
                <w:color w:val="auto"/>
              </w:rPr>
            </w:pPr>
            <w:r>
              <w:rPr>
                <w:rFonts w:ascii="Arial" w:cs="Arial" w:eastAsia="Arial" w:hAnsi="Arial"/>
                <w:sz w:val="18"/>
                <w:szCs w:val="18"/>
                <w:color w:val="auto"/>
              </w:rPr>
              <w:t>23.75%</w:t>
            </w:r>
          </w:p>
        </w:tc>
      </w:tr>
      <w:tr>
        <w:trPr>
          <w:trHeight w:val="43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Initial conversion price</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Approximately $14.23 per share of common stock</w:t>
            </w:r>
          </w:p>
        </w:tc>
      </w:tr>
      <w:tr>
        <w:trPr>
          <w:trHeight w:val="424"/>
        </w:trPr>
        <w:tc>
          <w:tcPr>
            <w:tcW w:w="4100" w:type="dxa"/>
            <w:vAlign w:val="bottom"/>
          </w:tcPr>
          <w:p>
            <w:pPr>
              <w:spacing w:after="0"/>
              <w:rPr>
                <w:sz w:val="20"/>
                <w:szCs w:val="20"/>
                <w:color w:val="auto"/>
              </w:rPr>
            </w:pPr>
            <w:r>
              <w:rPr>
                <w:rFonts w:ascii="Arial" w:cs="Arial" w:eastAsia="Arial" w:hAnsi="Arial"/>
                <w:sz w:val="18"/>
                <w:szCs w:val="18"/>
                <w:color w:val="auto"/>
              </w:rPr>
              <w:t>Initial conversion rate</w:t>
            </w:r>
          </w:p>
        </w:tc>
        <w:tc>
          <w:tcPr>
            <w:tcW w:w="7320" w:type="dxa"/>
            <w:vAlign w:val="bottom"/>
          </w:tcPr>
          <w:p>
            <w:pPr>
              <w:ind w:left="1400"/>
              <w:spacing w:after="0"/>
              <w:rPr>
                <w:sz w:val="20"/>
                <w:szCs w:val="20"/>
                <w:color w:val="auto"/>
              </w:rPr>
            </w:pPr>
            <w:r>
              <w:rPr>
                <w:rFonts w:ascii="Arial" w:cs="Arial" w:eastAsia="Arial" w:hAnsi="Arial"/>
                <w:sz w:val="18"/>
                <w:szCs w:val="18"/>
                <w:color w:val="auto"/>
                <w:w w:val="90"/>
              </w:rPr>
              <w:t>70.2679 shares of common stock per $1,000 principal amount of notes (subject to</w:t>
            </w:r>
          </w:p>
        </w:tc>
      </w:tr>
      <w:tr>
        <w:trPr>
          <w:trHeight w:val="223"/>
        </w:trPr>
        <w:tc>
          <w:tcPr>
            <w:tcW w:w="4100" w:type="dxa"/>
            <w:vAlign w:val="bottom"/>
          </w:tcPr>
          <w:p>
            <w:pPr>
              <w:spacing w:after="0"/>
              <w:rPr>
                <w:sz w:val="19"/>
                <w:szCs w:val="19"/>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rPr>
              <w:t>adjustment)</w:t>
            </w:r>
          </w:p>
        </w:tc>
      </w:tr>
      <w:tr>
        <w:trPr>
          <w:trHeight w:val="42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Settlement upon conversion</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1"/>
              </w:rPr>
              <w:t>In lieu of delivery of shares of common stock, the Issuer may elect to deliver cash</w:t>
            </w:r>
          </w:p>
        </w:tc>
      </w:tr>
      <w:tr>
        <w:trPr>
          <w:trHeight w:val="224"/>
        </w:trPr>
        <w:tc>
          <w:tcPr>
            <w:tcW w:w="4100" w:type="dxa"/>
            <w:vAlign w:val="bottom"/>
            <w:shd w:val="clear" w:color="auto" w:fill="CCEEFF"/>
          </w:tcPr>
          <w:p>
            <w:pPr>
              <w:spacing w:after="0"/>
              <w:rPr>
                <w:sz w:val="19"/>
                <w:szCs w:val="19"/>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or a combination of cash and shares of common stock.</w:t>
            </w:r>
          </w:p>
        </w:tc>
      </w:tr>
      <w:tr>
        <w:trPr>
          <w:trHeight w:val="424"/>
        </w:trPr>
        <w:tc>
          <w:tcPr>
            <w:tcW w:w="4100" w:type="dxa"/>
            <w:vAlign w:val="bottom"/>
          </w:tcPr>
          <w:p>
            <w:pPr>
              <w:spacing w:after="0"/>
              <w:rPr>
                <w:sz w:val="20"/>
                <w:szCs w:val="20"/>
                <w:color w:val="auto"/>
              </w:rPr>
            </w:pPr>
            <w:r>
              <w:rPr>
                <w:rFonts w:ascii="Arial" w:cs="Arial" w:eastAsia="Arial" w:hAnsi="Arial"/>
                <w:sz w:val="18"/>
                <w:szCs w:val="18"/>
                <w:color w:val="auto"/>
              </w:rPr>
              <w:t>Conversion trigger price</w:t>
            </w:r>
          </w:p>
        </w:tc>
        <w:tc>
          <w:tcPr>
            <w:tcW w:w="7320" w:type="dxa"/>
            <w:vAlign w:val="bottom"/>
          </w:tcPr>
          <w:p>
            <w:pPr>
              <w:ind w:left="1400"/>
              <w:spacing w:after="0"/>
              <w:rPr>
                <w:sz w:val="20"/>
                <w:szCs w:val="20"/>
                <w:color w:val="auto"/>
              </w:rPr>
            </w:pPr>
            <w:r>
              <w:rPr>
                <w:rFonts w:ascii="Arial" w:cs="Arial" w:eastAsia="Arial" w:hAnsi="Arial"/>
                <w:sz w:val="18"/>
                <w:szCs w:val="18"/>
                <w:color w:val="auto"/>
                <w:w w:val="93"/>
              </w:rPr>
              <w:t>The conversion trigger price immediately following issuance of the notes will be</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95"/>
              </w:rPr>
              <w:t>$18.50, which is 130% of the initial conversion price for the notes per share of</w:t>
            </w:r>
          </w:p>
        </w:tc>
      </w:tr>
      <w:tr>
        <w:trPr>
          <w:trHeight w:val="223"/>
        </w:trPr>
        <w:tc>
          <w:tcPr>
            <w:tcW w:w="4100" w:type="dxa"/>
            <w:vAlign w:val="bottom"/>
          </w:tcPr>
          <w:p>
            <w:pPr>
              <w:spacing w:after="0"/>
              <w:rPr>
                <w:sz w:val="19"/>
                <w:szCs w:val="19"/>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rPr>
              <w:t>common stock.</w:t>
            </w:r>
          </w:p>
        </w:tc>
      </w:tr>
      <w:tr>
        <w:trPr>
          <w:trHeight w:val="42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Free convertibility period</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2"/>
              </w:rPr>
              <w:t>A holder may convert its notes at any time on or after March 1, 2014 through the</w:t>
            </w:r>
          </w:p>
        </w:tc>
      </w:tr>
      <w:tr>
        <w:trPr>
          <w:trHeight w:val="224"/>
        </w:trPr>
        <w:tc>
          <w:tcPr>
            <w:tcW w:w="4100" w:type="dxa"/>
            <w:vAlign w:val="bottom"/>
            <w:shd w:val="clear" w:color="auto" w:fill="CCEEFF"/>
          </w:tcPr>
          <w:p>
            <w:pPr>
              <w:spacing w:after="0"/>
              <w:rPr>
                <w:sz w:val="19"/>
                <w:szCs w:val="19"/>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business day immediately preceding June 1, 2014.</w:t>
            </w:r>
          </w:p>
        </w:tc>
      </w:tr>
      <w:tr>
        <w:trPr>
          <w:trHeight w:val="431"/>
        </w:trPr>
        <w:tc>
          <w:tcPr>
            <w:tcW w:w="4100" w:type="dxa"/>
            <w:vAlign w:val="bottom"/>
          </w:tcPr>
          <w:p>
            <w:pPr>
              <w:spacing w:after="0"/>
              <w:rPr>
                <w:sz w:val="20"/>
                <w:szCs w:val="20"/>
                <w:color w:val="auto"/>
              </w:rPr>
            </w:pPr>
            <w:r>
              <w:rPr>
                <w:rFonts w:ascii="Arial" w:cs="Arial" w:eastAsia="Arial" w:hAnsi="Arial"/>
                <w:sz w:val="18"/>
                <w:szCs w:val="18"/>
                <w:color w:val="auto"/>
              </w:rPr>
              <w:t>Trustee</w:t>
            </w:r>
          </w:p>
        </w:tc>
        <w:tc>
          <w:tcPr>
            <w:tcW w:w="7320" w:type="dxa"/>
            <w:vAlign w:val="bottom"/>
          </w:tcPr>
          <w:p>
            <w:pPr>
              <w:ind w:left="1400"/>
              <w:spacing w:after="0"/>
              <w:rPr>
                <w:sz w:val="20"/>
                <w:szCs w:val="20"/>
                <w:color w:val="auto"/>
              </w:rPr>
            </w:pPr>
            <w:r>
              <w:rPr>
                <w:rFonts w:ascii="Arial" w:cs="Arial" w:eastAsia="Arial" w:hAnsi="Arial"/>
                <w:sz w:val="18"/>
                <w:szCs w:val="18"/>
                <w:color w:val="auto"/>
              </w:rPr>
              <w:t>Wells Fargo Bank, National Association</w:t>
            </w:r>
          </w:p>
        </w:tc>
      </w:tr>
      <w:tr>
        <w:trPr>
          <w:trHeight w:val="43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 dates</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June 1 and December 1 of each year, beginning December 1, 2007</w:t>
            </w:r>
          </w:p>
        </w:tc>
      </w:tr>
      <w:tr>
        <w:trPr>
          <w:trHeight w:val="431"/>
        </w:trPr>
        <w:tc>
          <w:tcPr>
            <w:tcW w:w="4100" w:type="dxa"/>
            <w:vAlign w:val="bottom"/>
          </w:tcPr>
          <w:p>
            <w:pPr>
              <w:spacing w:after="0"/>
              <w:rPr>
                <w:sz w:val="20"/>
                <w:szCs w:val="20"/>
                <w:color w:val="auto"/>
              </w:rPr>
            </w:pPr>
            <w:r>
              <w:rPr>
                <w:rFonts w:ascii="Arial" w:cs="Arial" w:eastAsia="Arial" w:hAnsi="Arial"/>
                <w:sz w:val="18"/>
                <w:szCs w:val="18"/>
                <w:color w:val="auto"/>
              </w:rPr>
              <w:t>Maturity date</w:t>
            </w:r>
          </w:p>
        </w:tc>
        <w:tc>
          <w:tcPr>
            <w:tcW w:w="7320" w:type="dxa"/>
            <w:vAlign w:val="bottom"/>
          </w:tcPr>
          <w:p>
            <w:pPr>
              <w:ind w:left="1400"/>
              <w:spacing w:after="0"/>
              <w:rPr>
                <w:sz w:val="20"/>
                <w:szCs w:val="20"/>
                <w:color w:val="auto"/>
              </w:rPr>
            </w:pPr>
            <w:r>
              <w:rPr>
                <w:rFonts w:ascii="Arial" w:cs="Arial" w:eastAsia="Arial" w:hAnsi="Arial"/>
                <w:sz w:val="18"/>
                <w:szCs w:val="18"/>
                <w:color w:val="auto"/>
              </w:rPr>
              <w:t>June 1, 2014</w:t>
            </w:r>
          </w:p>
        </w:tc>
      </w:tr>
      <w:tr>
        <w:trPr>
          <w:trHeight w:val="43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Put dates</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None</w:t>
            </w:r>
          </w:p>
        </w:tc>
      </w:tr>
      <w:tr>
        <w:trPr>
          <w:trHeight w:val="334"/>
        </w:trPr>
        <w:tc>
          <w:tcPr>
            <w:tcW w:w="4100" w:type="dxa"/>
            <w:vAlign w:val="bottom"/>
            <w:tcBorders>
              <w:bottom w:val="single" w:sz="8" w:color="808080"/>
            </w:tcBorders>
          </w:tcPr>
          <w:p>
            <w:pPr>
              <w:spacing w:after="0"/>
              <w:rPr>
                <w:sz w:val="24"/>
                <w:szCs w:val="24"/>
                <w:color w:val="auto"/>
              </w:rPr>
            </w:pPr>
          </w:p>
        </w:tc>
        <w:tc>
          <w:tcPr>
            <w:tcW w:w="7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 w:name="page2"/>
    <w:bookmarkEnd w:id="1"/>
    <w:p>
      <w:pPr>
        <w:spacing w:after="0"/>
        <w:tabs>
          <w:tab w:leader="none" w:pos="5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t>Dividend protection</w:t>
      </w:r>
      <w:r>
        <w:rPr>
          <w:sz w:val="20"/>
          <w:szCs w:val="20"/>
          <w:color w:val="auto"/>
        </w:rPr>
        <w:tab/>
      </w:r>
      <w:r>
        <w:rPr>
          <w:rFonts w:ascii="Arial" w:cs="Arial" w:eastAsia="Arial" w:hAnsi="Arial"/>
          <w:sz w:val="16"/>
          <w:szCs w:val="16"/>
          <w:color w:val="auto"/>
        </w:rPr>
        <w:t>Full dividend protection via a conversion rate adjustment</w:t>
      </w:r>
    </w:p>
    <w:p>
      <w:pPr>
        <w:sectPr>
          <w:pgSz w:w="11900" w:h="16838" w:orient="portrait"/>
          <w:cols w:equalWidth="0" w:num="1">
            <w:col w:w="11420"/>
          </w:cols>
          <w:pgMar w:left="240" w:top="347" w:right="239" w:bottom="1440" w:gutter="0" w:footer="0" w:header="0"/>
        </w:sectPr>
      </w:pP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Repurchase at the option of the holder upon change in control or termination of trading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Upon a change in control or termination of trading, the holders may require the Issuer to repurchase for cash all or a portion of their notes at a repurchase price equal to 100% of the principal amount of the notes, plus accrued and unpaid interest, if any, to, but excluding, the repurchase date.</w:t>
      </w:r>
    </w:p>
    <w:p>
      <w:pPr>
        <w:spacing w:after="0" w:line="1" w:lineRule="exact"/>
        <w:rPr>
          <w:sz w:val="20"/>
          <w:szCs w:val="20"/>
          <w:color w:val="auto"/>
        </w:rPr>
      </w:pPr>
    </w:p>
    <w:p>
      <w:pPr>
        <w:sectPr>
          <w:pgSz w:w="11900" w:h="16838" w:orient="portrait"/>
          <w:cols w:equalWidth="0" w:num="2">
            <w:col w:w="4780" w:space="720"/>
            <w:col w:w="5920"/>
          </w:cols>
          <w:pgMar w:left="240" w:top="347" w:right="239" w:bottom="1440" w:gutter="0" w:footer="0" w:header="0"/>
          <w:type w:val="continuous"/>
        </w:sectPr>
      </w:pPr>
    </w:p>
    <w:tbl>
      <w:tblPr>
        <w:tblLayout w:type="fixed"/>
        <w:tblInd w:w="0" w:type="dxa"/>
        <w:tblCellMar>
          <w:top w:w="0" w:type="dxa"/>
          <w:left w:w="0" w:type="dxa"/>
          <w:bottom w:w="0" w:type="dxa"/>
          <w:right w:w="0" w:type="dxa"/>
        </w:tblCellMar>
      </w:tblPr>
      <w:tr>
        <w:trPr>
          <w:trHeight w:val="40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Redemption at the option of the Issuer</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86"/>
              </w:rPr>
              <w:t>The Issuer may not redeem the notes prior to June 6, 2011. On or after June 6, 2011,</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88"/>
              </w:rPr>
              <w:t>the Issuer may redeem for cash all or part of the notes if the last reported sale price</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87"/>
              </w:rPr>
              <w:t>of the Issuer's common stock has been at least 130% of the conversion price then in</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4"/>
              </w:rPr>
              <w:t>effect for at least 20 trading days during any 30 consecutive trading day period</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89"/>
              </w:rPr>
              <w:t>ending within five trading days prior to the date on which the Issuer provides notice</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4"/>
              </w:rPr>
              <w:t>of redemption. The redemption price will equal 100% of the principal amount of</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1"/>
              </w:rPr>
              <w:t>the notes to be redeemed, plus accrued and unpaid interest to, but excluding, the</w:t>
            </w:r>
          </w:p>
        </w:tc>
      </w:tr>
      <w:tr>
        <w:trPr>
          <w:trHeight w:val="224"/>
        </w:trPr>
        <w:tc>
          <w:tcPr>
            <w:tcW w:w="4100" w:type="dxa"/>
            <w:vAlign w:val="bottom"/>
            <w:shd w:val="clear" w:color="auto" w:fill="CCEEFF"/>
          </w:tcPr>
          <w:p>
            <w:pPr>
              <w:spacing w:after="0"/>
              <w:rPr>
                <w:sz w:val="19"/>
                <w:szCs w:val="19"/>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redemption date.</w:t>
            </w:r>
          </w:p>
        </w:tc>
      </w:tr>
      <w:tr>
        <w:trPr>
          <w:trHeight w:val="431"/>
        </w:trPr>
        <w:tc>
          <w:tcPr>
            <w:tcW w:w="4100" w:type="dxa"/>
            <w:vAlign w:val="bottom"/>
          </w:tcPr>
          <w:p>
            <w:pPr>
              <w:spacing w:after="0"/>
              <w:rPr>
                <w:sz w:val="20"/>
                <w:szCs w:val="20"/>
                <w:color w:val="auto"/>
              </w:rPr>
            </w:pPr>
            <w:r>
              <w:rPr>
                <w:rFonts w:ascii="Arial" w:cs="Arial" w:eastAsia="Arial" w:hAnsi="Arial"/>
                <w:sz w:val="18"/>
                <w:szCs w:val="18"/>
                <w:color w:val="auto"/>
              </w:rPr>
              <w:t>Ranking</w:t>
            </w:r>
          </w:p>
        </w:tc>
        <w:tc>
          <w:tcPr>
            <w:tcW w:w="7320" w:type="dxa"/>
            <w:vAlign w:val="bottom"/>
          </w:tcPr>
          <w:p>
            <w:pPr>
              <w:ind w:left="1400"/>
              <w:spacing w:after="0"/>
              <w:rPr>
                <w:sz w:val="20"/>
                <w:szCs w:val="20"/>
                <w:color w:val="auto"/>
              </w:rPr>
            </w:pPr>
            <w:r>
              <w:rPr>
                <w:rFonts w:ascii="Arial" w:cs="Arial" w:eastAsia="Arial" w:hAnsi="Arial"/>
                <w:sz w:val="18"/>
                <w:szCs w:val="18"/>
                <w:color w:val="auto"/>
              </w:rPr>
              <w:t>Senior unsecured; structurally subordinated to subsidiary debt</w:t>
            </w:r>
          </w:p>
        </w:tc>
      </w:tr>
      <w:tr>
        <w:trPr>
          <w:trHeight w:val="42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2"/>
              </w:rPr>
              <w:t>The Issuer estimates that the net proceeds from this offering, after deducting the</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1"/>
              </w:rPr>
              <w:t>underwriters' discounts and estimated offering expenses payable by the Issuer of</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approximately $23.0 million, will be approximately $1,112.0 million (or</w:t>
            </w:r>
          </w:p>
        </w:tc>
      </w:tr>
      <w:tr>
        <w:trPr>
          <w:trHeight w:val="216"/>
        </w:trPr>
        <w:tc>
          <w:tcPr>
            <w:tcW w:w="4100" w:type="dxa"/>
            <w:vAlign w:val="bottom"/>
            <w:shd w:val="clear" w:color="auto" w:fill="CCEEFF"/>
          </w:tcPr>
          <w:p>
            <w:pPr>
              <w:spacing w:after="0"/>
              <w:rPr>
                <w:sz w:val="18"/>
                <w:szCs w:val="18"/>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4"/>
              </w:rPr>
              <w:t>approximately $1,273.7 million if the underwriters exercise their over-allotment</w:t>
            </w:r>
          </w:p>
        </w:tc>
      </w:tr>
      <w:tr>
        <w:trPr>
          <w:trHeight w:val="224"/>
        </w:trPr>
        <w:tc>
          <w:tcPr>
            <w:tcW w:w="4100" w:type="dxa"/>
            <w:vAlign w:val="bottom"/>
            <w:shd w:val="clear" w:color="auto" w:fill="CCEEFF"/>
          </w:tcPr>
          <w:p>
            <w:pPr>
              <w:spacing w:after="0"/>
              <w:rPr>
                <w:sz w:val="19"/>
                <w:szCs w:val="19"/>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option in full).</w:t>
            </w:r>
          </w:p>
        </w:tc>
      </w:tr>
      <w:tr>
        <w:trPr>
          <w:trHeight w:val="424"/>
        </w:trPr>
        <w:tc>
          <w:tcPr>
            <w:tcW w:w="4100" w:type="dxa"/>
            <w:vAlign w:val="bottom"/>
          </w:tcPr>
          <w:p>
            <w:pPr>
              <w:spacing w:after="0"/>
              <w:rPr>
                <w:sz w:val="24"/>
                <w:szCs w:val="24"/>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96"/>
              </w:rPr>
              <w:t>The Issuer intends to use a portion of the net proceeds of this offering to pay</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89"/>
              </w:rPr>
              <w:t>approximately $131.9 million for the cost of capped call transactions that the Issuer</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rPr>
              <w:t>entered into with the counterparties thereto in respect of an aggregate of</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91"/>
              </w:rPr>
              <w:t>approximately 79.8 million shares of the Issuer's common stock. The capped call</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88"/>
              </w:rPr>
              <w:t>transactions were entered into in three equal tranches with cap prices that are 50%,</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90"/>
              </w:rPr>
              <w:t>75% and 100% higher than the closing price of the Issuer's common stock on May</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92"/>
              </w:rPr>
              <w:t>17, 2007. The remaining net proceeds from this offering of approximately $980.1</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90"/>
              </w:rPr>
              <w:t>million (assuming the underwriters do not exercise their over-allotment option) will</w:t>
            </w:r>
          </w:p>
        </w:tc>
      </w:tr>
      <w:tr>
        <w:trPr>
          <w:trHeight w:val="216"/>
        </w:trPr>
        <w:tc>
          <w:tcPr>
            <w:tcW w:w="4100" w:type="dxa"/>
            <w:vAlign w:val="bottom"/>
          </w:tcPr>
          <w:p>
            <w:pPr>
              <w:spacing w:after="0"/>
              <w:rPr>
                <w:sz w:val="18"/>
                <w:szCs w:val="18"/>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w w:val="96"/>
              </w:rPr>
              <w:t>be used for general corporate purposes, including working capital and capital</w:t>
            </w:r>
          </w:p>
        </w:tc>
      </w:tr>
      <w:tr>
        <w:trPr>
          <w:trHeight w:val="223"/>
        </w:trPr>
        <w:tc>
          <w:tcPr>
            <w:tcW w:w="4100" w:type="dxa"/>
            <w:vAlign w:val="bottom"/>
          </w:tcPr>
          <w:p>
            <w:pPr>
              <w:spacing w:after="0"/>
              <w:rPr>
                <w:sz w:val="19"/>
                <w:szCs w:val="19"/>
                <w:color w:val="auto"/>
              </w:rPr>
            </w:pPr>
          </w:p>
        </w:tc>
        <w:tc>
          <w:tcPr>
            <w:tcW w:w="7320" w:type="dxa"/>
            <w:vAlign w:val="bottom"/>
          </w:tcPr>
          <w:p>
            <w:pPr>
              <w:ind w:left="1400"/>
              <w:spacing w:after="0"/>
              <w:rPr>
                <w:sz w:val="20"/>
                <w:szCs w:val="20"/>
                <w:color w:val="auto"/>
              </w:rPr>
            </w:pPr>
            <w:r>
              <w:rPr>
                <w:rFonts w:ascii="Arial" w:cs="Arial" w:eastAsia="Arial" w:hAnsi="Arial"/>
                <w:sz w:val="18"/>
                <w:szCs w:val="18"/>
                <w:color w:val="auto"/>
              </w:rPr>
              <w:t>expenditures.</w:t>
            </w:r>
          </w:p>
        </w:tc>
      </w:tr>
      <w:tr>
        <w:trPr>
          <w:trHeight w:val="425"/>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1"/>
              </w:rPr>
              <w:t>There is no plan to list the notes on any securities exchange or to include them in</w:t>
            </w:r>
          </w:p>
        </w:tc>
      </w:tr>
      <w:tr>
        <w:trPr>
          <w:trHeight w:val="224"/>
        </w:trPr>
        <w:tc>
          <w:tcPr>
            <w:tcW w:w="4100" w:type="dxa"/>
            <w:vAlign w:val="bottom"/>
            <w:shd w:val="clear" w:color="auto" w:fill="CCEEFF"/>
          </w:tcPr>
          <w:p>
            <w:pPr>
              <w:spacing w:after="0"/>
              <w:rPr>
                <w:sz w:val="19"/>
                <w:szCs w:val="19"/>
                <w:color w:val="auto"/>
              </w:rPr>
            </w:pPr>
          </w:p>
        </w:tc>
        <w:tc>
          <w:tcPr>
            <w:tcW w:w="73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any automated quotation system.</w:t>
            </w:r>
          </w:p>
        </w:tc>
      </w:tr>
      <w:tr>
        <w:trPr>
          <w:trHeight w:val="646"/>
        </w:trPr>
        <w:tc>
          <w:tcPr>
            <w:tcW w:w="4100" w:type="dxa"/>
            <w:vAlign w:val="bottom"/>
          </w:tcPr>
          <w:p>
            <w:pPr>
              <w:spacing w:after="0"/>
              <w:rPr>
                <w:sz w:val="24"/>
                <w:szCs w:val="24"/>
                <w:color w:val="auto"/>
              </w:rPr>
            </w:pPr>
          </w:p>
        </w:tc>
        <w:tc>
          <w:tcPr>
            <w:tcW w:w="7320" w:type="dxa"/>
            <w:vAlign w:val="bottom"/>
          </w:tcPr>
          <w:p>
            <w:pPr>
              <w:ind w:left="1580"/>
              <w:spacing w:after="0"/>
              <w:rPr>
                <w:sz w:val="20"/>
                <w:szCs w:val="20"/>
                <w:color w:val="auto"/>
              </w:rPr>
            </w:pPr>
            <w:r>
              <w:rPr>
                <w:rFonts w:ascii="Arial" w:cs="Arial" w:eastAsia="Arial" w:hAnsi="Arial"/>
                <w:sz w:val="18"/>
                <w:szCs w:val="18"/>
                <w:color w:val="auto"/>
              </w:rPr>
              <w:t>2</w:t>
            </w:r>
          </w:p>
        </w:tc>
      </w:tr>
      <w:tr>
        <w:trPr>
          <w:trHeight w:val="228"/>
        </w:trPr>
        <w:tc>
          <w:tcPr>
            <w:tcW w:w="4100" w:type="dxa"/>
            <w:vAlign w:val="bottom"/>
            <w:tcBorders>
              <w:bottom w:val="single" w:sz="8" w:color="808080"/>
            </w:tcBorders>
          </w:tcPr>
          <w:p>
            <w:pPr>
              <w:spacing w:after="0"/>
              <w:rPr>
                <w:sz w:val="19"/>
                <w:szCs w:val="19"/>
                <w:color w:val="auto"/>
              </w:rPr>
            </w:pPr>
          </w:p>
        </w:tc>
        <w:tc>
          <w:tcPr>
            <w:tcW w:w="7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432"/>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Trade date</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18, 2007</w:t>
            </w: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431"/>
        </w:trPr>
        <w:tc>
          <w:tcPr>
            <w:tcW w:w="1680" w:type="dxa"/>
            <w:vAlign w:val="bottom"/>
          </w:tcPr>
          <w:p>
            <w:pPr>
              <w:spacing w:after="0"/>
              <w:rPr>
                <w:sz w:val="20"/>
                <w:szCs w:val="20"/>
                <w:color w:val="auto"/>
              </w:rPr>
            </w:pPr>
            <w:r>
              <w:rPr>
                <w:rFonts w:ascii="Arial" w:cs="Arial" w:eastAsia="Arial" w:hAnsi="Arial"/>
                <w:sz w:val="18"/>
                <w:szCs w:val="18"/>
                <w:color w:val="auto"/>
              </w:rPr>
              <w:t>Settlement date</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May 23, 2007</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3"/>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CUSIP</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595112 AH6</w:t>
            </w: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431"/>
        </w:trPr>
        <w:tc>
          <w:tcPr>
            <w:tcW w:w="1680" w:type="dxa"/>
            <w:vAlign w:val="bottom"/>
          </w:tcPr>
          <w:p>
            <w:pPr>
              <w:spacing w:after="0"/>
              <w:rPr>
                <w:sz w:val="20"/>
                <w:szCs w:val="20"/>
                <w:color w:val="auto"/>
              </w:rPr>
            </w:pPr>
            <w:r>
              <w:rPr>
                <w:rFonts w:ascii="Arial" w:cs="Arial" w:eastAsia="Arial" w:hAnsi="Arial"/>
                <w:sz w:val="18"/>
                <w:szCs w:val="18"/>
                <w:color w:val="auto"/>
              </w:rPr>
              <w:t>ISIN number</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89"/>
              </w:rPr>
              <w:t>US595112AH62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3"/>
        </w:trPr>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Sole lead book-running manager</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0"/>
              </w:rPr>
              <w:t>Morgan Stanley &amp; Co. Incorporated</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424"/>
        </w:trPr>
        <w:tc>
          <w:tcPr>
            <w:tcW w:w="1680" w:type="dxa"/>
            <w:vAlign w:val="bottom"/>
          </w:tcPr>
          <w:p>
            <w:pPr>
              <w:spacing w:after="0"/>
              <w:rPr>
                <w:sz w:val="20"/>
                <w:szCs w:val="20"/>
                <w:color w:val="auto"/>
              </w:rPr>
            </w:pPr>
            <w:r>
              <w:rPr>
                <w:rFonts w:ascii="Arial" w:cs="Arial" w:eastAsia="Arial" w:hAnsi="Arial"/>
                <w:sz w:val="18"/>
                <w:szCs w:val="18"/>
                <w:color w:val="auto"/>
              </w:rPr>
              <w:t>Co-managers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w w:val="90"/>
              </w:rPr>
              <w:t>Credit Suisse Securities (USA) LLC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3"/>
        </w:trPr>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Lehman Brothers Inc.</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3"/>
        </w:trPr>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Registration statement file number</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333-143026</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431"/>
        </w:trPr>
        <w:tc>
          <w:tcPr>
            <w:tcW w:w="1680" w:type="dxa"/>
            <w:vAlign w:val="bottom"/>
          </w:tcPr>
          <w:p>
            <w:pPr>
              <w:spacing w:after="0"/>
              <w:rPr>
                <w:sz w:val="20"/>
                <w:szCs w:val="20"/>
                <w:color w:val="auto"/>
              </w:rPr>
            </w:pPr>
            <w:r>
              <w:rPr>
                <w:rFonts w:ascii="Arial" w:cs="Arial" w:eastAsia="Arial" w:hAnsi="Arial"/>
                <w:sz w:val="18"/>
                <w:szCs w:val="18"/>
                <w:color w:val="auto"/>
                <w:w w:val="86"/>
              </w:rPr>
              <w:t>Time of sale prospectus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780" w:type="dxa"/>
            <w:vAlign w:val="bottom"/>
            <w:gridSpan w:val="10"/>
          </w:tcPr>
          <w:p>
            <w:pPr>
              <w:ind w:left="640"/>
              <w:spacing w:after="0"/>
              <w:rPr>
                <w:sz w:val="20"/>
                <w:szCs w:val="20"/>
                <w:color w:val="auto"/>
              </w:rPr>
            </w:pPr>
            <w:r>
              <w:rPr>
                <w:rFonts w:ascii="Arial" w:cs="Arial" w:eastAsia="Arial" w:hAnsi="Arial"/>
                <w:sz w:val="18"/>
                <w:szCs w:val="18"/>
                <w:color w:val="auto"/>
              </w:rPr>
              <w:t>Preliminary prospectus dated May 16, 2007 relating to the notes</w:t>
            </w:r>
          </w:p>
        </w:tc>
      </w:tr>
      <w:tr>
        <w:trPr>
          <w:trHeight w:val="433"/>
        </w:trPr>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4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rPr>
              <w:t>Final Term Sheet for the notes</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424"/>
        </w:trPr>
        <w:tc>
          <w:tcPr>
            <w:tcW w:w="5360" w:type="dxa"/>
            <w:vAlign w:val="bottom"/>
            <w:gridSpan w:val="7"/>
          </w:tcPr>
          <w:p>
            <w:pPr>
              <w:spacing w:after="0"/>
              <w:rPr>
                <w:sz w:val="20"/>
                <w:szCs w:val="20"/>
                <w:color w:val="auto"/>
              </w:rPr>
            </w:pPr>
            <w:r>
              <w:rPr>
                <w:rFonts w:ascii="Arial" w:cs="Arial" w:eastAsia="Arial" w:hAnsi="Arial"/>
                <w:sz w:val="18"/>
                <w:szCs w:val="18"/>
                <w:color w:val="auto"/>
                <w:w w:val="98"/>
              </w:rPr>
              <w:t>Adjustment to conversion rate upon a make-whole change in control</w:t>
            </w:r>
          </w:p>
        </w:tc>
        <w:tc>
          <w:tcPr>
            <w:tcW w:w="120" w:type="dxa"/>
            <w:vAlign w:val="bottom"/>
          </w:tcPr>
          <w:p>
            <w:pPr>
              <w:spacing w:after="0"/>
              <w:rPr>
                <w:sz w:val="24"/>
                <w:szCs w:val="24"/>
                <w:color w:val="auto"/>
              </w:rPr>
            </w:pPr>
          </w:p>
        </w:tc>
        <w:tc>
          <w:tcPr>
            <w:tcW w:w="5940" w:type="dxa"/>
            <w:vAlign w:val="bottom"/>
            <w:gridSpan w:val="11"/>
          </w:tcPr>
          <w:p>
            <w:pPr>
              <w:ind w:left="20"/>
              <w:spacing w:after="0"/>
              <w:rPr>
                <w:sz w:val="20"/>
                <w:szCs w:val="20"/>
                <w:color w:val="auto"/>
              </w:rPr>
            </w:pPr>
            <w:r>
              <w:rPr>
                <w:rFonts w:ascii="Arial" w:cs="Arial" w:eastAsia="Arial" w:hAnsi="Arial"/>
                <w:sz w:val="18"/>
                <w:szCs w:val="18"/>
                <w:color w:val="auto"/>
                <w:w w:val="89"/>
              </w:rPr>
              <w:t>Holders who convert their notes in connection with a make-whole change in control</w:t>
            </w: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11"/>
          </w:tcPr>
          <w:p>
            <w:pPr>
              <w:ind w:left="20"/>
              <w:spacing w:after="0"/>
              <w:rPr>
                <w:sz w:val="20"/>
                <w:szCs w:val="20"/>
                <w:color w:val="auto"/>
              </w:rPr>
            </w:pPr>
            <w:r>
              <w:rPr>
                <w:rFonts w:ascii="Arial" w:cs="Arial" w:eastAsia="Arial" w:hAnsi="Arial"/>
                <w:sz w:val="18"/>
                <w:szCs w:val="18"/>
                <w:color w:val="auto"/>
                <w:w w:val="90"/>
              </w:rPr>
              <w:t>will be, under certain circumstances, entitled to a make-whole premium in the form</w:t>
            </w: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11"/>
          </w:tcPr>
          <w:p>
            <w:pPr>
              <w:ind w:left="20"/>
              <w:spacing w:after="0"/>
              <w:rPr>
                <w:sz w:val="20"/>
                <w:szCs w:val="20"/>
                <w:color w:val="auto"/>
              </w:rPr>
            </w:pPr>
            <w:r>
              <w:rPr>
                <w:rFonts w:ascii="Arial" w:cs="Arial" w:eastAsia="Arial" w:hAnsi="Arial"/>
                <w:sz w:val="18"/>
                <w:szCs w:val="18"/>
                <w:color w:val="auto"/>
                <w:w w:val="97"/>
              </w:rPr>
              <w:t>of an increase in the conversion rate for notes surrendered for conversion in</w:t>
            </w: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11"/>
          </w:tcPr>
          <w:p>
            <w:pPr>
              <w:ind w:left="20"/>
              <w:spacing w:after="0"/>
              <w:rPr>
                <w:sz w:val="20"/>
                <w:szCs w:val="20"/>
                <w:color w:val="auto"/>
              </w:rPr>
            </w:pPr>
            <w:r>
              <w:rPr>
                <w:rFonts w:ascii="Arial" w:cs="Arial" w:eastAsia="Arial" w:hAnsi="Arial"/>
                <w:sz w:val="18"/>
                <w:szCs w:val="18"/>
                <w:color w:val="auto"/>
                <w:w w:val="90"/>
              </w:rPr>
              <w:t>connection with such make-whole change in control. The following table sets forth</w:t>
            </w: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11"/>
          </w:tcPr>
          <w:p>
            <w:pPr>
              <w:ind w:left="20"/>
              <w:spacing w:after="0"/>
              <w:rPr>
                <w:sz w:val="20"/>
                <w:szCs w:val="20"/>
                <w:color w:val="auto"/>
              </w:rPr>
            </w:pPr>
            <w:r>
              <w:rPr>
                <w:rFonts w:ascii="Arial" w:cs="Arial" w:eastAsia="Arial" w:hAnsi="Arial"/>
                <w:sz w:val="18"/>
                <w:szCs w:val="18"/>
                <w:color w:val="auto"/>
                <w:w w:val="88"/>
              </w:rPr>
              <w:t>the stock price, effective date and number of make-whole shares to be added to the</w:t>
            </w:r>
          </w:p>
        </w:tc>
      </w:tr>
      <w:tr>
        <w:trPr>
          <w:trHeight w:val="222"/>
        </w:trPr>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20" w:type="dxa"/>
            <w:vAlign w:val="bottom"/>
            <w:gridSpan w:val="10"/>
          </w:tcPr>
          <w:p>
            <w:pPr>
              <w:ind w:left="20"/>
              <w:spacing w:after="0"/>
              <w:rPr>
                <w:sz w:val="20"/>
                <w:szCs w:val="20"/>
                <w:color w:val="auto"/>
              </w:rPr>
            </w:pPr>
            <w:r>
              <w:rPr>
                <w:rFonts w:ascii="Arial" w:cs="Arial" w:eastAsia="Arial" w:hAnsi="Arial"/>
                <w:sz w:val="18"/>
                <w:szCs w:val="18"/>
                <w:color w:val="auto"/>
              </w:rPr>
              <w:t>conversion rate per $1,000 principal amount of the notes.</w:t>
            </w:r>
          </w:p>
        </w:tc>
        <w:tc>
          <w:tcPr>
            <w:tcW w:w="1120" w:type="dxa"/>
            <w:vAlign w:val="bottom"/>
          </w:tcPr>
          <w:p>
            <w:pPr>
              <w:spacing w:after="0"/>
              <w:rPr>
                <w:sz w:val="19"/>
                <w:szCs w:val="19"/>
                <w:color w:val="auto"/>
              </w:rPr>
            </w:pPr>
          </w:p>
        </w:tc>
      </w:tr>
      <w:tr>
        <w:trPr>
          <w:trHeight w:val="648"/>
        </w:trPr>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ind w:left="880"/>
              <w:spacing w:after="0"/>
              <w:rPr>
                <w:sz w:val="20"/>
                <w:szCs w:val="20"/>
                <w:color w:val="auto"/>
              </w:rPr>
            </w:pPr>
            <w:r>
              <w:rPr>
                <w:rFonts w:ascii="Arial" w:cs="Arial" w:eastAsia="Arial" w:hAnsi="Arial"/>
                <w:sz w:val="18"/>
                <w:szCs w:val="18"/>
                <w:b w:val="1"/>
                <w:bCs w:val="1"/>
                <w:color w:val="auto"/>
              </w:rPr>
              <w:t>Effective Date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Stock Price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5/23/2007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6/1/2008</w:t>
            </w:r>
          </w:p>
        </w:tc>
        <w:tc>
          <w:tcPr>
            <w:tcW w:w="10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6/1/2009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w w:val="96"/>
              </w:rPr>
              <w:t>6/1/2010</w:t>
            </w:r>
          </w:p>
        </w:tc>
        <w:tc>
          <w:tcPr>
            <w:tcW w:w="10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6/1/2011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6/1/2012</w:t>
            </w:r>
          </w:p>
        </w:tc>
        <w:tc>
          <w:tcPr>
            <w:tcW w:w="10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b w:val="1"/>
                <w:bCs w:val="1"/>
                <w:color w:val="auto"/>
              </w:rPr>
              <w:t>6/1/2013</w:t>
            </w:r>
          </w:p>
        </w:tc>
        <w:tc>
          <w:tcPr>
            <w:tcW w:w="100" w:type="dxa"/>
            <w:vAlign w:val="bottom"/>
          </w:tcPr>
          <w:p>
            <w:pPr>
              <w:spacing w:after="0"/>
              <w:rPr>
                <w:sz w:val="24"/>
                <w:szCs w:val="24"/>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6/1/2014</w:t>
            </w:r>
          </w:p>
        </w:tc>
      </w:tr>
      <w:tr>
        <w:trPr>
          <w:trHeight w:val="120"/>
        </w:trPr>
        <w:tc>
          <w:tcPr>
            <w:tcW w:w="1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r>
        <w:trPr>
          <w:trHeight w:val="307"/>
        </w:trPr>
        <w:tc>
          <w:tcPr>
            <w:tcW w:w="1680" w:type="dxa"/>
            <w:vAlign w:val="bottom"/>
          </w:tcPr>
          <w:p>
            <w:pPr>
              <w:spacing w:after="0"/>
              <w:rPr>
                <w:sz w:val="20"/>
                <w:szCs w:val="20"/>
                <w:color w:val="auto"/>
              </w:rPr>
            </w:pPr>
            <w:r>
              <w:rPr>
                <w:rFonts w:ascii="Arial" w:cs="Arial" w:eastAsia="Arial" w:hAnsi="Arial"/>
                <w:sz w:val="18"/>
                <w:szCs w:val="18"/>
                <w:b w:val="1"/>
                <w:bCs w:val="1"/>
                <w:color w:val="auto"/>
              </w:rPr>
              <w:t>$11.50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16.6886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16.6886</w:t>
            </w:r>
          </w:p>
        </w:tc>
        <w:tc>
          <w:tcPr>
            <w:tcW w:w="1080" w:type="dxa"/>
            <w:vAlign w:val="bottom"/>
          </w:tcPr>
          <w:p>
            <w:pPr>
              <w:jc w:val="right"/>
              <w:spacing w:after="0"/>
              <w:rPr>
                <w:sz w:val="20"/>
                <w:szCs w:val="20"/>
                <w:color w:val="auto"/>
              </w:rPr>
            </w:pPr>
            <w:r>
              <w:rPr>
                <w:rFonts w:ascii="Arial" w:cs="Arial" w:eastAsia="Arial" w:hAnsi="Arial"/>
                <w:sz w:val="18"/>
                <w:szCs w:val="18"/>
                <w:color w:val="auto"/>
              </w:rPr>
              <w:t>16.6886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16.6886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16.6886</w:t>
            </w:r>
          </w:p>
        </w:tc>
        <w:tc>
          <w:tcPr>
            <w:tcW w:w="2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16.6886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16.6886</w:t>
            </w:r>
          </w:p>
        </w:tc>
        <w:tc>
          <w:tcPr>
            <w:tcW w:w="1120" w:type="dxa"/>
            <w:vAlign w:val="bottom"/>
          </w:tcPr>
          <w:p>
            <w:pPr>
              <w:jc w:val="right"/>
              <w:spacing w:after="0"/>
              <w:rPr>
                <w:sz w:val="20"/>
                <w:szCs w:val="20"/>
                <w:color w:val="auto"/>
              </w:rPr>
            </w:pPr>
            <w:r>
              <w:rPr>
                <w:rFonts w:ascii="Arial" w:cs="Arial" w:eastAsia="Arial" w:hAnsi="Arial"/>
                <w:sz w:val="18"/>
                <w:szCs w:val="18"/>
                <w:color w:val="auto"/>
              </w:rPr>
              <w:t>16.6886</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$12.50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13.9425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13.5906</w:t>
            </w:r>
          </w:p>
        </w:tc>
        <w:tc>
          <w:tcPr>
            <w:tcW w:w="1080" w:type="dxa"/>
            <w:vAlign w:val="bottom"/>
          </w:tcPr>
          <w:p>
            <w:pPr>
              <w:jc w:val="right"/>
              <w:spacing w:after="0"/>
              <w:rPr>
                <w:sz w:val="20"/>
                <w:szCs w:val="20"/>
                <w:color w:val="auto"/>
              </w:rPr>
            </w:pPr>
            <w:r>
              <w:rPr>
                <w:rFonts w:ascii="Arial" w:cs="Arial" w:eastAsia="Arial" w:hAnsi="Arial"/>
                <w:sz w:val="18"/>
                <w:szCs w:val="18"/>
                <w:color w:val="auto"/>
              </w:rPr>
              <w:t>13.0358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12.4290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12.2737</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12.3789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11.7512</w:t>
            </w:r>
          </w:p>
        </w:tc>
        <w:tc>
          <w:tcPr>
            <w:tcW w:w="1120" w:type="dxa"/>
            <w:vAlign w:val="bottom"/>
          </w:tcPr>
          <w:p>
            <w:pPr>
              <w:jc w:val="right"/>
              <w:spacing w:after="0"/>
              <w:rPr>
                <w:sz w:val="20"/>
                <w:szCs w:val="20"/>
                <w:color w:val="auto"/>
              </w:rPr>
            </w:pPr>
            <w:r>
              <w:rPr>
                <w:rFonts w:ascii="Arial" w:cs="Arial" w:eastAsia="Arial" w:hAnsi="Arial"/>
                <w:sz w:val="18"/>
                <w:szCs w:val="18"/>
                <w:color w:val="auto"/>
              </w:rPr>
              <w:t>9.7321</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$15.00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9.2959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8.6790</w:t>
            </w:r>
          </w:p>
        </w:tc>
        <w:tc>
          <w:tcPr>
            <w:tcW w:w="1080" w:type="dxa"/>
            <w:vAlign w:val="bottom"/>
          </w:tcPr>
          <w:p>
            <w:pPr>
              <w:jc w:val="right"/>
              <w:spacing w:after="0"/>
              <w:rPr>
                <w:sz w:val="20"/>
                <w:szCs w:val="20"/>
                <w:color w:val="auto"/>
              </w:rPr>
            </w:pPr>
            <w:r>
              <w:rPr>
                <w:rFonts w:ascii="Arial" w:cs="Arial" w:eastAsia="Arial" w:hAnsi="Arial"/>
                <w:sz w:val="18"/>
                <w:szCs w:val="18"/>
                <w:color w:val="auto"/>
              </w:rPr>
              <w:t>7.8128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6.6794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5.4823</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5.3969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4.6737</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$17.50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6.5396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5.8491</w:t>
            </w:r>
          </w:p>
        </w:tc>
        <w:tc>
          <w:tcPr>
            <w:tcW w:w="1080" w:type="dxa"/>
            <w:vAlign w:val="bottom"/>
          </w:tcPr>
          <w:p>
            <w:pPr>
              <w:jc w:val="right"/>
              <w:spacing w:after="0"/>
              <w:rPr>
                <w:sz w:val="20"/>
                <w:szCs w:val="20"/>
                <w:color w:val="auto"/>
              </w:rPr>
            </w:pPr>
            <w:r>
              <w:rPr>
                <w:rFonts w:ascii="Arial" w:cs="Arial" w:eastAsia="Arial" w:hAnsi="Arial"/>
                <w:sz w:val="18"/>
                <w:szCs w:val="18"/>
                <w:color w:val="auto"/>
              </w:rPr>
              <w:t>4.9149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3.6430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1.2780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1.0215</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$20.00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4.8103</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4.1371</w:t>
            </w:r>
          </w:p>
        </w:tc>
        <w:tc>
          <w:tcPr>
            <w:tcW w:w="1080" w:type="dxa"/>
            <w:vAlign w:val="bottom"/>
          </w:tcPr>
          <w:p>
            <w:pPr>
              <w:jc w:val="right"/>
              <w:spacing w:after="0"/>
              <w:rPr>
                <w:sz w:val="20"/>
                <w:szCs w:val="20"/>
                <w:color w:val="auto"/>
              </w:rPr>
            </w:pPr>
            <w:r>
              <w:rPr>
                <w:rFonts w:ascii="Arial" w:cs="Arial" w:eastAsia="Arial" w:hAnsi="Arial"/>
                <w:sz w:val="18"/>
                <w:szCs w:val="18"/>
                <w:color w:val="auto"/>
              </w:rPr>
              <w:t>3.2529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2.0682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0.0131</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$22.50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3.6738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3.0560</w:t>
            </w:r>
          </w:p>
        </w:tc>
        <w:tc>
          <w:tcPr>
            <w:tcW w:w="1080" w:type="dxa"/>
            <w:vAlign w:val="bottom"/>
          </w:tcPr>
          <w:p>
            <w:pPr>
              <w:jc w:val="right"/>
              <w:spacing w:after="0"/>
              <w:rPr>
                <w:sz w:val="20"/>
                <w:szCs w:val="20"/>
                <w:color w:val="auto"/>
              </w:rPr>
            </w:pPr>
            <w:r>
              <w:rPr>
                <w:rFonts w:ascii="Arial" w:cs="Arial" w:eastAsia="Arial" w:hAnsi="Arial"/>
                <w:sz w:val="18"/>
                <w:szCs w:val="18"/>
                <w:color w:val="auto"/>
              </w:rPr>
              <w:t>2.2696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1.2590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$25.00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2.8955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2.3460</w:t>
            </w:r>
          </w:p>
        </w:tc>
        <w:tc>
          <w:tcPr>
            <w:tcW w:w="1080" w:type="dxa"/>
            <w:vAlign w:val="bottom"/>
          </w:tcPr>
          <w:p>
            <w:pPr>
              <w:jc w:val="right"/>
              <w:spacing w:after="0"/>
              <w:rPr>
                <w:sz w:val="20"/>
                <w:szCs w:val="20"/>
                <w:color w:val="auto"/>
              </w:rPr>
            </w:pPr>
            <w:r>
              <w:rPr>
                <w:rFonts w:ascii="Arial" w:cs="Arial" w:eastAsia="Arial" w:hAnsi="Arial"/>
                <w:sz w:val="18"/>
                <w:szCs w:val="18"/>
                <w:color w:val="auto"/>
              </w:rPr>
              <w:t>1.6663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0.8409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$27.50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2.3426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1.8612</w:t>
            </w:r>
          </w:p>
        </w:tc>
        <w:tc>
          <w:tcPr>
            <w:tcW w:w="1080" w:type="dxa"/>
            <w:vAlign w:val="bottom"/>
          </w:tcPr>
          <w:p>
            <w:pPr>
              <w:jc w:val="right"/>
              <w:spacing w:after="0"/>
              <w:rPr>
                <w:sz w:val="20"/>
                <w:szCs w:val="20"/>
                <w:color w:val="auto"/>
              </w:rPr>
            </w:pPr>
            <w:r>
              <w:rPr>
                <w:rFonts w:ascii="Arial" w:cs="Arial" w:eastAsia="Arial" w:hAnsi="Arial"/>
                <w:sz w:val="18"/>
                <w:szCs w:val="18"/>
                <w:color w:val="auto"/>
              </w:rPr>
              <w:t>1.2827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0.6163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$30.00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1.9365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1.5179</w:t>
            </w:r>
          </w:p>
        </w:tc>
        <w:tc>
          <w:tcPr>
            <w:tcW w:w="1080" w:type="dxa"/>
            <w:vAlign w:val="bottom"/>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0.4871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$32.50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1.6297</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1.2666</w:t>
            </w:r>
          </w:p>
        </w:tc>
        <w:tc>
          <w:tcPr>
            <w:tcW w:w="1080" w:type="dxa"/>
            <w:vAlign w:val="bottom"/>
          </w:tcPr>
          <w:p>
            <w:pPr>
              <w:jc w:val="right"/>
              <w:spacing w:after="0"/>
              <w:rPr>
                <w:sz w:val="20"/>
                <w:szCs w:val="20"/>
                <w:color w:val="auto"/>
              </w:rPr>
            </w:pPr>
            <w:r>
              <w:rPr>
                <w:rFonts w:ascii="Arial" w:cs="Arial" w:eastAsia="Arial" w:hAnsi="Arial"/>
                <w:sz w:val="18"/>
                <w:szCs w:val="18"/>
                <w:color w:val="auto"/>
              </w:rPr>
              <w:t>0.8500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0.4068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$35.00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1.3913</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1.0764</w:t>
            </w:r>
          </w:p>
        </w:tc>
        <w:tc>
          <w:tcPr>
            <w:tcW w:w="1080" w:type="dxa"/>
            <w:vAlign w:val="bottom"/>
          </w:tcPr>
          <w:p>
            <w:pPr>
              <w:jc w:val="right"/>
              <w:spacing w:after="0"/>
              <w:rPr>
                <w:sz w:val="20"/>
                <w:szCs w:val="20"/>
                <w:color w:val="auto"/>
              </w:rPr>
            </w:pPr>
            <w:r>
              <w:rPr>
                <w:rFonts w:ascii="Arial" w:cs="Arial" w:eastAsia="Arial" w:hAnsi="Arial"/>
                <w:sz w:val="18"/>
                <w:szCs w:val="18"/>
                <w:color w:val="auto"/>
              </w:rPr>
              <w:t>0.7212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0.3515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$40.00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1.0480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0.8096</w:t>
            </w:r>
          </w:p>
        </w:tc>
        <w:tc>
          <w:tcPr>
            <w:tcW w:w="1080" w:type="dxa"/>
            <w:vAlign w:val="bottom"/>
          </w:tcPr>
          <w:p>
            <w:pPr>
              <w:jc w:val="right"/>
              <w:spacing w:after="0"/>
              <w:rPr>
                <w:sz w:val="20"/>
                <w:szCs w:val="20"/>
                <w:color w:val="auto"/>
              </w:rPr>
            </w:pPr>
            <w:r>
              <w:rPr>
                <w:rFonts w:ascii="Arial" w:cs="Arial" w:eastAsia="Arial" w:hAnsi="Arial"/>
                <w:sz w:val="18"/>
                <w:szCs w:val="18"/>
                <w:color w:val="auto"/>
              </w:rPr>
              <w:t>0.5466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0.2765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$45.00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0.8138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0.6312</w:t>
            </w:r>
          </w:p>
        </w:tc>
        <w:tc>
          <w:tcPr>
            <w:tcW w:w="1080" w:type="dxa"/>
            <w:vAlign w:val="bottom"/>
          </w:tcPr>
          <w:p>
            <w:pPr>
              <w:jc w:val="right"/>
              <w:spacing w:after="0"/>
              <w:rPr>
                <w:sz w:val="20"/>
                <w:szCs w:val="20"/>
                <w:color w:val="auto"/>
              </w:rPr>
            </w:pPr>
            <w:r>
              <w:rPr>
                <w:rFonts w:ascii="Arial" w:cs="Arial" w:eastAsia="Arial" w:hAnsi="Arial"/>
                <w:sz w:val="18"/>
                <w:szCs w:val="18"/>
                <w:color w:val="auto"/>
              </w:rPr>
              <w:t>0.4314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0.2242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r>
        <w:trPr>
          <w:trHeight w:val="228"/>
        </w:trPr>
        <w:tc>
          <w:tcPr>
            <w:tcW w:w="1680" w:type="dxa"/>
            <w:vAlign w:val="bottom"/>
          </w:tcPr>
          <w:p>
            <w:pPr>
              <w:spacing w:after="0"/>
              <w:rPr>
                <w:sz w:val="20"/>
                <w:szCs w:val="20"/>
                <w:color w:val="auto"/>
              </w:rPr>
            </w:pPr>
            <w:r>
              <w:rPr>
                <w:rFonts w:ascii="Arial" w:cs="Arial" w:eastAsia="Arial" w:hAnsi="Arial"/>
                <w:sz w:val="18"/>
                <w:szCs w:val="18"/>
                <w:b w:val="1"/>
                <w:bCs w:val="1"/>
                <w:color w:val="auto"/>
              </w:rPr>
              <w:t>$50.00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0.6443</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0.5027</w:t>
            </w:r>
          </w:p>
        </w:tc>
        <w:tc>
          <w:tcPr>
            <w:tcW w:w="1080" w:type="dxa"/>
            <w:vAlign w:val="bottom"/>
          </w:tcPr>
          <w:p>
            <w:pPr>
              <w:jc w:val="right"/>
              <w:spacing w:after="0"/>
              <w:rPr>
                <w:sz w:val="20"/>
                <w:szCs w:val="20"/>
                <w:color w:val="auto"/>
              </w:rPr>
            </w:pPr>
            <w:r>
              <w:rPr>
                <w:rFonts w:ascii="Arial" w:cs="Arial" w:eastAsia="Arial" w:hAnsi="Arial"/>
                <w:sz w:val="18"/>
                <w:szCs w:val="18"/>
                <w:color w:val="auto"/>
              </w:rPr>
              <w:t>0.3474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0.1837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-2000250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-2000250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-2000250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-2000250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-2000250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-2000250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-2000250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-2000250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-2000250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-2000250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-2000250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-2000250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-2000250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-2000250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-2000250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-2000250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-2000250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exact stock prices and effective dates may not be set forth in the above table, in which case:</w:t>
      </w:r>
    </w:p>
    <w:p>
      <w:pPr>
        <w:spacing w:after="0" w:line="239" w:lineRule="exact"/>
        <w:rPr>
          <w:sz w:val="20"/>
          <w:szCs w:val="20"/>
          <w:color w:val="auto"/>
        </w:rPr>
      </w:pPr>
    </w:p>
    <w:p>
      <w:pPr>
        <w:ind w:left="1080" w:right="22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is between two effective dates in the table above, the make-whole shares issued upon conversion of the notes will be determined by straight-line interpolation between the number of make-whole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 w:name="page4"/>
    <w:bookmarkEnd w:id="3"/>
    <w:p>
      <w:pPr>
        <w:ind w:left="1080"/>
        <w:spacing w:after="0"/>
        <w:rPr>
          <w:sz w:val="20"/>
          <w:szCs w:val="20"/>
          <w:color w:val="auto"/>
        </w:rPr>
      </w:pPr>
      <w:r>
        <w:rPr>
          <w:rFonts w:ascii="Arial" w:cs="Arial" w:eastAsia="Arial" w:hAnsi="Arial"/>
          <w:sz w:val="16"/>
          <w:szCs w:val="16"/>
          <w:color w:val="auto"/>
        </w:rPr>
        <w:t>shares set forth for the higher and lower stock prices and/or the earlier and later effective dates, as applicable, based on a 365-day year;</w:t>
      </w:r>
    </w:p>
    <w:p>
      <w:pPr>
        <w:spacing w:after="0" w:line="262" w:lineRule="exact"/>
        <w:rPr>
          <w:sz w:val="20"/>
          <w:szCs w:val="20"/>
          <w:color w:val="auto"/>
        </w:rPr>
      </w:pPr>
    </w:p>
    <w:p>
      <w:pPr>
        <w:ind w:left="1080" w:right="2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stock price is in excess of $50.00 per share of common stock (subject to adjustment in the same manner as the stock prices set forth in the table above), no make-whole shares will be issued upon conversion of the notes;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stock price is less than $11.50 per share of common stock (subject to adjustment in the same manner as the stock prices set forth in the table above), no make-whole shares will be issued upon conversion of the notes.</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conversion rate of the notes shall not exceed 86.9565 per $1,000 principal amount of such notes, subject to adjustment in the same manner as the conversion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to preliminary prospectus</w:t>
      </w:r>
    </w:p>
    <w:p>
      <w:pPr>
        <w:sectPr>
          <w:pgSz w:w="11900" w:h="16838" w:orient="portrait"/>
          <w:cols w:equalWidth="0" w:num="1">
            <w:col w:w="11420"/>
          </w:cols>
          <w:pgMar w:left="240" w:top="131"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Definition of "change in control"</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following text has been added to the definition of "change in control" appearing after the word "transaction" on the eighth line of the second bullet appearing on such page 44 of the preliminary prospectus: "in substantially the same proportion as their ownership of Micron voting securities immediately prior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-554990</wp:posOffset>
            </wp:positionV>
            <wp:extent cx="7246620" cy="548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300" w:space="720"/>
            <w:col w:w="7400"/>
          </w:cols>
          <w:pgMar w:left="240" w:top="131" w:right="239" w:bottom="1440" w:gutter="0" w:footer="0" w:header="0"/>
          <w:type w:val="continuous"/>
        </w:sectPr>
      </w:pPr>
    </w:p>
    <w:p>
      <w:pPr>
        <w:spacing w:after="0"/>
        <w:tabs>
          <w:tab w:leader="none" w:pos="4000" w:val="left"/>
        </w:tabs>
        <w:rPr>
          <w:sz w:val="20"/>
          <w:szCs w:val="20"/>
          <w:color w:val="auto"/>
        </w:rPr>
      </w:pPr>
      <w:r>
        <w:rPr>
          <w:rFonts w:ascii="Arial" w:cs="Arial" w:eastAsia="Arial" w:hAnsi="Arial"/>
          <w:sz w:val="18"/>
          <w:szCs w:val="18"/>
          <w:color w:val="auto"/>
        </w:rPr>
        <w:t>Exceptions to Issuer lockup</w:t>
      </w:r>
      <w:r>
        <w:rPr>
          <w:sz w:val="20"/>
          <w:szCs w:val="20"/>
          <w:color w:val="auto"/>
        </w:rPr>
        <w:tab/>
      </w:r>
      <w:r>
        <w:rPr>
          <w:rFonts w:ascii="Arial" w:cs="Arial" w:eastAsia="Arial" w:hAnsi="Arial"/>
          <w:sz w:val="15"/>
          <w:szCs w:val="15"/>
          <w:color w:val="auto"/>
        </w:rPr>
        <w:t>On page 63 of the preliminary prospectus, the seventh bullet in the second set of bullets has been deleted.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On page 64 of the preliminary prospectus, the following text has been added or deleted:</w:t>
      </w:r>
    </w:p>
    <w:p>
      <w:pPr>
        <w:spacing w:after="0" w:line="225" w:lineRule="exact"/>
        <w:rPr>
          <w:sz w:val="20"/>
          <w:szCs w:val="20"/>
          <w:color w:val="auto"/>
        </w:rPr>
      </w:pPr>
    </w:p>
    <w:p>
      <w:pPr>
        <w:ind w:left="4580" w:right="40" w:hanging="561"/>
        <w:spacing w:after="0" w:line="259" w:lineRule="auto"/>
        <w:tabs>
          <w:tab w:leader="none" w:pos="4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below the fourth bullet: "issuances of shares of common stock or rights to receive such shares not exceeding $50 million in the aggregate in connection with an acquisition or a strategic or minority investment transaction by a business partner";</w:t>
      </w:r>
    </w:p>
    <w:p>
      <w:pPr>
        <w:spacing w:after="0" w:line="194" w:lineRule="exact"/>
        <w:rPr>
          <w:rFonts w:ascii="Arial" w:cs="Arial" w:eastAsia="Arial" w:hAnsi="Arial"/>
          <w:sz w:val="18"/>
          <w:szCs w:val="18"/>
          <w:color w:val="auto"/>
        </w:rPr>
      </w:pPr>
    </w:p>
    <w:p>
      <w:pPr>
        <w:ind w:left="4580" w:right="40" w:hanging="561"/>
        <w:spacing w:after="0" w:line="259" w:lineRule="auto"/>
        <w:tabs>
          <w:tab w:leader="none" w:pos="4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sentence of the first full paragraph: (x) after the word "ninth", the words "or tenth" have been added; (y) the word "seventh" has been deleted after the word "sixth" and (z) the word "and" has been deleted before the word "ninth".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i w:val="1"/>
          <w:iCs w:val="1"/>
          <w:color w:val="auto"/>
        </w:rPr>
        <w:t>www.sec.gov</w:t>
      </w:r>
      <w:r>
        <w:rPr>
          <w:rFonts w:ascii="Arial" w:cs="Arial" w:eastAsia="Arial" w:hAnsi="Arial"/>
          <w:sz w:val="16"/>
          <w:szCs w:val="16"/>
          <w:color w:val="auto"/>
        </w:rPr>
        <w:t>. Alternatively, the Issuer, any underwriter or any dealer participating in the offering will arrange to send you the prospectus if you request it by calling Morgan Stanley &amp; Co. Incorporated at 1-866-718-1649.</w:t>
      </w:r>
    </w:p>
    <w:p>
      <w:pPr>
        <w:spacing w:after="0" w:line="16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1319"/>
        <w:spacing w:after="0" w:line="268" w:lineRule="auto"/>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Micron Technology, Inc. $1,135,000,000 aggregate principal amount of its 1.875% Convertible Senior Notes due June 1, 2014</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Effective Date</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2019-12-13T13:13:40Z</dcterms:created>
  <dcterms:modified xsi:type="dcterms:W3CDTF">2019-12-13T13:13:40Z</dcterms:modified>
</cp:coreProperties>
</file>