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1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600" w:right="320" w:hanging="592"/>
        <w:spacing w:after="0" w:line="237" w:lineRule="auto"/>
        <w:tabs>
          <w:tab w:leader="none" w:pos="6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For the quarterly period ended March 4,</w:t>
        <w:tab/>
        <w:t>2004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00" w:right="300" w:hanging="477"/>
        <w:spacing w:after="0" w:line="262" w:lineRule="auto"/>
        <w:tabs>
          <w:tab w:leader="none" w:pos="6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84" w:orient="portrait"/>
          <w:cols w:equalWidth="0" w:num="1">
            <w:col w:w="11420"/>
          </w:cols>
          <w:pgMar w:left="240" w:top="579" w:right="239" w:bottom="0" w:gutter="0" w:footer="0" w:header="0"/>
        </w:sectPr>
      </w:pPr>
    </w:p>
    <w:p>
      <w:pPr>
        <w:spacing w:after="0" w:line="159" w:lineRule="exact"/>
        <w:rPr>
          <w:sz w:val="24"/>
          <w:szCs w:val="24"/>
          <w:color w:val="auto"/>
        </w:rPr>
      </w:pPr>
    </w:p>
    <w:p>
      <w:pPr>
        <w:spacing w:after="0" w:line="486" w:lineRule="auto"/>
        <w:rPr>
          <w:sz w:val="20"/>
          <w:szCs w:val="20"/>
          <w:color w:val="auto"/>
        </w:rPr>
      </w:pPr>
      <w:r>
        <w:rPr>
          <w:rFonts w:ascii="Times New Roman" w:cs="Times New Roman" w:eastAsia="Times New Roman" w:hAnsi="Times New Roman"/>
          <w:sz w:val="18"/>
          <w:szCs w:val="18"/>
          <w:b w:val="1"/>
          <w:bCs w:val="1"/>
          <w:color w:val="auto"/>
        </w:rPr>
        <w:t>For the transition period from Commission file number 1-10658</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655" w:lineRule="exact"/>
        <w:rPr>
          <w:sz w:val="24"/>
          <w:szCs w:val="24"/>
          <w:color w:val="auto"/>
        </w:rPr>
      </w:pPr>
    </w:p>
    <w:p>
      <w:pPr>
        <w:sectPr>
          <w:pgSz w:w="11900" w:h="16884" w:orient="portrait"/>
          <w:cols w:equalWidth="0" w:num="2">
            <w:col w:w="2720" w:space="560"/>
            <w:col w:w="8140"/>
          </w:cols>
          <w:pgMar w:left="240" w:top="579" w:right="2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84" w:orient="portrait"/>
          <w:cols w:equalWidth="0" w:num="1">
            <w:col w:w="11420"/>
          </w:cols>
          <w:pgMar w:left="240" w:top="579" w:right="239" w:bottom="0" w:gutter="0" w:footer="0" w:header="0"/>
          <w:type w:val="continuous"/>
        </w:sectPr>
      </w:pPr>
    </w:p>
    <w:p>
      <w:pPr>
        <w:spacing w:after="0" w:line="201"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75-1618004</w:t>
      </w:r>
    </w:p>
    <w:p>
      <w:pPr>
        <w:spacing w:after="0" w:line="31"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84" w:orient="portrait"/>
          <w:cols w:equalWidth="0" w:num="2">
            <w:col w:w="7240" w:space="720"/>
            <w:col w:w="3460"/>
          </w:cols>
          <w:pgMar w:left="240" w:top="579" w:right="239" w:bottom="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8000 S. Federal Way, P.O. Box 6, Boise, Idaho</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83707-0006</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84" w:orient="portrait"/>
          <w:cols w:equalWidth="0" w:num="2">
            <w:col w:w="7460" w:space="720"/>
            <w:col w:w="3240"/>
          </w:cols>
          <w:pgMar w:left="240" w:top="579" w:right="239" w:bottom="0" w:gutter="0" w:footer="0" w:header="0"/>
          <w:type w:val="continuous"/>
        </w:sectPr>
      </w:pPr>
    </w:p>
    <w:p>
      <w:pPr>
        <w:spacing w:after="0" w:line="7"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(208) 368-4000</w:t>
      </w:r>
    </w:p>
    <w:p>
      <w:pPr>
        <w:spacing w:after="0" w:line="204" w:lineRule="exact"/>
        <w:rPr>
          <w:sz w:val="24"/>
          <w:szCs w:val="24"/>
          <w:color w:val="auto"/>
        </w:rPr>
      </w:pPr>
    </w:p>
    <w:p>
      <w:pPr>
        <w:sectPr>
          <w:pgSz w:w="11900" w:h="16884" w:orient="portrait"/>
          <w:cols w:equalWidth="0" w:num="2">
            <w:col w:w="7340" w:space="720"/>
            <w:col w:w="3360"/>
          </w:cols>
          <w:pgMar w:left="240" w:top="579" w:right="239" w:bottom="0" w:gutter="0" w:footer="0" w:header="0"/>
          <w:type w:val="continuous"/>
        </w:sectPr>
      </w:pPr>
    </w:p>
    <w:p>
      <w:pPr>
        <w:spacing w:after="0" w:line="37" w:lineRule="exact"/>
        <w:rPr>
          <w:sz w:val="24"/>
          <w:szCs w:val="24"/>
          <w:color w:val="auto"/>
        </w:rPr>
      </w:pPr>
    </w:p>
    <w:p>
      <w:pPr>
        <w:ind w:right="1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o</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Rule 12b-2 of the Act).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o</w:t>
      </w: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outstanding shares of the registrant’s common stock as of April 12, 2004, was 610,533,796.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452755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4"/>
          <w:szCs w:val="24"/>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40" w:type="dxa"/>
            <w:vAlign w:val="bottom"/>
            <w:gridSpan w:val="6"/>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60" w:type="dxa"/>
            <w:vAlign w:val="bottom"/>
          </w:tcPr>
          <w:p>
            <w:pPr>
              <w:spacing w:after="0"/>
              <w:rPr>
                <w:sz w:val="15"/>
                <w:szCs w:val="15"/>
                <w:color w:val="auto"/>
              </w:rPr>
            </w:pPr>
          </w:p>
        </w:tc>
        <w:tc>
          <w:tcPr>
            <w:tcW w:w="280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960" w:type="dxa"/>
            <w:vAlign w:val="bottom"/>
            <w:tcBorders>
              <w:top w:val="single" w:sz="8" w:color="auto"/>
            </w:tcBorders>
          </w:tcPr>
          <w:p>
            <w:pPr>
              <w:jc w:val="center"/>
              <w:ind w:left="325"/>
              <w:spacing w:after="0" w:line="118" w:lineRule="exact"/>
              <w:rPr>
                <w:sz w:val="20"/>
                <w:szCs w:val="20"/>
                <w:color w:val="auto"/>
              </w:rPr>
            </w:pPr>
            <w:r>
              <w:rPr>
                <w:rFonts w:ascii="Times New Roman" w:cs="Times New Roman" w:eastAsia="Times New Roman" w:hAnsi="Times New Roman"/>
                <w:sz w:val="13"/>
                <w:szCs w:val="13"/>
                <w:b w:val="1"/>
                <w:bCs w:val="1"/>
                <w:color w:val="auto"/>
              </w:rPr>
              <w:t>March 4,</w:t>
            </w: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February 27,</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March 4,</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February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991.0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742.8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1,008.9</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1,564.0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187.9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174.1</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w:t>
            </w:r>
          </w:p>
        </w:tc>
        <w:tc>
          <w:tcPr>
            <w:tcW w:w="9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579"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before taxes</w:t>
            </w:r>
          </w:p>
        </w:tc>
        <w:tc>
          <w:tcPr>
            <w:tcW w:w="5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(601.6)</w:t>
            </w:r>
          </w:p>
        </w:tc>
        <w:tc>
          <w:tcPr>
            <w:tcW w:w="5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607.2</w:t>
            </w: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638.4</w:t>
            </w: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607.2</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638.4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except par value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5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March 4,</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August 28,</w:t>
            </w:r>
          </w:p>
        </w:tc>
        <w:tc>
          <w:tcPr>
            <w:tcW w:w="0" w:type="dxa"/>
            <w:vAlign w:val="bottom"/>
          </w:tcPr>
          <w:p>
            <w:pPr>
              <w:spacing w:after="0"/>
              <w:rPr>
                <w:sz w:val="1"/>
                <w:szCs w:val="1"/>
                <w:color w:val="auto"/>
              </w:rPr>
            </w:pPr>
          </w:p>
        </w:tc>
      </w:tr>
      <w:tr>
        <w:trPr>
          <w:trHeight w:val="173"/>
        </w:trPr>
        <w:tc>
          <w:tcPr>
            <w:tcW w:w="6260" w:type="dxa"/>
            <w:vAlign w:val="bottom"/>
            <w:gridSpan w:val="2"/>
            <w:vMerge w:val="continue"/>
          </w:tcPr>
          <w:p>
            <w:pPr>
              <w:spacing w:after="0"/>
              <w:rPr>
                <w:sz w:val="15"/>
                <w:szCs w:val="15"/>
                <w:color w:val="auto"/>
              </w:rPr>
            </w:pPr>
          </w:p>
        </w:tc>
        <w:tc>
          <w:tcPr>
            <w:tcW w:w="182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2004</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1820" w:type="dxa"/>
            <w:vAlign w:val="bottom"/>
            <w:gridSpan w:val="2"/>
          </w:tcPr>
          <w:p>
            <w:pPr>
              <w:jc w:val="right"/>
              <w:ind w:right="13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509.2</w:t>
            </w:r>
          </w:p>
        </w:tc>
        <w:tc>
          <w:tcPr>
            <w:tcW w:w="440" w:type="dxa"/>
            <w:vAlign w:val="bottom"/>
            <w:gridSpan w:val="2"/>
          </w:tcPr>
          <w:p>
            <w:pPr>
              <w:jc w:val="right"/>
              <w:ind w:right="30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702.5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710.7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445.4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4,535.9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20" w:type="dxa"/>
            <w:vAlign w:val="bottom"/>
            <w:gridSpan w:val="2"/>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733.8</w:t>
            </w:r>
          </w:p>
        </w:tc>
        <w:tc>
          <w:tcPr>
            <w:tcW w:w="44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purchase contracts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1,046.7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common stock</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$0.10 par value, authorized 3.0 billion shares, issued and outstanding</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609.5 million and 609.9 million shares</w:t>
            </w: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capital</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4,638.8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705.7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Pr>
          <w:p>
            <w:pPr>
              <w:spacing w:after="0"/>
              <w:rPr>
                <w:sz w:val="18"/>
                <w:szCs w:val="18"/>
                <w:color w:val="auto"/>
              </w:rPr>
            </w:pPr>
          </w:p>
        </w:tc>
        <w:tc>
          <w:tcPr>
            <w:tcW w:w="1580" w:type="dxa"/>
            <w:vAlign w:val="bottom"/>
            <w:tcBorders>
              <w:bottom w:val="single" w:sz="8" w:color="auto"/>
            </w:tcBorders>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ectPr>
          <w:pgSz w:w="11900" w:h="16838" w:orient="portrait"/>
          <w:cols w:equalWidth="0" w:num="1">
            <w:col w:w="11420"/>
          </w:cols>
          <w:pgMar w:left="240" w:top="121" w:right="239"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4,</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February 27,</w:t>
            </w:r>
          </w:p>
        </w:tc>
        <w:tc>
          <w:tcPr>
            <w:tcW w:w="0" w:type="dxa"/>
            <w:vAlign w:val="bottom"/>
          </w:tcPr>
          <w:p>
            <w:pPr>
              <w:spacing w:after="0"/>
              <w:rPr>
                <w:sz w:val="1"/>
                <w:szCs w:val="1"/>
                <w:color w:val="auto"/>
              </w:rPr>
            </w:pPr>
          </w:p>
        </w:tc>
      </w:tr>
      <w:tr>
        <w:trPr>
          <w:trHeight w:val="173"/>
        </w:trPr>
        <w:tc>
          <w:tcPr>
            <w:tcW w:w="6520" w:type="dxa"/>
            <w:vAlign w:val="bottom"/>
            <w:gridSpan w:val="3"/>
            <w:vMerge w:val="continue"/>
          </w:tcPr>
          <w:p>
            <w:pPr>
              <w:spacing w:after="0"/>
              <w:rPr>
                <w:sz w:val="15"/>
                <w:szCs w:val="15"/>
                <w:color w:val="auto"/>
              </w:rPr>
            </w:pPr>
          </w:p>
        </w:tc>
        <w:tc>
          <w:tcPr>
            <w:tcW w:w="15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Pr>
          <w:p>
            <w:pPr>
              <w:jc w:val="right"/>
              <w:ind w:right="13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5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restructure and other charges</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 to write down inventories to estimated market values</w:t>
            </w:r>
          </w:p>
        </w:tc>
        <w:tc>
          <w:tcPr>
            <w:tcW w:w="15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(gain) from write-down or disposition of equipment</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(gain) from write-down or disposition of investments</w:t>
            </w:r>
          </w:p>
        </w:tc>
        <w:tc>
          <w:tcPr>
            <w:tcW w:w="15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decrease in receivables</w:t>
            </w:r>
          </w:p>
        </w:tc>
        <w:tc>
          <w:tcPr>
            <w:tcW w:w="15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inventories</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(decrease) in accounts payable and accrued expenses</w:t>
            </w:r>
          </w:p>
        </w:tc>
        <w:tc>
          <w:tcPr>
            <w:tcW w:w="15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15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15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available-for-sale securities</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5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stock rights</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5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equipment sale-leaseback transactions</w:t>
            </w:r>
          </w:p>
        </w:tc>
        <w:tc>
          <w:tcPr>
            <w:tcW w:w="15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equipment purchase contracts</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of common stock</w:t>
            </w:r>
          </w:p>
        </w:tc>
        <w:tc>
          <w:tcPr>
            <w:tcW w:w="15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debt</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5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call spread options</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equivalents</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equivalents at beginning of period</w:t>
            </w:r>
          </w:p>
        </w:tc>
        <w:tc>
          <w:tcPr>
            <w:tcW w:w="15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 at end of period</w:t>
            </w:r>
          </w:p>
        </w:tc>
        <w:tc>
          <w:tcPr>
            <w:tcW w:w="1520" w:type="dxa"/>
            <w:vAlign w:val="bottom"/>
            <w:tcBorders>
              <w:top w:val="single" w:sz="8" w:color="auto"/>
              <w:bottom w:val="single" w:sz="8" w:color="auto"/>
            </w:tcBorders>
            <w:shd w:val="clear" w:color="auto" w:fill="CCEEFF"/>
          </w:tcPr>
          <w:p>
            <w:pPr>
              <w:jc w:val="right"/>
              <w:ind w:right="13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refunded, net</w:t>
            </w:r>
          </w:p>
        </w:tc>
        <w:tc>
          <w:tcPr>
            <w:tcW w:w="1520" w:type="dxa"/>
            <w:vAlign w:val="bottom"/>
          </w:tcPr>
          <w:p>
            <w:pPr>
              <w:jc w:val="right"/>
              <w:ind w:right="13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acquisitions on contracts payable and capital leases</w:t>
            </w:r>
          </w:p>
        </w:tc>
        <w:tc>
          <w:tcPr>
            <w:tcW w:w="1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tabular amounts 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Micron Technology, Inc. and its subsidiaries (hereinafter referred to collectively as the “Company”) manufacture and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DRAMs, Flash memory, CMOS image sensors and other semiconductor components. The accompanying consolidated financial statements have been prepared in accordance with generally accepted accounting principles and include the accounts of the Company and its consolidated subsidiaries. All significant intercompany transactions and balances have been eliminated. The Company’s fiscal year is the 52 or 53-week period ending on the Thursday closest to August 31. The Company’s fiscal 2004 contains 53 weeks and its first quarter of fiscal 2004 contained 14 weeks. The Company’s second quarter of fiscal 2004 and 2003 ended on March 4, 2004, and February 27, 2003, respectively. The Company’s fiscal 2003 ended on August 28, 2003. All period references are to the Company’s fiscal periods unless otherwise indicated. In the opinion of management, the accompanying unaudited consolidated financial statements contain all adjustments necessary to present fairly the consolidated financial position of the Company and its consolidated results of operations and cash flows.</w:t>
      </w:r>
    </w:p>
    <w:p>
      <w:pPr>
        <w:sectPr>
          <w:pgSz w:w="11900" w:h="16838" w:orient="portrait"/>
          <w:cols w:equalWidth="0" w:num="1">
            <w:col w:w="11420"/>
          </w:cols>
          <w:pgMar w:left="240" w:top="121" w:right="239" w:bottom="0" w:gutter="0" w:footer="0" w:header="0"/>
        </w:sectPr>
      </w:pPr>
    </w:p>
    <w:bookmarkStart w:id="3" w:name="page4"/>
    <w:bookmarkEnd w:id="3"/>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consolidated financial statements and accompanying notes included in the Company’s Annual Report on Form 10-K for the year ended August 28, 2003.</w:t>
      </w:r>
    </w:p>
    <w:p>
      <w:pPr>
        <w:spacing w:after="0" w:line="158"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Certain reclassifications have been made, none of which affected results of operations, to present the financial statements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basis.</w:t>
      </w:r>
    </w:p>
    <w:p>
      <w:pPr>
        <w:spacing w:after="0" w:line="155"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Recently issued accounting standards: </w:t>
      </w:r>
      <w:r>
        <w:rPr>
          <w:rFonts w:ascii="Times New Roman" w:cs="Times New Roman" w:eastAsia="Times New Roman" w:hAnsi="Times New Roman"/>
          <w:sz w:val="18"/>
          <w:szCs w:val="18"/>
          <w:color w:val="auto"/>
        </w:rPr>
        <w:t>In December 2003, the Financial Accounting Standards Board (“FASB”) issued a revised Interpretation No. 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of Variable Interest Entities – an interpretation of ARB No. 51,” which provides guidance on the identification of and reporting for variable interest entities. Interpretation No. 46 is effective for the Company in the third quarter of 2004. The Company does not expect adoption of Interpretation No. 46 to have a significant impact on its future results of operations or financial condition.</w:t>
      </w:r>
    </w:p>
    <w:p>
      <w:pPr>
        <w:spacing w:after="0" w:line="177"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The Company has determined, based on the nature of its operations and products offered to customers, that its only reportable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is Semiconductor Operations. The Semiconductor Operations segment’s primary product is DRAM.</w:t>
      </w:r>
    </w:p>
    <w:p>
      <w:pPr>
        <w:spacing w:after="0" w:line="15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Employee stock plans are accounted for using the intrinsic value method prescribed by APB No. 25, “Accounting for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to Employees.” The Company utilizes the Black-Scholes option valuation model to value stock options for pro forma presentation of income and per share data as if the fair value based method in Statement of Financial Accounting Standards No. 123, “Accounting for Stock-Based Compensation,” had been used to account for stock-based compensation. The following presents pro forma loss and per share data as if a fair value based method had been used to account for stock-based compensation: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20" w:type="dxa"/>
            <w:vAlign w:val="bottom"/>
            <w:gridSpan w:val="6"/>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60" w:type="dxa"/>
            <w:vAlign w:val="bottom"/>
          </w:tcPr>
          <w:p>
            <w:pPr>
              <w:spacing w:after="0"/>
              <w:rPr>
                <w:sz w:val="15"/>
                <w:szCs w:val="15"/>
                <w:color w:val="auto"/>
              </w:rPr>
            </w:pPr>
          </w:p>
        </w:tc>
        <w:tc>
          <w:tcPr>
            <w:tcW w:w="28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9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4,</w:t>
            </w: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February 27,</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March 4,</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February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as reported</w:t>
            </w:r>
          </w:p>
        </w:tc>
        <w:tc>
          <w:tcPr>
            <w:tcW w:w="98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common stock accretion</w:t>
            </w:r>
          </w:p>
        </w:tc>
        <w:tc>
          <w:tcPr>
            <w:tcW w:w="9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common stock fair value adjustment</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(620.8)</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included in reported net loss</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total stock-based compensation expense determined under a</w:t>
            </w: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based method for all awards</w:t>
            </w:r>
          </w:p>
        </w:tc>
        <w:tc>
          <w:tcPr>
            <w:tcW w:w="9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available to common shareholders</w:t>
            </w:r>
          </w:p>
        </w:tc>
        <w:tc>
          <w:tcPr>
            <w:tcW w:w="98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as reported</w:t>
            </w:r>
          </w:p>
        </w:tc>
        <w:tc>
          <w:tcPr>
            <w:tcW w:w="980" w:type="dxa"/>
            <w:vAlign w:val="bottom"/>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pro forma</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as reported</w:t>
            </w:r>
          </w:p>
        </w:tc>
        <w:tc>
          <w:tcPr>
            <w:tcW w:w="98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pro forma</w:t>
            </w:r>
          </w:p>
        </w:tc>
        <w:tc>
          <w:tcPr>
            <w:tcW w:w="9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 the above presentation does not reflect a benefit for income taxes, which is consistent with the Company’s treatment of income or loss from its U.S.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98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March 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28,</w:t>
            </w:r>
          </w:p>
        </w:tc>
        <w:tc>
          <w:tcPr>
            <w:tcW w:w="0" w:type="dxa"/>
            <w:vAlign w:val="bottom"/>
          </w:tcPr>
          <w:p>
            <w:pPr>
              <w:spacing w:after="0"/>
              <w:rPr>
                <w:sz w:val="1"/>
                <w:szCs w:val="1"/>
                <w:color w:val="auto"/>
              </w:rPr>
            </w:pPr>
          </w:p>
        </w:tc>
      </w:tr>
      <w:tr>
        <w:trPr>
          <w:trHeight w:val="173"/>
        </w:trPr>
        <w:tc>
          <w:tcPr>
            <w:tcW w:w="8340" w:type="dxa"/>
            <w:vAlign w:val="bottom"/>
            <w:gridSpan w:val="2"/>
            <w:vMerge w:val="continue"/>
          </w:tcPr>
          <w:p>
            <w:pPr>
              <w:spacing w:after="0"/>
              <w:rPr>
                <w:sz w:val="15"/>
                <w:szCs w:val="15"/>
                <w:color w:val="auto"/>
              </w:rPr>
            </w:pPr>
          </w:p>
        </w:tc>
        <w:tc>
          <w:tcPr>
            <w:tcW w:w="98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649.4</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552.5</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Joint venture</w:t>
            </w: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other than income</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98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March 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28,</w:t>
            </w:r>
          </w:p>
        </w:tc>
        <w:tc>
          <w:tcPr>
            <w:tcW w:w="0" w:type="dxa"/>
            <w:vAlign w:val="bottom"/>
          </w:tcPr>
          <w:p>
            <w:pPr>
              <w:spacing w:after="0"/>
              <w:rPr>
                <w:sz w:val="1"/>
                <w:szCs w:val="1"/>
                <w:color w:val="auto"/>
              </w:rPr>
            </w:pPr>
          </w:p>
        </w:tc>
      </w:tr>
      <w:tr>
        <w:trPr>
          <w:trHeight w:val="173"/>
        </w:trPr>
        <w:tc>
          <w:tcPr>
            <w:tcW w:w="8340" w:type="dxa"/>
            <w:vAlign w:val="bottom"/>
            <w:gridSpan w:val="2"/>
            <w:vMerge w:val="continue"/>
          </w:tcPr>
          <w:p>
            <w:pPr>
              <w:spacing w:after="0"/>
              <w:rPr>
                <w:sz w:val="15"/>
                <w:szCs w:val="15"/>
                <w:color w:val="auto"/>
              </w:rPr>
            </w:pPr>
          </w:p>
        </w:tc>
        <w:tc>
          <w:tcPr>
            <w:tcW w:w="98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97.7</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257.5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104.5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9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In the second and first quarters of 2003, the Company recognized write-downs of $197.4 million and $90.8 million, respectively, to record work in process and finished goods inventories of semiconductor products at their estimated market values.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6180" w:val="left"/>
          <w:tab w:leader="none" w:pos="9340" w:val="left"/>
        </w:tabs>
        <w:rPr>
          <w:sz w:val="20"/>
          <w:szCs w:val="20"/>
          <w:color w:val="auto"/>
        </w:rPr>
      </w:pPr>
      <w:r>
        <w:rPr>
          <w:rFonts w:ascii="Times New Roman" w:cs="Times New Roman" w:eastAsia="Times New Roman" w:hAnsi="Times New Roman"/>
          <w:sz w:val="14"/>
          <w:szCs w:val="14"/>
          <w:b w:val="1"/>
          <w:bCs w:val="1"/>
          <w:color w:val="auto"/>
        </w:rPr>
        <w:t>Intangible Assets</w:t>
      </w:r>
      <w:r>
        <w:rPr>
          <w:sz w:val="20"/>
          <w:szCs w:val="20"/>
          <w:color w:val="auto"/>
        </w:rPr>
        <w:tab/>
      </w:r>
      <w:r>
        <w:rPr>
          <w:rFonts w:ascii="Times New Roman" w:cs="Times New Roman" w:eastAsia="Times New Roman" w:hAnsi="Times New Roman"/>
          <w:sz w:val="14"/>
          <w:szCs w:val="14"/>
          <w:b w:val="1"/>
          <w:bCs w:val="1"/>
          <w:color w:val="auto"/>
        </w:rPr>
        <w:t>March 4, 2004</w:t>
      </w:r>
      <w:r>
        <w:rPr>
          <w:sz w:val="20"/>
          <w:szCs w:val="20"/>
          <w:color w:val="auto"/>
        </w:rPr>
        <w:tab/>
      </w:r>
      <w:r>
        <w:rPr>
          <w:rFonts w:ascii="Times New Roman" w:cs="Times New Roman" w:eastAsia="Times New Roman" w:hAnsi="Times New Roman"/>
          <w:sz w:val="14"/>
          <w:szCs w:val="14"/>
          <w:b w:val="1"/>
          <w:bCs w:val="1"/>
          <w:color w:val="auto"/>
        </w:rPr>
        <w:t>August 28,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78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4" w:name="page5"/>
    <w:bookmarkEnd w:id="4"/>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and process technology</w:t>
            </w:r>
          </w:p>
        </w:tc>
        <w:tc>
          <w:tcPr>
            <w:tcW w:w="96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341.7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supply arrangement</w:t>
            </w:r>
          </w:p>
        </w:tc>
        <w:tc>
          <w:tcPr>
            <w:tcW w:w="9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105.0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Borders>
              <w:top w:val="single" w:sz="8" w:color="auto"/>
            </w:tcBorders>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2004, the Company capitalized $13.9 million for product and process technology with a weighted average useful life of ten years. During the first six months of 2003, the Company capitalized $17.8 million for product and process technology and $2.5 million for other intangible assets with weighted average useful lives of nine and three years,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for intangible assets was $12.3 million and $25.8 million for the second quarter and first six months of 2004, respectively,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million and $25.6 million for the second quarter and first six months of 2003, respectively. Annual amortization expense for intangible assets held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2004, is estimated to be $49.8 million for 2004, $47.0 million for 2005, $45.3 million for 2006, $43.4 million for 2007 and $42.7 million for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tc>
        <w:tc>
          <w:tcPr>
            <w:tcW w:w="260" w:type="dxa"/>
            <w:vAlign w:val="bottom"/>
          </w:tcPr>
          <w:p>
            <w:pPr>
              <w:spacing w:after="0"/>
              <w:rPr>
                <w:sz w:val="13"/>
                <w:szCs w:val="13"/>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August 28,</w:t>
            </w:r>
          </w:p>
        </w:tc>
        <w:tc>
          <w:tcPr>
            <w:tcW w:w="0" w:type="dxa"/>
            <w:vAlign w:val="bottom"/>
          </w:tcPr>
          <w:p>
            <w:pPr>
              <w:spacing w:after="0"/>
              <w:rPr>
                <w:sz w:val="1"/>
                <w:szCs w:val="1"/>
                <w:color w:val="auto"/>
              </w:rPr>
            </w:pPr>
          </w:p>
        </w:tc>
      </w:tr>
      <w:tr>
        <w:trPr>
          <w:trHeight w:val="173"/>
        </w:trPr>
        <w:tc>
          <w:tcPr>
            <w:tcW w:w="8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w:t>
            </w:r>
          </w:p>
        </w:tc>
        <w:tc>
          <w:tcPr>
            <w:tcW w:w="2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6,876.3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(4,835.9)</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$282.9 million and $581.7 million for the second quarter and first six months of 2004, respectively, and $297.3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$584.4 million for the second quarter and first six months of 2003, respectively. As of March 4, 2004, the Company had assets classified as held for sale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other assets in the accompanying consolidated balance sheet with a carrying value of $9.3 million.</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has manufacturing facilities in Virginia and Utah that are only partially utilized. As of March 4, 2004, the Virginia and Utah facilities had net book values of $374.1 million and $785.8 million, respectively. A portion of the Virginia facility is being used for 300 mm wafer fabrication and a portion of the Utah facility is being used for component test operations. The Company is depreciating substantially all assets at the Virginia and Utah facilities other than $195.6 million of construction in progress in Utah as of March 4, 2004. Increased utilization of these facilities is dependent upon market conditions, including, but not limited to, worldwide market supply of, and demand for, semiconductor products and the Company’s operations, cash flows and alternative capacity utilization opportunities.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Accounts Payable and Accrued Expenses</w:t>
            </w:r>
          </w:p>
        </w:tc>
        <w:tc>
          <w:tcPr>
            <w:tcW w:w="26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March 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383.4</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Joint venture</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 other than income</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81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gridSpan w:val="2"/>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647"/>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w:t>
            </w:r>
          </w:p>
        </w:tc>
        <w:tc>
          <w:tcPr>
            <w:tcW w:w="26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March 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subordinated notes payable, interest rate of 2.5%, due February 2010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643.5</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4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 xml:space="preserve">Subordinated notes payable, face amount of $210.0 million and </w:t>
            </w:r>
            <w:r>
              <w:rPr>
                <w:rFonts w:ascii="Times New Roman" w:cs="Times New Roman" w:eastAsia="Times New Roman" w:hAnsi="Times New Roman"/>
                <w:sz w:val="17"/>
                <w:szCs w:val="17"/>
                <w:color w:val="auto"/>
              </w:rPr>
              <w:t>stated interest rate of 6.5%, due September</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2005, with an effective yield to maturity of 10.7%, net of unamortized discount of $12.1 million and $15.8</w:t>
            </w:r>
          </w:p>
        </w:tc>
        <w:tc>
          <w:tcPr>
            <w:tcW w:w="260" w:type="dxa"/>
            <w:vAlign w:val="bottom"/>
          </w:tcPr>
          <w:p>
            <w:pPr>
              <w:spacing w:after="0"/>
              <w:rPr>
                <w:sz w:val="18"/>
                <w:szCs w:val="18"/>
                <w:color w:val="auto"/>
              </w:rPr>
            </w:pP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197.9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million</w:t>
            </w:r>
          </w:p>
        </w:tc>
        <w:tc>
          <w:tcPr>
            <w:tcW w:w="2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Notes payable in periodic installments through July 2015, weighted </w:t>
            </w:r>
            <w:r>
              <w:rPr>
                <w:rFonts w:ascii="Times New Roman" w:cs="Times New Roman" w:eastAsia="Times New Roman" w:hAnsi="Times New Roman"/>
                <w:sz w:val="17"/>
                <w:szCs w:val="17"/>
                <w:color w:val="auto"/>
              </w:rPr>
              <w:t>average interest rate of 3.0% and 2.3%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4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 xml:space="preserve">Capital lease obligations payable in monthly installments </w:t>
            </w:r>
            <w:r>
              <w:rPr>
                <w:rFonts w:ascii="Times New Roman" w:cs="Times New Roman" w:eastAsia="Times New Roman" w:hAnsi="Times New Roman"/>
                <w:sz w:val="17"/>
                <w:szCs w:val="17"/>
                <w:color w:val="auto"/>
              </w:rPr>
              <w:t>through January 2008, weighted average imputed</w:t>
            </w:r>
          </w:p>
        </w:tc>
        <w:tc>
          <w:tcPr>
            <w:tcW w:w="260" w:type="dxa"/>
            <w:vAlign w:val="bottom"/>
          </w:tcPr>
          <w:p>
            <w:pPr>
              <w:spacing w:after="0"/>
              <w:rPr>
                <w:sz w:val="17"/>
                <w:szCs w:val="17"/>
                <w:color w:val="auto"/>
              </w:rPr>
            </w:pP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of 6.2% and 6.0%</w:t>
            </w:r>
          </w:p>
        </w:tc>
        <w:tc>
          <w:tcPr>
            <w:tcW w:w="2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-2087880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-2087880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March 4, 2004, notes payable and capital lease obligations of $136.6 million and $7.6 million, respectively, denominated in Japanese yen, were at weighted average interest rates of 1.4% and 1.8%, respectively.</w:t>
      </w:r>
    </w:p>
    <w:p>
      <w:pPr>
        <w:spacing w:after="0" w:line="15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Interest Rate Swap: </w:t>
      </w:r>
      <w:r>
        <w:rPr>
          <w:rFonts w:ascii="Times New Roman" w:cs="Times New Roman" w:eastAsia="Times New Roman" w:hAnsi="Times New Roman"/>
          <w:sz w:val="18"/>
          <w:szCs w:val="18"/>
          <w:color w:val="auto"/>
        </w:rPr>
        <w:t>The Company entered into an interest rate swap agreement (the “Swap”) that effectively converted, beginning August 29, 2003,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fixed interest rate on the Notes to a variable interest rate based on the 3-month London Interbank Offering Rate (“LIBOR”) less 65 basis points (0.53% for the second quarter of 2004). The Swap qualifies as a fair-value hedge under SFAS No. 133, “Accounting for Derivative Instruments and Hedging Activities.” The gain or loss from changes in the fair value of the Swap is expected to be highly effective at offsetting the gain or loss from changes in the fair value of the Notes attributable to changes in interest rates. The Company measures the effectiveness of the Swap using regression analysis. The Company recognizes changes in the fair value of the Swap and changes in the fair value of the Notes since inception of the Swap in the consolidated balance sheets. For the first six months of 2004, the Company recognized a net gain of $0.2 million, which is included in other non-operating income, representing the difference between the change in the fair value of the Notes and the change in the fair value of the Swap. As of March 4, 2004, the Company had pledged $24.4 million as</w:t>
      </w:r>
    </w:p>
    <w:p>
      <w:pPr>
        <w:sectPr>
          <w:pgSz w:w="11900" w:h="16892" w:orient="portrait"/>
          <w:cols w:equalWidth="0" w:num="1">
            <w:col w:w="11440"/>
          </w:cols>
          <w:pgMar w:left="240" w:top="102" w:right="219" w:bottom="0" w:gutter="0" w:footer="0" w:header="0"/>
        </w:sectPr>
      </w:pPr>
    </w:p>
    <w:bookmarkStart w:id="5" w:name="page6"/>
    <w:bookmarkEnd w:id="5"/>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collateral for the Swap which is included in restricted cash on the Company’s consolidated balance sheet. The amount of collateral will fluctuate based on the fair value of the Swap. The Swap will terminate if the closing price of the Company’s common stock is at or exceeds $14.15 after February 6,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is typical in the semiconductor and other high technology industries, from time to time, others have asserted, and may in the future assert, that the Company’s products or manufacturing processes infringe their intellectual property rights. The Company is currently engaged in litigation with Rambus, Inc. (“Rambus”) relating to certain of Rambus’ patents and certain of the Company’s claims and defenses. Lawsuits between Rambus and the Company are pending in the United States, Germany, France, the United Kingdom and Italy. The Company is unable to predict the outcome of the Rambus suits or of other assertions of infringements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twenty-five purported class action lawsuits were filed against the Company and other DRAM suppliers in various federal and state courts alleging violations of the Sherman Act, violations of state unfair competition law, and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final resolution of these alleged violations of federal or state antitrust laws could result in significant liability and could have a material adverse effect on the Company’s business, results of operations or financial condition.</w:t>
      </w:r>
    </w:p>
    <w:p>
      <w:pPr>
        <w:spacing w:after="0" w:line="193"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Common Stock</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$67.5 million in cash on October 21, 2003. During the first quarter of 2004, Toshiba exercised its option and the Company redeemed the 1.5 million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Rights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September 24, 2003, the Company received $450.0 million, which is included in additional capital in the accompanying consolidated balance sheet,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purchase price of $13.29, the Company could be obligated to pay Intel amounts not to exceed $135 million, a substantial portion of which is payable, at the Company’s election, in the Company’s common stock. The shares issuable pursuant to the stock rights are included in weighted average common shares outstanding in the computations of earnings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Restructure and Other Charges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the second quarter of 2003, the Company announced a plan to restructure its operations. The restructure plan included the shutdown of the Company’s 200 mm production line in Virginia, the discontinuance of certain memory products, including SRAM and TCAM products, and an approximate 10% reduction of the Company’s worldwide workforce. In connection with the plan, the Company recorded a $107.9 million restructure charge and additional restructure related charges of $7.8 million, which is included in cost of goods sold, in the second quarter of 2003. The credit to restructure of $21.2 million in the first six months of 2004 primarily reflects gains on sales of equipment associated with operations shut down in the restructure. Through March 4, 2004, the Company has paid essentially all of the costs accrued in connection with the restructure plan but expects to incur gains and losses in future periods as residual equipment associated with the restructure is sold. The components of the restructure charge and additional restructure related charges in the second quarter of 2003 are as follows: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Quarter ended</w:t>
      </w:r>
    </w:p>
    <w:p>
      <w:pPr>
        <w:spacing w:after="0" w:line="6"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February 27,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-3175</wp:posOffset>
            </wp:positionV>
            <wp:extent cx="951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ectPr>
          <w:pgSz w:w="11900" w:h="16843" w:orient="portrait"/>
          <w:cols w:equalWidth="0" w:num="1">
            <w:col w:w="11400"/>
          </w:cols>
          <w:pgMar w:left="240" w:top="121" w:right="259" w:bottom="0" w:gutter="0" w:footer="0" w:header="0"/>
        </w:sect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charge:</w:t>
            </w:r>
          </w:p>
        </w:tc>
        <w:tc>
          <w:tcPr>
            <w:tcW w:w="2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Write-down of equipment</w:t>
            </w:r>
          </w:p>
        </w:tc>
        <w:tc>
          <w:tcPr>
            <w:tcW w:w="25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and other termination benefits</w:t>
            </w:r>
          </w:p>
        </w:tc>
        <w:tc>
          <w:tcPr>
            <w:tcW w:w="2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r>
    </w:tbl>
    <w:p>
      <w:pPr>
        <w:sectPr>
          <w:pgSz w:w="11900" w:h="16843" w:orient="portrait"/>
          <w:cols w:equalWidth="0" w:num="1">
            <w:col w:w="11400"/>
          </w:cols>
          <w:pgMar w:left="240" w:top="121" w:right="25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Write-down of intangible assets</w:t>
            </w: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restructure charge</w:t>
            </w:r>
          </w:p>
        </w:tc>
        <w:tc>
          <w:tcPr>
            <w:tcW w:w="7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charges to write-down raw materials and work in process inventories</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restructure and other charges</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43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(Income) Expense</w:t>
            </w:r>
          </w:p>
        </w:tc>
        <w:tc>
          <w:tcPr>
            <w:tcW w:w="7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Other operating expense for the second quarter of 2004 includes a $7.6 million benefit from changes in currency exchange rates primarily as the result of a generally stronger U.S. dollar relative to the Japanese yen and euro. For the first six months of 2004, the Company recognized a net loss of $16.9 million from changes in currency exchange rates as gains in the second quarter of 2004 only partially offset $24.5 million of losses from changes in the first quarter of 2004. Other operating expense for the first six months of 2004 includes net gains of $8.0 million related to disposals of semiconductor equipment. Other operating expense in the second quarter and first six months of 2003 includes losses of $13.5 million and $9.1 million, respectively, from changes in currency exchange rates. Other operating expense in the first six months of 2003 also includes net losses of $10.8 million related to disposals of semiconductor equipment. Other operating income in the second quarter of 2003 includes $14.4 million in receipts from the U.S. government in connection with anti-dumping tariffs.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income tax provision for the second quarter and first six months of 2004 and 2003 primarily reflects taxes on non-U.S. operations. As of March 4, 2004, the Company had aggregate U.S. tax net operating loss carryforwards of $2.9 billion and unused U.S. tax credits of $104.9 million, which expire in various years through 2024. The Company also has unused state tax net operating loss carryforwards of $1.9 billion for tax purposes which expire in various years through 2024 and unused state tax credits of $121.0 million for tax and financial reporting purposes which expire through 2018. Until the Company utilizes these net operating loss carryforwards and unused tax credits, the Company expects its income tax provision will primarily reflect taxes from the Company’s non-U.S.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based on the weighted average number of common shares outstanding. Diluted earnings per share is computed based on the weighted average number of common shares outstanding plus the dilutive effects of stock options and warrants and convertible notes. Potential common shares that would increase earnings per share amounts or decrease loss per share amounts are antidilutive and are therefore excluded from earnings per share calculations. Potential common shares that could dilute basic earnings per share in the future that were not included in the computation of diluted earnings per share because to do so would have been antidilutive were 188.3 million shares and 179.7 million shares as of the end of the second quarter of 2004 and 2003, respectively. Basic and diluted earnings per share computations reflect the effect of accretion of, and fair value adjustment to, redeemable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40" w:type="dxa"/>
            <w:vAlign w:val="bottom"/>
            <w:gridSpan w:val="6"/>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60" w:type="dxa"/>
            <w:vAlign w:val="bottom"/>
          </w:tcPr>
          <w:p>
            <w:pPr>
              <w:spacing w:after="0"/>
              <w:rPr>
                <w:sz w:val="15"/>
                <w:szCs w:val="15"/>
                <w:color w:val="auto"/>
              </w:rPr>
            </w:pPr>
          </w:p>
        </w:tc>
        <w:tc>
          <w:tcPr>
            <w:tcW w:w="28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9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4,</w:t>
            </w: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February 27,</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March 4,</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February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common stock accretion</w:t>
            </w:r>
          </w:p>
        </w:tc>
        <w:tc>
          <w:tcPr>
            <w:tcW w:w="9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common stock fair value adjustment</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96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643.2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607.2</w:t>
            </w:r>
          </w:p>
        </w:tc>
        <w:tc>
          <w:tcPr>
            <w:tcW w:w="2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638.4</w:t>
            </w: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was $28.3 million for the second quarter of 2004 and $27.3 million for the first six months of 2004, which included $0.1 million net of tax of unrealized loss on investments. Comprehensive loss for the second quarter and first six months of 2003 was $620.2 million and $935.7 million, respectively, and included $1.0 million and $0.6 million net of tax, respectively, of unrealized losses on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TECH Semiconductor Singapore Pte. Ltd. (“TECH”) is a semiconductor memory manufacturing joint venture in Singapore among Micron Technology, Inc., the Singapore Economic Development Board, Canon Inc. and Hewlett-Packard Company. The Company acquired its initial ownership and other interests in TECH as a result of its acquisition of the semiconductor memory operations of Texas Instruments Incorporated in 1998. As of March 4, 2004, the Company had a 39.12% ownership interest in TECH. Significant financing, investment and operating decisions for TECH typically require approval from TECH’s Board of Directors. The shareholders’ agreement for the TECH joint venture expires in 2011. TECH’s semiconductor manufacturing facilities use the Company’s product and process technology. Subject to specific terms and conditions, the Company has agreed to purchase all of the products manufactured by TECH. TECH supplied approximately 30% of the total megabits of memory produced by the Company in the second quarter and first six months of 2004.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In the second quarter of 2004, the Company sold TECH semiconductor equipment in</w:t>
      </w:r>
    </w:p>
    <w:p>
      <w:pPr>
        <w:sectPr>
          <w:pgSz w:w="11900" w:h="16838" w:orient="portrait"/>
          <w:cols w:equalWidth="0" w:num="1">
            <w:col w:w="11420"/>
          </w:cols>
          <w:pgMar w:left="240" w:top="121" w:right="239" w:bottom="0" w:gutter="0" w:footer="0" w:header="0"/>
        </w:sectPr>
      </w:pPr>
    </w:p>
    <w:bookmarkStart w:id="7" w:name="page8"/>
    <w:bookmarkEnd w:id="7"/>
    <w:p>
      <w:pPr>
        <w:spacing w:after="0" w:line="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amount of $0.1 million. The net cost of products purchased from TECH amounted to $124.8 million and $247.9 million for the second quarter and first six months of 2004, respectively, and $86.9 million and $147.5 million for the second quarter and first six months of 2003, respectively. Amortization expense resulting from the TECH supply arrangement, included in the cost of products purchased from TECH, was $2.4 million and $5.0 million for the first quarter and first six months of 2004, respectively, and $2.4 million and $4.8 million for the second quarter and first six months of 2003, respectively. Receivables from TECH were $28.2 million and payables to TECH were $64.4 million as of March 4, 2004. Receivables from TECH were $53.1 million and payables to TECH were $102.5 million as of August 28, 2003. As of March 4, 2004, the Company had remaining unamortized costs of $67.8 million in intangible assets relating to the supply arrangement to purchase product from TECH.</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pledged $100.0 million as cash collateral for TECH’s $250.0 million credit facility.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22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contains trend information and other forward-looking statements that involve a number of risks and uncertainties. Forward-looking statements include, but are not limited to, statements such as those made in “Net Sales” regarding future megabit production growth and allocation of wafer starts to DDR2 devices, CMOS image sensors, PSRAM devices and Flash memory products, “Gross Margin” regarding manufacturing cost reductions in future periods and relative gross margin realized on products purchased from TECH in the third quarter of 2004; in “Research and Development” regarding the level of expected research and development expenses in the third quarter of 2004 and in “Liquidity and Capital Resources” regarding capital spending in 2004.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August 28, 2003. All period references are to the Company’s fiscal periods unless otherwise indicated. The Company’s fiscal year is the 52 or 53-week period ending on the Thursday closest to August 31. The Company’s fiscal 2004, which ends on September 2, 2004, contains 53 weeks. All per share amounts are presented on a diluted basis. All tabular dollar amounts are in millions.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is a global manufacturer and marketer of DRAM, Flash memory, CMOS image sensors and other semiconductor components. These semiconductor components are similar to commodities in that they are generally standardized products where selling prices fluctuate significantly based upon industry-wide relationships of supply and demand. Success in the semiconductor memory market is typically driven by achieving the most cost-efficient delivery of products. Delivery of semiconductor memory products at the lowest cost is dependent upon advanced design and process technology, efficient utilization of extensive capital investments in silicon processing capacity, timely development of new products and cost-effective capital access.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2003</w:t>
            </w: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4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991.0</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785.0</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1,107.2</w:t>
            </w: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2,098.2</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1,470.1</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248.2</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(223.9)</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534.2</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2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(261.2)</w:t>
            </w:r>
          </w:p>
        </w:tc>
        <w:tc>
          <w:tcPr>
            <w:tcW w:w="9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SG&amp;A</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163.0</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R&amp;D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187.9</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174.1</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186.4</w:t>
            </w: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374.3</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2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328.6</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Restructure</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9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(7.1)</w:t>
            </w: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(600.6)</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(76.5)%</w:t>
            </w:r>
          </w:p>
        </w:tc>
        <w:tc>
          <w:tcPr>
            <w:tcW w:w="16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21.7</w:t>
            </w: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14.6</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(897.2)</w:t>
            </w: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Company’s second quarter of 2004, which ended March 4, 2004 and second quarter of 2003 were comprised of 13-week quarters as compared to 14 weeks for the first quarter of 2004.</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Company’s operating results in recent periods have been significantly affected by the timing of inventory write-downs and restructure charges. The following table summarizes the Company’s operating income (loss) absent the inventory write-downs and the estimated aggregate effects of previous write-downs and restructure and related charges. These adjusted amounts have not been prepared in accordance with U.S. generally accepted accounting principles (“U.S. GAAP”), however the Company believes this information may be useful in assessing the effects of inventory write-downs and the restructure and related charges on the Company’s results and analyzing the Company’s operating trends.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Borders>
              <w:bottom w:val="single" w:sz="8" w:color="CCEEFF"/>
            </w:tcBorders>
          </w:tcPr>
          <w:p>
            <w:pPr>
              <w:spacing w:after="0"/>
              <w:rPr>
                <w:sz w:val="12"/>
                <w:szCs w:val="12"/>
                <w:color w:val="auto"/>
              </w:rPr>
            </w:pPr>
          </w:p>
        </w:tc>
      </w:tr>
      <w:tr>
        <w:trPr>
          <w:trHeight w:val="196"/>
        </w:trPr>
        <w:tc>
          <w:tcPr>
            <w:tcW w:w="4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reported</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(897.2)</w:t>
            </w: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Period-end inventory write-down</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net effect of previous write-downs</w:t>
            </w:r>
          </w:p>
        </w:tc>
        <w:tc>
          <w:tcPr>
            <w:tcW w:w="8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Restructure and related charges</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CEEFF"/>
          </w:tcPr>
          <w:p>
            <w:pPr>
              <w:spacing w:after="0"/>
              <w:rPr>
                <w:sz w:val="18"/>
                <w:szCs w:val="18"/>
                <w:color w:val="auto"/>
              </w:rPr>
            </w:pPr>
          </w:p>
        </w:tc>
      </w:tr>
      <w:tr>
        <w:trPr>
          <w:trHeight w:val="210"/>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adjusted</w:t>
            </w:r>
          </w:p>
        </w:tc>
        <w:tc>
          <w:tcPr>
            <w:tcW w:w="8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4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Net sales for the second quarter of 2004, a 13-week quarter, decreased by 10% as compared to the first quarter of 2004, a 14-week quarter, primarily due to a 13% decrease in megabits of semiconductor memory sold as average per megabit selling prices for the Company’s memory products were relatively unchanged. In the second quarter of 2004, the Company achieved gains in manufacturing efficiencies principally due to improved product yields and the continuing transition of production to devices utilizing 110 nanometer (“nm”) process technology and the Company’s 6f² technology, which can produce</w:t>
      </w:r>
    </w:p>
    <w:p>
      <w:pPr>
        <w:sectPr>
          <w:pgSz w:w="11900" w:h="16902" w:orient="portrait"/>
          <w:cols w:equalWidth="0" w:num="1">
            <w:col w:w="11420"/>
          </w:cols>
          <w:pgMar w:left="240" w:top="121" w:right="239" w:bottom="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color w:val="auto"/>
        </w:rPr>
        <w:t>approximately 20% more potential die per wafer than standard products, which use 8f² technology. Increases in megabit production from manufacturing efficiencies were largely offset by an increase in the allocation of wafer starts to CMOS image sensors and certain lower density memory products. Future megabit production growth is expected to be negatively affected by an increased allocation of wafers to the manufacture of DDR2 devices, which have a relatively larger die size, CMOS image sensors, PSRAM devices and Flash memory products. The Company expects to allocate approximately 20% of its total wafer starts to CMOS image sensors, PSRAM devices and Flash memory products by the end of calendar 2004. For the second quarter of 2004, megabit production was slightly higher than megabit sales. Finished goods inventories at the end of the quarter remained at relatively low levels. DDR products constituted 71% of the Company’s megabits sold in the second quarter of 2004 and 75% of megabits sold in the first quarter of 2004.</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Net sales for the second quarter of 2004 increased by 26% as compared to the second quarter of 2003 primarily due to a 20% increase in megabits of memory sold. Megabits produced in the second quarter of 2004 increased 34% as compared to the second quarter of 2003 principally due to increased manufacturing efficiencies. Average selling prices for the second quarter of 2004 increased by 4% as compared to the second quarter of 2003. DDR products constituted 62% of the Company’s megabits sold in the second quarter of 2003.</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sales for first six months of 2004 increased by 43% as compared to the first six months of 2003 primarily due to a 39% increase in megabits of memory sold. Megabits produced in the first six months of 2004 increased 43% as compared to the first six months of 2003 principally due to increased manufacturing efficiencies. Average selling prices for the Company’s product were relatively unchanged for the first six months of 2004 as compared to the first six months of 2003.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Company’s reported gross margin percentage for the second quarter of 2004 was approximately the same as for the first quarter of 2004 as average selling prices and average costs per megabit were relatively unchanged. Reported gross margin for the second quarter of 2004 decreased $37.8 million from the first quarter of 2004 primarily due to lower margins realized from the sale of products purchased from TECH. The Company achieved per megabit cost reductions in the second quarter of 2004 from improved product yields and its continuing transition to devices utilizing 110 nm process technology and the Company’s 6f² technology. The cost reductions from manufacturing efficiencies in the second quarter of 2004 were largely offset by a shift in product mix to lower density memory products that have higher costs per megabit than the Company’s primary DRAM products. The Company expects to reduce its manufacturing costs in future periods from increased shipments of devices utilizing the Company’s advanced process technology, improved manufacturing yields and transition to higher density products. Per megabit cost reductions in the near term will be limited by the increased production of DDR2 devices, CMOS image sensors, PSRAM devices and Flash memory products; certain lower density memory products and higher costs associated with the limited volumes of production at the Company’s 300 mm manufacturing facility in Virginia.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reported gross margin for second quarter and first six months of 2004 as compared to the corresponding periods of 2003 improved by $472.1 million and $795.4 million, respectively, primarily due to reductions in per megabit manufacturing costs and to a lesser extent the net effects of inventory write-downs.</w:t>
      </w:r>
    </w:p>
    <w:p>
      <w:pPr>
        <w:spacing w:after="0" w:line="172"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Inventory write-downs: </w:t>
      </w:r>
      <w:r>
        <w:rPr>
          <w:rFonts w:ascii="Times New Roman" w:cs="Times New Roman" w:eastAsia="Times New Roman" w:hAnsi="Times New Roman"/>
          <w:sz w:val="18"/>
          <w:szCs w:val="18"/>
          <w:color w:val="auto"/>
        </w:rPr>
        <w:t>The Company has recorded charges to cost of goods sold to write down the carrying value of its inventories to their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values. If the estimated market values of products held in finished goods and work in process inventories at a quarter end date are below the Company’s manufacturing cost of these products, the Company recognizes a charge to cost of goods sold to write down the carrying value of inventories to their estimated market values as required by U.S. GAAP. As charges are recorded in advance of when inventory subject to the write-down is sold, gross margins in the period of sale are higher than they would be absent the effect of the previous write-downs. No write-down was necessary for the second or first quarter of 2004. Previous write-downs of inventories prior to 2004 are not expected to have a significant effect on operating results in future periods.</w:t>
      </w:r>
    </w:p>
    <w:p>
      <w:pPr>
        <w:spacing w:after="0" w:line="187"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adjusted gross margins absent the inventory write-downs and the estimated net effect of previous write-downs. These adjusted amounts have not been prepared in accordance with U.S. GAAP, however the Company believes this information may be useful in assessing the effects of inventory write-downs on the Company’s gross margin and analyzing the Company’s gross margin trends.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2003</w:t>
            </w: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129"/>
        </w:trPr>
        <w:tc>
          <w:tcPr>
            <w:tcW w:w="13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Gross margin:</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As reported</w:t>
            </w:r>
          </w:p>
        </w:tc>
        <w:tc>
          <w:tcPr>
            <w:tcW w:w="3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248.2</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(223.9)</w:t>
            </w:r>
          </w:p>
        </w:tc>
        <w:tc>
          <w:tcPr>
            <w:tcW w:w="10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2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534.2</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(261.2)</w:t>
            </w: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26"/>
        </w:trPr>
        <w:tc>
          <w:tcPr>
            <w:tcW w:w="13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Period-end</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197.4</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197.4</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write-down</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Estimated net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effect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previous write-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(18.3)</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(98.6)</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(27.6)</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(45.9)</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(146.7)</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downs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Borders>
              <w:top w:val="single" w:sz="8" w:color="CCEEFF"/>
              <w:bottom w:val="single" w:sz="8" w:color="CCEEFF"/>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As adjusted</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23.2%</w:t>
            </w: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w:t>
            </w:r>
          </w:p>
        </w:tc>
        <w:tc>
          <w:tcPr>
            <w:tcW w:w="240" w:type="dxa"/>
            <w:vAlign w:val="bottom"/>
            <w:tcBorders>
              <w:top w:val="single" w:sz="8" w:color="CCEEFF"/>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CCEEFF"/>
              <w:bottom w:val="single" w:sz="8" w:color="CCEEFF"/>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(15.9)%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258.4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23.3%</w:t>
            </w: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488.3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23.3%</w:t>
            </w: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(210.5</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tcBorders>
              <w:top w:val="single" w:sz="8" w:color="CCEEFF"/>
              <w:bottom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TECH Semiconductor Singapore Pte. Ltd. (“TECH”): </w:t>
      </w:r>
      <w:r>
        <w:rPr>
          <w:rFonts w:ascii="Times New Roman" w:cs="Times New Roman" w:eastAsia="Times New Roman" w:hAnsi="Times New Roman"/>
          <w:sz w:val="18"/>
          <w:szCs w:val="18"/>
          <w:color w:val="auto"/>
        </w:rPr>
        <w:t>The TECH joint venture supplied approximately 30% of the total megabits of memory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produced by the Company in the second and first quarters of 2004 and second quarter of 2003. The Company generally purchases memory products from TECH at prices determined quarterly, based on a discount from average selling prices realized by the Company for the immediately preceding quarter. Depending on market conditions, the gross margin from the sale of TECH products may be higher or lower than the gross margin from the sale of products manufactured by the Company’s wholly-owned facilities. In the second quarter of 2004 the gross margin percentages realized by the Company on sales of TECH products were approximately the same as gross margins realized on products manufactured by its wholly-owned facilities. Per unit costs of products purchased from TECH were higher in the second quarter of 2004 than in the first quarter of 2004 due to the quarter-lag pricing and changes in product mix. In the first quarter of 2004, second quarter of 2003 and first six months of 2004 and 2003, the Company realized higher gross margin percentages on sales of TECH products than for products manufactured by its wholly-owned facilities. The Company expects gross margins on sales of TECH products in the third quarter of 2004 to be higher than gross margins realized on products manufactured by the Company’s wholly-owned facilities and higher than gross margins realized on sales of TECH products in the second quarter of 2004.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11% and 14%, respectively, in the second quarter and first six months of 2004 as compared to the corresponding periods of 2003 primarily due to lower costs associated with outstanding legal matters.</w:t>
      </w:r>
    </w:p>
    <w:p>
      <w:pPr>
        <w:sectPr>
          <w:pgSz w:w="11900" w:h="16838" w:orient="portrait"/>
          <w:cols w:equalWidth="0" w:num="1">
            <w:col w:w="11420"/>
          </w:cols>
          <w:pgMar w:left="240" w:top="121" w:right="239" w:bottom="0" w:gutter="0" w:footer="0" w:header="0"/>
        </w:sectPr>
      </w:pPr>
    </w:p>
    <w:bookmarkStart w:id="9" w:name="page10"/>
    <w:bookmarkEnd w:id="9"/>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vary primarily with the number of development wafers processed, the cost of advanced equipment dedicated to new product and process development, and personnel costs. The Company deems development of a product complete once the product has been thoroughly reviewed and tested for performance and reliability. Because of the lead times necessary to manufacture the Company’s products, the Company typically begins to process wafers before completion of performance and reliability testing. R&amp;D expenses can vary significantly depending on the timing of product qualification. Product development costs are recorded as R&amp;D expense.</w:t>
      </w:r>
    </w:p>
    <w:p>
      <w:pPr>
        <w:spacing w:after="0" w:line="18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R&amp;D expenses for the second quarter and first six months increased 8% and 14%, respectively, from the corresponding periods of 2003 primarily due to increases in the number of development wafers processed and the Company’s ramp of wafers processed on its 300 mm production line. The increase in development wafers processed during the first six months of 2004 was the result of a relatively large number of products nearing qualification during the period. Higher R&amp;D costs in 2004 also reflect a higher level of expenses related to CMOS image sensors and Flash products. R&amp;D expenses for the third quarter of 2004 are expected to remain at approximately the same level as the second quarter of 2004.</w:t>
      </w:r>
    </w:p>
    <w:p>
      <w:pPr>
        <w:spacing w:after="0" w:line="184"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Company’s process technology R&amp;D efforts are focused primarily on development of 110 nm, 95 nm and smaller line-width process technologies, which are designed to facilitate the Company’s transition to next generation products. Additional R&amp;D efforts include processes to support 300 mm wafer manufacturing, CMOS image sensors, Flash memory products, and new memory manufacturing materials such as copper. Efforts toward the design and development of new products are concentrated on the Company’s 512 Meg and 1 Gig DDR, DDR2 and other DRAM products, including PSRAM and reduced latency DRAM (“RLDRAM”), as well as Flash and CMOS image sensor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Restructure and Other Charges</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prolonged downturn in the semiconductor memory industry and the resulting operating losses, in the second quarter of 2003 the Company announced a plan to restructure its operations. The restructure plan included the shutdown of the Company’s 200 mm production line in Virginia, the discontinuance of certain memory products, including SRAM and TCAM products, and an approximate 10% reduction of the Company’s worldwide workforce. In connection with the plan, the Company recorded a $107.9 million restructure charge and additional restructure-related charges of $7.8 million included in cost of goods sold in the second quarter of 2003. The credit to restructure of $21.2 million in the first six months of 2004 primarily reflects gains on sales of equipment associated with operations shut down in the restructure. Higher equipment sales prices reflect improved market conditions across the semiconductor industry. The Company has substantially completed the restructure plan but expects to record gains and losses in future periods as residual equipment associated with the restructure is sold. The components of the restructure charge and additional restructure related charges in the second quarter of 2003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February 27, 2003</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charge:</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Write-down of equipment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Severance and other termination benefits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Write-down of intangible assets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restructure charge</w:t>
            </w:r>
          </w:p>
        </w:tc>
        <w:tc>
          <w:tcPr>
            <w:tcW w:w="1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60" w:type="dxa"/>
            <w:vAlign w:val="bottom"/>
            <w:tcBorders>
              <w:bottom w:val="single" w:sz="8" w:color="CCEEFF"/>
            </w:tcBorders>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charges to write-down raw materials and work in process inventories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restructure and other charges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115.7</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1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(Income) Expense</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Other operating expense for the second quarter of 2004 includes a $7.6 million benefit from changes in currency exchange rates primarily as the result of a generally stronger U.S. dollar relative to the Japanese yen and the euro. For the first six months of 2004, the Company recognized a net loss of $16.9 million from changes in currency exchange rates as gains in the second quarter of 2004 only partially offset $24.5 million of losses from changes in the first quarter of 2004. The Company estimates that, based on its assets and liabilities denominated in currencies other than U.S. dollar as of March 4, 2004, a 1% change in the exchange rate versus the U.S. dollar would result in foreign currency gains or losses of approximately $2 million for the Japanese yen and $1 million for the euro. Other operating expense for the first six months of 2004 includes net gains of $8.0 million related to disposals of semiconductor equipment. Other operating expense in the second quarter and first six months of 2003 includes losses of $13.5 million and $9.1 million, respectively, from changes in currency exchange rates. Other operating income in the second quarter of 2003 includes $14.4 million in receipts from the U.S. government in connection with anti-dumping tariffs. Other operating expense in the first six months of 2003 also includes net losses of $10.8 million related to disposals of semiconductor equipment.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Company’s liquidity is highly dependent on average selling prices for its semiconductor memory products, which can vary significantly from period to period. As of March 4, 2004, the Company had cash and marketable investments totaling $1,211.7 million, compared to $921.8 million as of August 28, 2003.</w:t>
      </w:r>
    </w:p>
    <w:p>
      <w:pPr>
        <w:spacing w:after="0" w:line="172" w:lineRule="exact"/>
        <w:rPr>
          <w:sz w:val="20"/>
          <w:szCs w:val="20"/>
          <w:color w:val="auto"/>
        </w:rPr>
      </w:pPr>
    </w:p>
    <w:p>
      <w:pPr>
        <w:jc w:val="both"/>
        <w:ind w:right="2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Activities: </w:t>
      </w:r>
      <w:r>
        <w:rPr>
          <w:rFonts w:ascii="Times New Roman" w:cs="Times New Roman" w:eastAsia="Times New Roman" w:hAnsi="Times New Roman"/>
          <w:sz w:val="18"/>
          <w:szCs w:val="18"/>
          <w:color w:val="auto"/>
        </w:rPr>
        <w:t>For the first six months of 2004, net cash flows from operating activities were $486.3 million. Cash generated from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reflects the Company’s net operating results in the first six months of 2004 adjusted by $608.1 million for non-cash depreciation and amortization expense.</w:t>
      </w:r>
    </w:p>
    <w:p>
      <w:pPr>
        <w:sectPr>
          <w:pgSz w:w="11900" w:h="16934" w:orient="portrait"/>
          <w:cols w:equalWidth="0" w:num="1">
            <w:col w:w="11440"/>
          </w:cols>
          <w:pgMar w:left="240" w:top="337" w:right="219" w:bottom="0" w:gutter="0" w:footer="0" w:header="0"/>
        </w:sectPr>
      </w:pPr>
    </w:p>
    <w:bookmarkStart w:id="10" w:name="page11"/>
    <w:bookmarkEnd w:id="10"/>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For the first six months of 2004, expenditures for property, plant and equipment were $468.5 million. The Company believes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expects 2004 capital spending to approximate $1.5 billion, of which approximately $1.0 billion is expected to be spent in the second half of 2004. As of March 4, 2004, the Company had commitments extending into 2005 of approximately $450 million for the acquisition of property, plant and equipment.</w:t>
      </w:r>
    </w:p>
    <w:p>
      <w:pPr>
        <w:spacing w:after="0" w:line="180"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For the first six months of 2004, payments on equipment purchase contracts and debt were $255.0 million. In the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2004, the Company received $60.6 million in net proceeds from the issuance of notes payable and a sales-leaseback transaction. In the first quarter of 2004, the Company paid $67.5 million to Toshiba Corporation to redeem the 1.5 million shares of common stock issued in connection with the acquisition of the Company’s Virginia facility from Toshiba.</w:t>
      </w:r>
    </w:p>
    <w:p>
      <w:pPr>
        <w:spacing w:after="0" w:line="181"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In the first quarter of 2004, the Company received $450 million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per share purchase price of $13.29, the Company could be obligated to pay Intel amounts not to exceed $135 million, a substantial portion of which is payable, at the Company’s election, in the Company’s common stock.</w:t>
      </w:r>
    </w:p>
    <w:p>
      <w:pPr>
        <w:spacing w:after="0" w:line="18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the second quarter of 2003, the Company issued $632.5 million of 2.5% Convertible Subordinated Notes (the “Notes”). Holders of the Notes may convert all or some of their Notes at any time prior to maturity, unless previously redeemed or repurchased, into the Company’s common stock at a conversion rate of 84.8320 shares for each $1,000 principal amount of the Notes. This conversion rate is equivalent to a conversion price of approximately $11.79 per share. The Company may redeem the Notes at any time after February 6, 2006, at declining premiums to par.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would result in the Company receiving an amount ranging from zero if the market price per share of the Company’s common stock is at or below $11.79 to a maximum of $343.4 million if the market price per share of the Company’s common stock is at or above $18.19.</w:t>
      </w:r>
    </w:p>
    <w:p>
      <w:pPr>
        <w:spacing w:after="0" w:line="18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Access to capital markets has historically been important to the Company. Depending on market conditions, the Company may, from time to time, issue registered or unregistered securities to raise capital to fund a portion of its operations.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has pledged $100 million as cash collateral for a $250 million credit facility of TECH.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w:t>
      </w:r>
    </w:p>
    <w:p>
      <w:pPr>
        <w:spacing w:after="0" w:line="17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As of March 4, 2004, maturities of notes payable, future minimum lease payments under capital leases and minimum commitments under operating leases were as follows:</w:t>
      </w:r>
    </w:p>
    <w:p>
      <w:pPr>
        <w:spacing w:after="0" w:line="155"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140" w:type="dxa"/>
            <w:vAlign w:val="bottom"/>
          </w:tcPr>
          <w:p>
            <w:pPr>
              <w:spacing w:after="0"/>
              <w:rPr>
                <w:sz w:val="15"/>
                <w:szCs w:val="15"/>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10"/>
        </w:trPr>
        <w:tc>
          <w:tcPr>
            <w:tcW w:w="4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2009 and thereafter</w:t>
            </w:r>
          </w:p>
        </w:tc>
        <w:tc>
          <w:tcPr>
            <w:tcW w:w="3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2003, the Financial Accounting Standards Board (“FASB”) issued a revised Interpretation No. 46, “Consolidation of Variable Interest Entities – an interpretation of ARB No. 51,” which provides guidance on the identification of and reporting for variable interest entities. Interpretation No. 46 is effective for the Company in the third quarter of 2004. The Company does not expect adoption of Interpretation No. 46 to have a significant impact on its future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4" w:lineRule="exact"/>
        <w:rPr>
          <w:sz w:val="20"/>
          <w:szCs w:val="20"/>
          <w:color w:val="auto"/>
        </w:rPr>
      </w:pPr>
    </w:p>
    <w:p>
      <w:pPr>
        <w:jc w:val="both"/>
        <w:ind w:right="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The Company is subject to the possibility of various loss contingencies. Considerable judgment is necessary to estimate the probability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33" w:right="259" w:bottom="0" w:gutter="0" w:footer="0" w:header="0"/>
        </w:sectPr>
      </w:pPr>
    </w:p>
    <w:bookmarkStart w:id="11" w:name="page12"/>
    <w:bookmarkEnd w:id="11"/>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is required to estimate its provision for income taxes and amounts ultimately payable or recoverable in numerous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Realizability of deferred tax assets is dependent on the Company’s ability to generate future taxable income.</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stated at the lower of average cost or market value. Cost includes labor, material and overhead costs, including product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 For example, a 5% variance in the estimated selling prices would have changed the estimated fair value of the Company’s inventory by approximately $43 million at the end of the second quarter of 2004.</w:t>
      </w:r>
    </w:p>
    <w:p>
      <w:pPr>
        <w:spacing w:after="0" w:line="19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U.S. GAAP provides for products to be grouped into categories in order to compare costs to market values. The amount of any inventory write-down can vary significantly depending on the determination of inventory categories. The Company’s inventory has been categorized as semiconductor memory or CMOS image sensors. The major characteristics the Company considers in determining inventory categories are product type and markets.</w:t>
      </w:r>
    </w:p>
    <w:p>
      <w:pPr>
        <w:spacing w:after="0" w:line="172"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Product and process technology: </w:t>
      </w:r>
      <w:r>
        <w:rPr>
          <w:rFonts w:ascii="Times New Roman" w:cs="Times New Roman" w:eastAsia="Times New Roman" w:hAnsi="Times New Roman"/>
          <w:sz w:val="18"/>
          <w:szCs w:val="18"/>
          <w:color w:val="auto"/>
        </w:rPr>
        <w:t>Costs incurred to acquire product and process technology or to patent technology developed by the Company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7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The Company reviews for impairment the carrying value of property, plant and equipment when events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83"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Costs related to the conceptual formulation and design of products and processes are expensed as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Factors</w:t>
      </w:r>
    </w:p>
    <w:p>
      <w:pPr>
        <w:spacing w:after="0" w:line="227"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experienced dramatic declines in average selling prices for our memory products which have adversely affected our business.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six of the last seven fiscal years, we experienced annual decreases in per megabit average selling prices for our semiconductor memory products as follows: 17% in 2003, 53% in 2002, 60% in 2001, 37% in 1999, 60% in 1998 and 75% in 1997. At times, average selling prices for our semiconductor products have been below our costs. If average selling prices for our memory products decrease faster than we can decrease per megabit costs, our business, results of operations or financial condition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Increased worldwide DRAM production or lack of demand for DRAM could lead to further declines in average selling prices for DRAM.</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transition to smaller line-width process technologies and 300 mm wafers in the industry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Increases in worldwide supply of DRAM, if not offset by increases in demand, could lead to further declines in average selling prices for our products and could materially adversely affect our business, results of operations or financial condition.</w:t>
      </w:r>
    </w:p>
    <w:p>
      <w:pPr>
        <w:spacing w:after="0" w:line="180"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If the growth rate of either computers sold or the amount of semiconductor memory included in each computer decreases, sales of our semiconductor products could decrease.</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are dependent on the computing market as most of the semiconductor products we sell are used in computers, servers or peripheral products. Approximately 75% of our sales of semiconductor products for the second quarter of 2004 were to the computing market. DRAMs are the most widely used semiconductor components in computers. In recent years, the growth rate of computers sold has slowed or declined. If we experience a sustained reduction in the growth rate of either computers sold or the average amount of semiconductor memory included in each computer, sales of our semiconductor products could decrease, and our business, results of operations or financial condition could be materially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generate sufficient cash flows to fund our operations and make adequate capital investments.</w:t>
      </w:r>
    </w:p>
    <w:p>
      <w:pPr>
        <w:sectPr>
          <w:pgSz w:w="11900" w:h="16838" w:orient="portrait"/>
          <w:cols w:equalWidth="0" w:num="1">
            <w:col w:w="11420"/>
          </w:cols>
          <w:pgMar w:left="240" w:top="549" w:right="239" w:bottom="0" w:gutter="0" w:footer="0" w:header="0"/>
        </w:sectPr>
      </w:pPr>
    </w:p>
    <w:bookmarkStart w:id="12" w:name="page13"/>
    <w:bookmarkEnd w:id="12"/>
    <w:p>
      <w:pPr>
        <w:spacing w:after="0" w:line="5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cash flows from operations depend primarily on the volume of semiconductor memory sold, average selling prices and per megabit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 or access capital markets for funds on acceptable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semiconductor memory industry is highly competitive.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face intense competition from a number of companies, including Elpida Memory, Inc., Hynix Semiconductor Inc., Infineon Technologies AG and Samsung Electronics Co., Ltd. Some of these competitors are large corporations or conglomerates that may have greater resources to withstand downturns in the semiconductor markets in which we compete, invest in technology and capitalize on growth opportunities. These competitors seek to increase silicon capacity, improve yields, reduce die size and minimize mask levels in their product designs. These factors have significantly increased worldwide supply and put downward pressure on prices.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Historically, various governments have provided economic assistance to international competitors, which has enabled, or artificially supported, competitors’ production of semiconductor memory, particularly DRAM. This factor is expected to lead to a continued increase in the supply of DRAM and other semiconductor products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maintain or reduce per megabit manufacturing costs at the same rate as we have in the past.</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Reduction of per megabit manufacturing costs in future periods is dependent on our ability to:</w:t>
      </w:r>
    </w:p>
    <w:p>
      <w:pPr>
        <w:spacing w:after="0" w:line="203" w:lineRule="exact"/>
        <w:rPr>
          <w:sz w:val="20"/>
          <w:szCs w:val="20"/>
          <w:color w:val="auto"/>
        </w:rPr>
      </w:pPr>
    </w:p>
    <w:p>
      <w:pPr>
        <w:ind w:left="980" w:right="340" w:hanging="324"/>
        <w:spacing w:after="0" w:line="235" w:lineRule="auto"/>
        <w:tabs>
          <w:tab w:leader="none" w:pos="97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successfully implement product and process technology improvements, including future transitions to 95 nm and smaller line-width process technologies,</w:t>
      </w:r>
    </w:p>
    <w:p>
      <w:pPr>
        <w:spacing w:after="0" w:line="224" w:lineRule="exact"/>
        <w:rPr>
          <w:rFonts w:ascii="Times New Roman" w:cs="Times New Roman" w:eastAsia="Times New Roman" w:hAnsi="Times New Roman"/>
          <w:sz w:val="22"/>
          <w:szCs w:val="22"/>
          <w:color w:val="auto"/>
        </w:rPr>
      </w:pPr>
    </w:p>
    <w:p>
      <w:pPr>
        <w:ind w:left="980" w:right="660" w:hanging="324"/>
        <w:spacing w:after="0" w:line="235" w:lineRule="auto"/>
        <w:tabs>
          <w:tab w:leader="none" w:pos="97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achieve acceptable levels of manufacturing wafer output and yields, which may decrease as we implement more complex technologies, including our transition to 300 mm wafer processing,</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ramp the latest reduced die size versions of existing devices or new generation devices and</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offset increases in per megabit manufacturing costs resulting from shifts in product mix to CMOS image sensors and lower density products.</w:t>
      </w:r>
    </w:p>
    <w:p>
      <w:pPr>
        <w:spacing w:after="0" w:line="1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successfully transition our operations to 300 mm wafer processing at the appropriate time, our business, results of operations or financial condition could be materially adversely affected.</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in the past reduced our per megabit manufacturing costs by transitioning to larger wafer sizes. By transitioning to larger wafers, we should be able to produce significantly more die for each wafer, ultimately resulting in substantially reduced costs for each die. Our transition to 300 mm wafer processing across a significant portion of our operations will require us to make substantial capital investments, which will depend on our ability to generate funds from operations or to obtain additional funds from external sources. We may also experience disruptions in manufacturing operations and reduced yields during our transition to larger wafer sizes. If we are unable to successfully transition to 300 mm wafer processing at the appropriate time, we could be at a cost disadvantage with respect to our competitors and our business, results of operations or financial condition could be materially adversely affected.</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any one of our major computing customers significantly reduces its purchases of DRAM from us, our business, results of operations or financial condition could be materially adversely affected.</w:t>
      </w:r>
    </w:p>
    <w:p>
      <w:pPr>
        <w:spacing w:after="0" w:line="15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Aggregate sales to two of our computing customers approximated 27% of our net sales for the second quarter of 2004. If any one of our major computing customers significantly reduces its purchases of DRAM from us, our business, results of operations or financial condition could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could materially adversely affect our business, results of operations or financial condition.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are prepared in accordance with U.S. GAAP and are reported in U.S. dollars. Across the Company’s multi-national operations there are transactions and balances denominated in other currencies, primarily the Japanese yen and euro. In the event that the U.S. dollar weakens significantly compared to the Japanese yen or euro, reported results of operations or financial condition will be adversely affected.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economic and political conditions may harm our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business, results of operations or financial condition could be materially adversely affected. If, for any reason, we are unable to access the capital markets over an extended period of time, we may be unable to make property, plant and equipment expenditures, implement our research and development efforts or fund our operations, which could materially adversely affect our business, results of operations or financial condition.</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our TECH joint venture experiences financial difficulty, or if our supply of semiconductor products from TECH is disrupted, our business, results of operations or financial condition could be materially adversely affected.</w:t>
      </w:r>
    </w:p>
    <w:p>
      <w:pPr>
        <w:sectPr>
          <w:pgSz w:w="11900" w:h="16896" w:orient="portrait"/>
          <w:cols w:equalWidth="0" w:num="1">
            <w:col w:w="11380"/>
          </w:cols>
          <w:pgMar w:left="240" w:top="121" w:right="279" w:bottom="0" w:gutter="0" w:footer="0" w:header="0"/>
        </w:sectPr>
      </w:pPr>
    </w:p>
    <w:bookmarkStart w:id="13" w:name="page14"/>
    <w:bookmarkEnd w:id="13"/>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TECH supplied approximately 30% of our total megabits of memory produced in the second quarter of 2004. We have agreements to purchase all of the products manufactured by TECH subject to specific terms and conditions. In recent periods, we have realized higher margins on products purchased from TECH than products manufactured by our wholly-owned facilities. Any reduction in supply could materially adversely affect our business, results of operations or financial condition.</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pledged $100 million as cash collateral for TECH’s credit facility. In the event the cash collateral is used to discharge obligations of TECH that are unpaid and due under the TECH credit facility, certain shareholders of TECH have agreed to indemnify us for approximately one-half of the amount of the cash collateral used to satisfy such obligations. As of March 4, 2004, we had remaining unamortized costs of $67.8 million in intangible assets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respond to customer demand for diversified semiconductor memory products or are unable to do so in a cost-effective manner, we may lose market share and our business, results of operations or financial condition could be materially adversely affected.</w:t>
      </w:r>
    </w:p>
    <w:p>
      <w:pPr>
        <w:spacing w:after="0" w:line="15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In recent periods, the semiconductor memory market has become increasingly segmented, with diverse memory needs being driven by the different requirements of desktop and notebook computers, servers, workstations, handheld devices, and communications, industrial and other applications that demand specific memory solutions. We offer customers a variety of products, including DDR, SDRAM, EDO, DDR2, Flash, PSRAM and CMOS image sensors.</w:t>
      </w:r>
    </w:p>
    <w:p>
      <w:pPr>
        <w:spacing w:after="0" w:line="180"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business, results of operations or financial condition could be materially adversely affected.</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59"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As is typical in the semiconductor and other high technology industries, from time to time, others have asserted, and may in the future assert, that our products or manufacturing processes infringe their intellectual property rights. We are currently engaged in litigation with Rambus, Inc. (“Rambus”) relating to certain of Rambus’ patents and certain of our claims and defenses. On February 1, 2001, we filed a complaint (amended) against Rambus in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currently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us and Reptronic (a distributor of our products) in Court of First Instance of Paris, France;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On August 10, 2001, Rambus filed suit against us and Assitec (an electronics retailer) in the Civil Court of Pavia, Italy, alleging that certain DDR SDRAM products infringe the Italian counterpart to European patent 1 022</w:t>
      </w:r>
    </w:p>
    <w:p>
      <w:pPr>
        <w:spacing w:after="0" w:line="12" w:lineRule="exact"/>
        <w:rPr>
          <w:sz w:val="20"/>
          <w:szCs w:val="20"/>
          <w:color w:val="auto"/>
        </w:rPr>
      </w:pPr>
    </w:p>
    <w:p>
      <w:pPr>
        <w:ind w:right="40" w:firstLine="8"/>
        <w:spacing w:after="0" w:line="254" w:lineRule="auto"/>
        <w:tabs>
          <w:tab w:leader="none" w:pos="4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European suits against us, Rambus is seeking monetary damages and injunctive relief. We are unable to predict the outcome of these suits.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86"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Allegations of anticompetitive practices.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Subsequent to the commencement of the DOJ investigation, a number of purported class action lawsuits were filed against us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monetary damages, costs,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attorneys’ fees, and an injunction against the allegedly unlawful conduct. The foregoing federal district court cases were transferred to the U.S. District Court for the Northern District of California (San Francisco) for consolidated proceedings. On October 6, 2003, the plaintiffs filed a consolidated amended class action complaint. The consolidated amended complaint purports to be on behalf of a class of individuals and entities who purchased 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 Eight additional cases were filed between August 2, 2002, and March 11, 2003, in the following California state superior courts: five in San Francisco County, one in Santa Clara County, one in Los Angeles County and one in Humboldt County. Each of the California state cases purports to be</w:t>
      </w:r>
    </w:p>
    <w:p>
      <w:pPr>
        <w:sectPr>
          <w:pgSz w:w="11900" w:h="16838" w:orient="portrait"/>
          <w:cols w:equalWidth="0" w:num="1">
            <w:col w:w="11420"/>
          </w:cols>
          <w:pgMar w:left="240" w:top="337" w:right="239" w:bottom="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A case was filed on March 16, 2004 in state court in Salem, Massachusetts. It purports to be on behalf of a class of individuals and entities who indirectly purchased DRAM in Massachusetts between November 1, 2001 and June 30, 2002. The complaint alleges unjust enrichment relating to the sale and pricing of DRAM products and seeks an unspecified amount of restitution.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We can give no assurance that the final resolution will not result in significant liability and will not have a material adverse effect on our business,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Allegations of anticompetitive practices.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Subsequent to the commencement of the DOJ investigation, a number of purported class action lawsuits were filed against us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monetary damages, costs, attorneys’ fees, and an injunction against the allegedly unlawful conduct. The foregoing federal district court cases were transferred to the U.S. District Court for the Northern District of California (San Francisco) for consolidated proceedings. On October 6, 2003, the plaintiffs filed a consolidated amended class action complaint. The consolidated amended complaint purports to be on behalf of a class of individuals and entities who purchased 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Eight additional cases were filed between August 2, 2002, and March 11, 2003, in the following California state superior courts: five in San Francisco County, one in Santa Clara County, one in Los Angeles County and one in Humboldt County. Each of the California 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An additional case was filed on March 16, 2004 in state court in Salem, Massachusetts. It purports to be on behalf of a class of individuals and entities who indirectly purchased DRAM in Massachusetts between November 1, 2001 and June 30, 2002. The complaint alleges unjust enrichment relating to the sale and pricing of DRAM products and seeks an unspecified amount of restitution.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We can give no assurance that the final resolution will not result in significant liability and will not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Depressed pricing for semiconductor memory products may lead to future losses and inventory write-downs.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recorded inventory write-downs aggregating $307.0 million in 2003, $376.1 million in 2002 and $726.9 million in 2001 as a result of the significant decreases in average selling prices for our semiconductor memory products. If average selling prices are below our costs in future periods, we would expect to incur losses on product sales and our business, results of operations or financial condition could be materially adversely affected. If the estimated market values of products held in finished goods and work in process inventories at a quarter end date are below the manufacturing cost of these products, we recognize charges to cost of goods sold to write down the carrying value of our inventories to market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product development may be unsuccessful.</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We face risks associated with our international sales and operations that could materially adversely affect our business, results of operations or financial condition.</w:t>
      </w:r>
    </w:p>
    <w:p>
      <w:pPr>
        <w:spacing w:after="0" w:line="15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Sales to customers outside the United States approximated 57% of our consolidated net sales for the second quarter of 2004. In addition, we have manufacturing operations in Italy, Japan, Puerto Rico, Scotland and Singapore. Our international sales and operations are subject to a variety of risks, including:</w:t>
      </w:r>
    </w:p>
    <w:p>
      <w:pPr>
        <w:spacing w:after="0" w:line="18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currency exchange rate fluctuations,</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export duties, changes to import and export regulations, and restrictions on the transfer of funds,</w:t>
      </w:r>
    </w:p>
    <w:p>
      <w:pPr>
        <w:sectPr>
          <w:pgSz w:w="11900" w:h="16838" w:orient="portrait"/>
          <w:cols w:equalWidth="0" w:num="1">
            <w:col w:w="11400"/>
          </w:cols>
          <w:pgMar w:left="240" w:top="121" w:right="259" w:bottom="0" w:gutter="0" w:footer="0" w:header="0"/>
        </w:sectPr>
      </w:pPr>
    </w:p>
    <w:bookmarkStart w:id="15" w:name="page16"/>
    <w:bookmarkEnd w:id="15"/>
    <w:p>
      <w:pPr>
        <w:ind w:left="980" w:hanging="324"/>
        <w:spacing w:after="0"/>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political and economic instability,</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problems with the transportation or delivery of our products,</w:t>
      </w:r>
    </w:p>
    <w:p>
      <w:pPr>
        <w:spacing w:after="0" w:line="224" w:lineRule="exact"/>
        <w:rPr>
          <w:rFonts w:ascii="Times New Roman" w:cs="Times New Roman" w:eastAsia="Times New Roman" w:hAnsi="Times New Roman"/>
          <w:sz w:val="22"/>
          <w:szCs w:val="22"/>
          <w:color w:val="auto"/>
        </w:rPr>
      </w:pPr>
    </w:p>
    <w:p>
      <w:pPr>
        <w:ind w:left="5620" w:right="5460" w:hanging="4964"/>
        <w:spacing w:after="0" w:line="479" w:lineRule="auto"/>
        <w:tabs>
          <w:tab w:leader="none" w:pos="97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issues arising from cultural or language differences and labor unrest, 22</w:t>
      </w:r>
    </w:p>
    <w:p>
      <w:pPr>
        <w:spacing w:after="0" w:line="37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longer payment cycles and greater difficulty in collecting accounts receivable, and</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compliance with trade and other laws in a variety of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-790575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manufacturing process is disrupted, our business, results of operations or financial condition could be materially adversely affected.</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achieve certain milestones, we could be obligated to pay Intel Corporation amounts up to $135 million.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issuance of stock rights to Intel in September 2003, we agreed to achieve operational objectives through May 2005, including certain levels of DDR2 production and 300 mm wafer processing capacity, and dedication of resources to advanced product development. If we fail to achieve certain 2005 milestones and our common stock price is then below Intel’s purchase price of $13.29, we could be obligated to pay Intel amounts up to $135 million, a substantial portion of which is payable, at our election, in our common stock.</w:t>
      </w:r>
    </w:p>
    <w:p>
      <w:pPr>
        <w:spacing w:after="0" w:line="176"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3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188"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replace product or otherwise compensate customers for costs incurred or damages caused by defective or incompatible product, and</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encounter adverse publicity, which could cause a decrease in sales of our products.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to make future acquisitions where we believe it is advisable to enhance our market position. Acquisitions involve numerous risks, including:</w:t>
      </w:r>
    </w:p>
    <w:p>
      <w:pPr>
        <w:spacing w:after="0" w:line="23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increasing our exposure to changes in average selling prices for semiconductor memory products,</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difficulties in integrating the operations, technologies and products of the acquired companies,</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increasing capital expenditures to upgrade and maintain facilities,</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increasing debt to finance any acquisition,</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diverting management’s attention from normal daily operations,</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managing larger operations and facilities and employees in separate geographic areas, and</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hiring and retaining key employees.</w:t>
      </w:r>
    </w:p>
    <w:p>
      <w:pPr>
        <w:sectPr>
          <w:pgSz w:w="11900" w:h="16838" w:orient="portrait"/>
          <w:cols w:equalWidth="0" w:num="1">
            <w:col w:w="11380"/>
          </w:cols>
          <w:pgMar w:left="240" w:top="130" w:right="279" w:bottom="0" w:gutter="0" w:footer="0" w:header="0"/>
        </w:sectPr>
      </w:pPr>
    </w:p>
    <w:bookmarkStart w:id="16" w:name="page17"/>
    <w:bookmarkEnd w:id="16"/>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investments are at fixed interest rates; therefore, the fair value of these instruments is affected by changes in market interest rates. The Company believes that the market risk arising from its holdings of investments is minimal as the Company’s investments generally mature within one year.</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All of the Company’s debt is at fixed interest rates; therefore, the fair value of the debt fluctuates based on changes in market interest rates. The estimated fair market value of the Company’s debt as of March 4, 2004 and August 28, 2003, approximated $1.5 billion and $1.3 billion, respectively. The Company entered into an interest rate swap agreement (the “Swap”) that effectively converted, beginning August 29, 2003, the 2.5% fixed interest rate on the Company’s $632.5 million Convertible Subordinated Notes (the “Notes”) to a variable interest rate based on the 3-month London Interbank Offering Rate (“LIBOR”) less 65 basis points. The Swap qualifies as a fair-value hedge under SFAS No. 133, “Accounting for Derivative Instruments and Hedging Activities.” The gain or loss from changes in the fair value of the Swap is expected to be highly effective at offsetting the gain or loss from changes in the fair value of the Notes attributable to changes in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right="380" w:firstLine="324"/>
        <w:spacing w:after="0" w:line="255" w:lineRule="auto"/>
        <w:rPr>
          <w:sz w:val="20"/>
          <w:szCs w:val="20"/>
          <w:color w:val="auto"/>
        </w:rPr>
      </w:pPr>
      <w:r>
        <w:rPr>
          <w:rFonts w:ascii="Times New Roman" w:cs="Times New Roman" w:eastAsia="Times New Roman" w:hAnsi="Times New Roman"/>
          <w:sz w:val="18"/>
          <w:szCs w:val="18"/>
          <w:color w:val="auto"/>
        </w:rPr>
        <w:t>The functional currency for substantially all of the Company’s operations is the U.S. dollar. The Company held aggregate cash and other assets in foreign currency valued at U.S. $184.9 million as of March 4, 2004, and U.S. $203.1 million as of August 28, 2003 (including deferred income tax assets denominated in Japanese yen valued at U.S. $85.0 million as of March 4, 2004, and U.S. $105.4 million as of August 28, 2003). The Company also held aggregate foreign currency liabilities valued at U.S. $442.4 million as of March 4, 2004, and U.S. $513.2 million as of August 28, 2003 (including debt denominated in Japanese yen valued at U.S. $144.1 million as of March 4, 2004, and U.S. $170.5 million as of August 28, 2003). Foreign currency receivables and payables as of March 4, 2004, were comprised primarily of Japanese yen, euros, Singapore dollars and British pounds. The Company estimates that, based on its assets and liabilities denominated in currencies other than U.S. dollar as of March 4, 2004, a 1% change in the exchange rate versus the U.S. dollar would result in foreign currency gains or losses of approximately $2 million for the Japanese yen and $1 million for the euro.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the Company’s management, including its Chief Executive Officer and Chief Financial Officer, of the effectiveness of the design and operation of the Company’s disclosure controls and procedures (as defined in Rule 13a-14 and 15d-14 under the Securities Exchange Act of 1934) as of the end of the period covered by this report. Based upon that evaluation, the Chief Executive Officer and Chief Financial Officer concluded that those disclosure controls and procedures were effective to ensure that material information required to be disclosed by the Company in the reports that it files or submits under the Exchange Act is recorded, processed, summarized and reported, within the time periods specified in the Commission’s rules and forms.</w:t>
      </w:r>
    </w:p>
    <w:p>
      <w:pPr>
        <w:spacing w:after="0" w:line="18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quarterly period covered by this report, there were no significant changes in the Company’s internal controls over financial reporting that have materially affected, or are reasonably likely to materially affect, the Company’s internal controls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1, 2001, the Company filed a complaint (amended) against Rambus, Inc. (“Rambus”) in U.S. District Court for the District of Delaware seeking monetary damages and declaratory and injunctive relief. Among other things, the Company’s amended complaint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the Company and Reptronic (a distributor of our products) in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In the European suits against the Company, Rambus is seeking monetary damages and injunctive relief. The Company is unable to predict the outcome of these suits.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9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w:t>
      </w:r>
    </w:p>
    <w:p>
      <w:pPr>
        <w:sectPr>
          <w:pgSz w:w="11900" w:h="16838" w:orient="portrait"/>
          <w:cols w:equalWidth="0" w:num="1">
            <w:col w:w="11420"/>
          </w:cols>
          <w:pgMar w:left="240" w:top="121" w:right="239" w:bottom="0" w:gutter="0" w:footer="0" w:header="0"/>
        </w:sectPr>
      </w:pPr>
    </w:p>
    <w:bookmarkStart w:id="17" w:name="page18"/>
    <w:bookmarkEnd w:id="17"/>
    <w:p>
      <w:pPr>
        <w:ind w:right="100"/>
        <w:spacing w:after="0" w:line="255" w:lineRule="auto"/>
        <w:rPr>
          <w:sz w:val="20"/>
          <w:szCs w:val="20"/>
          <w:color w:val="auto"/>
        </w:rPr>
      </w:pPr>
      <w:r>
        <w:rPr>
          <w:rFonts w:ascii="Times New Roman" w:cs="Times New Roman" w:eastAsia="Times New Roman" w:hAnsi="Times New Roman"/>
          <w:sz w:val="18"/>
          <w:szCs w:val="18"/>
          <w:color w:val="auto"/>
        </w:rPr>
        <w:t>Access Memory” or “DRAM” industry. The Company is cooperating fully and actively with the DOJ in its investigation.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monetary damages, costs, attorneys’ fees, and an injunction against the allegedly unlawful conduct.</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foregoing federal district court cases were transferred to the U.S. District Court for the Northern District of California (San Francisco) for consolidated proceedings. On October 6, 2003, the plaintiffs filed a consolidated amended class action complaint. The consolidated amended complaint purports to be on behalf of a class of individuals and entities who purchased 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 Eight additional cases were filed between August 2, 2002, and March 11, 2003, in the following California state superior courts: five in San Francisco County, one in Santa Clara County, one in Los Angeles County and one in Humboldt County. Each of the California 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2002. The consolidated amended complaint alleges violations of California’s Cartwright Act and state unfair competition law and unjust enrichment and seeks treble monetary damages, costs, attorneys’ fees, and an injunction against the allegedly unlawful conduct. A case was filed on March 16, 2004 in state court in Salem, Massachusetts. It purports to be on behalf of a class of individuals and entities who indirectly purchased DRAM in Massachusetts between November 1, 2001 and June 30, 2002. The complaint alleges unjust enrichment relating to the sale and pricing of DRAM products and seeks an unspecified amount of restitution.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Company can give no assurance that the final resolution will not result in significant liability and will not have a material adverse effect on the Company’s business, results of operations or financial condition.</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Certain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 and Reports on Form 8-K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are filed as a part of this report:</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160" w:type="dxa"/>
            <w:vAlign w:val="bottom"/>
            <w:vMerge w:val="restart"/>
          </w:tcPr>
          <w:p>
            <w:pPr>
              <w:ind w:left="39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88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9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Restated Certificate of Incorporation of the Registrant (1)</w:t>
            </w:r>
          </w:p>
        </w:tc>
        <w:tc>
          <w:tcPr>
            <w:tcW w:w="0" w:type="dxa"/>
            <w:vAlign w:val="bottom"/>
          </w:tcPr>
          <w:p>
            <w:pPr>
              <w:spacing w:after="0"/>
              <w:rPr>
                <w:sz w:val="1"/>
                <w:szCs w:val="1"/>
                <w:color w:val="auto"/>
              </w:rPr>
            </w:pPr>
          </w:p>
        </w:tc>
      </w:tr>
      <w:tr>
        <w:trPr>
          <w:trHeight w:val="216"/>
        </w:trPr>
        <w:tc>
          <w:tcPr>
            <w:tcW w:w="8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Bylaws of the Registrant, as amended (2)</w:t>
            </w:r>
          </w:p>
        </w:tc>
        <w:tc>
          <w:tcPr>
            <w:tcW w:w="0" w:type="dxa"/>
            <w:vAlign w:val="bottom"/>
          </w:tcPr>
          <w:p>
            <w:pPr>
              <w:spacing w:after="0"/>
              <w:rPr>
                <w:sz w:val="1"/>
                <w:szCs w:val="1"/>
                <w:color w:val="auto"/>
              </w:rPr>
            </w:pPr>
          </w:p>
        </w:tc>
      </w:tr>
      <w:tr>
        <w:trPr>
          <w:trHeight w:val="216"/>
        </w:trPr>
        <w:tc>
          <w:tcPr>
            <w:tcW w:w="8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8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8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216"/>
        </w:trPr>
        <w:tc>
          <w:tcPr>
            <w:tcW w:w="8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Quarterly Report on Form 10-Q for the fiscal quarter ended May 31, 2001</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Quarterly Report on Form 10-Q for the fiscal quarter ended May 29, 2003</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66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filed the following reports on Form 8-K during the fiscal quarter ended March 4, 2004: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5"/>
                <w:szCs w:val="15"/>
                <w:color w:val="auto"/>
              </w:rPr>
            </w:pPr>
          </w:p>
        </w:tc>
        <w:tc>
          <w:tcPr>
            <w:tcW w:w="6760" w:type="dxa"/>
            <w:vAlign w:val="bottom"/>
            <w:tcBorders>
              <w:bottom w:val="single" w:sz="8" w:color="auto"/>
            </w:tcBorders>
          </w:tcPr>
          <w:p>
            <w:pPr>
              <w:jc w:val="right"/>
              <w:ind w:right="3168"/>
              <w:spacing w:after="0"/>
              <w:rPr>
                <w:sz w:val="20"/>
                <w:szCs w:val="20"/>
                <w:color w:val="auto"/>
              </w:rPr>
            </w:pPr>
            <w:r>
              <w:rPr>
                <w:rFonts w:ascii="Times New Roman" w:cs="Times New Roman" w:eastAsia="Times New Roman" w:hAnsi="Times New Roman"/>
                <w:sz w:val="14"/>
                <w:szCs w:val="14"/>
                <w:b w:val="1"/>
                <w:bCs w:val="1"/>
                <w:color w:val="auto"/>
              </w:rPr>
              <w:t>Item</w:t>
            </w:r>
          </w:p>
        </w:tc>
        <w:tc>
          <w:tcPr>
            <w:tcW w:w="1000" w:type="dxa"/>
            <w:vAlign w:val="bottom"/>
          </w:tcPr>
          <w:p>
            <w:pPr>
              <w:spacing w:after="0"/>
              <w:rPr>
                <w:sz w:val="15"/>
                <w:szCs w:val="15"/>
                <w:color w:val="auto"/>
              </w:rPr>
            </w:pPr>
          </w:p>
        </w:tc>
      </w:tr>
      <w:tr>
        <w:trPr>
          <w:trHeight w:val="210"/>
        </w:trPr>
        <w:tc>
          <w:tcPr>
            <w:tcW w:w="1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23, 2003</w:t>
            </w:r>
          </w:p>
        </w:tc>
        <w:tc>
          <w:tcPr>
            <w:tcW w:w="6960" w:type="dxa"/>
            <w:vAlign w:val="bottom"/>
            <w:gridSpan w:val="2"/>
            <w:shd w:val="clear" w:color="auto" w:fill="CCEEFF"/>
          </w:tcPr>
          <w:p>
            <w:pPr>
              <w:jc w:val="right"/>
              <w:ind w:right="1688"/>
              <w:spacing w:after="0"/>
              <w:rPr>
                <w:sz w:val="20"/>
                <w:szCs w:val="20"/>
                <w:color w:val="auto"/>
              </w:rPr>
            </w:pPr>
            <w:r>
              <w:rPr>
                <w:rFonts w:ascii="Times New Roman" w:cs="Times New Roman" w:eastAsia="Times New Roman" w:hAnsi="Times New Roman"/>
                <w:sz w:val="18"/>
                <w:szCs w:val="18"/>
                <w:color w:val="auto"/>
              </w:rPr>
              <w:t>Item 12, Disclosure of Results of Operations and Financial Condition</w:t>
            </w:r>
          </w:p>
        </w:tc>
        <w:tc>
          <w:tcPr>
            <w:tcW w:w="100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960" w:type="dxa"/>
            <w:vAlign w:val="bottom"/>
            <w:gridSpan w:val="2"/>
          </w:tcPr>
          <w:p>
            <w:pPr>
              <w:jc w:val="right"/>
              <w:ind w:right="4568"/>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tcPr>
          <w:p>
            <w:pPr>
              <w:spacing w:after="0"/>
              <w:rPr>
                <w:sz w:val="24"/>
                <w:szCs w:val="24"/>
                <w:color w:val="auto"/>
              </w:rPr>
            </w:pPr>
          </w:p>
        </w:tc>
      </w:tr>
      <w:tr>
        <w:trPr>
          <w:trHeight w:val="105"/>
        </w:trPr>
        <w:tc>
          <w:tcPr>
            <w:tcW w:w="13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7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37903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19, 2004</w:t>
            </w: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 G. Stover, Jr.</w:t>
            </w:r>
          </w:p>
        </w:tc>
        <w:tc>
          <w:tcPr>
            <w:tcW w:w="20" w:type="dxa"/>
            <w:vAlign w:val="bottom"/>
          </w:tcPr>
          <w:p>
            <w:pPr>
              <w:spacing w:after="0"/>
              <w:rPr>
                <w:sz w:val="20"/>
                <w:szCs w:val="20"/>
                <w:color w:val="auto"/>
              </w:rPr>
            </w:pPr>
          </w:p>
        </w:tc>
      </w:tr>
      <w:tr>
        <w:trPr>
          <w:trHeight w:val="191"/>
        </w:trPr>
        <w:tc>
          <w:tcPr>
            <w:tcW w:w="5460" w:type="dxa"/>
            <w:vAlign w:val="bottom"/>
          </w:tcPr>
          <w:p>
            <w:pPr>
              <w:spacing w:after="0"/>
              <w:rPr>
                <w:sz w:val="16"/>
                <w:szCs w:val="16"/>
                <w:color w:val="auto"/>
              </w:rPr>
            </w:pPr>
          </w:p>
        </w:tc>
        <w:tc>
          <w:tcPr>
            <w:tcW w:w="5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 G. Stover, Jr., Vice President of Finance and</w:t>
            </w:r>
          </w:p>
        </w:tc>
        <w:tc>
          <w:tcPr>
            <w:tcW w:w="2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r>
      <w:tr>
        <w:trPr>
          <w:trHeight w:val="105"/>
        </w:trPr>
        <w:tc>
          <w:tcPr>
            <w:tcW w:w="5460" w:type="dxa"/>
            <w:vAlign w:val="bottom"/>
            <w:tcBorders>
              <w:bottom w:val="single" w:sz="8" w:color="808080"/>
            </w:tcBorders>
          </w:tcPr>
          <w:p>
            <w:pPr>
              <w:spacing w:after="0"/>
              <w:rPr>
                <w:sz w:val="9"/>
                <w:szCs w:val="9"/>
                <w:color w:val="auto"/>
              </w:rPr>
            </w:pPr>
          </w:p>
        </w:tc>
        <w:tc>
          <w:tcPr>
            <w:tcW w:w="5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Micron Technology, Inc.;</w:t>
      </w:r>
    </w:p>
    <w:p>
      <w:pPr>
        <w:spacing w:after="0" w:line="22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quarterly report (the “Evaluation Date”);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quarterly report our conclusions about the effectiveness of the disclosure controls and procedures based on our evaluation as of the Evaluation Date;</w:t>
      </w:r>
    </w:p>
    <w:p>
      <w:pPr>
        <w:spacing w:after="0" w:line="16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and</w:t>
      </w:r>
    </w:p>
    <w:p>
      <w:pPr>
        <w:spacing w:after="0" w:line="225" w:lineRule="exact"/>
        <w:rPr>
          <w:rFonts w:ascii="Times New Roman" w:cs="Times New Roman" w:eastAsia="Times New Roman" w:hAnsi="Times New Roman"/>
          <w:sz w:val="18"/>
          <w:szCs w:val="18"/>
          <w:color w:val="auto"/>
        </w:rPr>
      </w:pPr>
    </w:p>
    <w:p>
      <w:pPr>
        <w:jc w:val="both"/>
        <w:ind w:left="340" w:right="60" w:hanging="332"/>
        <w:spacing w:after="0" w:line="266" w:lineRule="auto"/>
        <w:tabs>
          <w:tab w:leader="none" w:pos="3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19, 2004</w:t>
      </w:r>
    </w:p>
    <w:p>
      <w:pPr>
        <w:spacing w:after="0" w:line="22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Steven R. Appleton</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Wilbur G. Stover, Jr., certify that:</w:t>
      </w:r>
    </w:p>
    <w:p>
      <w:pPr>
        <w:spacing w:after="0" w:line="225"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Micron Technology, Inc.;</w:t>
      </w:r>
    </w:p>
    <w:p>
      <w:pPr>
        <w:spacing w:after="0" w:line="22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quarterly report (the “Evaluation Date”);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quarterly report our conclusions about the effectiveness of the disclosure controls and procedures based on our evaluation as of the Evaluation Date;</w:t>
      </w:r>
    </w:p>
    <w:p>
      <w:pPr>
        <w:spacing w:after="0" w:line="16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and</w:t>
      </w:r>
    </w:p>
    <w:p>
      <w:pPr>
        <w:spacing w:after="0" w:line="225" w:lineRule="exact"/>
        <w:rPr>
          <w:rFonts w:ascii="Times New Roman" w:cs="Times New Roman" w:eastAsia="Times New Roman" w:hAnsi="Times New Roman"/>
          <w:sz w:val="18"/>
          <w:szCs w:val="18"/>
          <w:color w:val="auto"/>
        </w:rPr>
      </w:pPr>
    </w:p>
    <w:p>
      <w:pPr>
        <w:jc w:val="both"/>
        <w:ind w:left="340" w:right="60" w:hanging="332"/>
        <w:spacing w:after="0" w:line="266" w:lineRule="auto"/>
        <w:tabs>
          <w:tab w:leader="none" w:pos="3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19, 2004</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 W. G. Stover, Jr.</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-130810</wp:posOffset>
            </wp:positionV>
            <wp:extent cx="39960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 Steven R. Appleton, certify, pursuant to 18 U.S.C. Section 1350, as adopted pursuant to Section 906 of the Sarbanes-Oxley Act of 2002, that the Quarterly Report of Micron Technology, Inc. on Form 10-Q for the period ended March 4, 2004,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19, 2004</w:t>
            </w:r>
          </w:p>
        </w:tc>
        <w:tc>
          <w:tcPr>
            <w:tcW w:w="32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R. Appleton</w:t>
            </w:r>
          </w:p>
        </w:tc>
        <w:tc>
          <w:tcPr>
            <w:tcW w:w="20" w:type="dxa"/>
            <w:vAlign w:val="bottom"/>
          </w:tcPr>
          <w:p>
            <w:pPr>
              <w:spacing w:after="0"/>
              <w:rPr>
                <w:sz w:val="20"/>
                <w:szCs w:val="20"/>
                <w:color w:val="auto"/>
              </w:rPr>
            </w:pPr>
          </w:p>
        </w:tc>
      </w:tr>
      <w:tr>
        <w:trPr>
          <w:trHeight w:val="191"/>
        </w:trPr>
        <w:tc>
          <w:tcPr>
            <w:tcW w:w="38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R. Appleton</w:t>
            </w:r>
          </w:p>
        </w:tc>
        <w:tc>
          <w:tcPr>
            <w:tcW w:w="2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w:t>
            </w:r>
          </w:p>
        </w:tc>
        <w:tc>
          <w:tcPr>
            <w:tcW w:w="2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and President</w:t>
            </w:r>
          </w:p>
        </w:tc>
        <w:tc>
          <w:tcPr>
            <w:tcW w:w="20" w:type="dxa"/>
            <w:vAlign w:val="bottom"/>
          </w:tcPr>
          <w:p>
            <w:pPr>
              <w:spacing w:after="0"/>
              <w:rPr>
                <w:sz w:val="20"/>
                <w:szCs w:val="20"/>
                <w:color w:val="auto"/>
              </w:rPr>
            </w:pPr>
          </w:p>
        </w:tc>
      </w:tr>
      <w:tr>
        <w:trPr>
          <w:trHeight w:val="321"/>
        </w:trPr>
        <w:tc>
          <w:tcPr>
            <w:tcW w:w="382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2" w:name="page23"/>
    <w:bookmarkEnd w:id="22"/>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 W. G. Stover, Jr., certify, pursuant to 18 U.S.C. Section 1350, as adopted pursuant to Section 906 of the Sarbanes-Oxley Act of 2002, that the Quarterly Report of Micron Technology, Inc. on Form 10-Q for the period ended March 4, 2004,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19, 2004</w:t>
            </w:r>
          </w:p>
        </w:tc>
        <w:tc>
          <w:tcPr>
            <w:tcW w:w="32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 G. Stover, Jr.</w:t>
            </w:r>
          </w:p>
        </w:tc>
        <w:tc>
          <w:tcPr>
            <w:tcW w:w="20" w:type="dxa"/>
            <w:vAlign w:val="bottom"/>
          </w:tcPr>
          <w:p>
            <w:pPr>
              <w:spacing w:after="0"/>
              <w:rPr>
                <w:sz w:val="20"/>
                <w:szCs w:val="20"/>
                <w:color w:val="auto"/>
              </w:rPr>
            </w:pPr>
          </w:p>
        </w:tc>
      </w:tr>
      <w:tr>
        <w:trPr>
          <w:trHeight w:val="191"/>
        </w:trPr>
        <w:tc>
          <w:tcPr>
            <w:tcW w:w="38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 G. Stover, Jr.</w:t>
            </w:r>
          </w:p>
        </w:tc>
        <w:tc>
          <w:tcPr>
            <w:tcW w:w="2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and</w:t>
            </w:r>
          </w:p>
        </w:tc>
        <w:tc>
          <w:tcPr>
            <w:tcW w:w="2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382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642"/>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2019-12-13T13:17:42Z</dcterms:created>
  <dcterms:modified xsi:type="dcterms:W3CDTF">2019-12-13T13:17:42Z</dcterms:modified>
</cp:coreProperties>
</file>