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80"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392" w:lineRule="exact"/>
        <w:rPr>
          <w:sz w:val="24"/>
          <w:szCs w:val="24"/>
          <w:color w:val="auto"/>
        </w:rPr>
      </w:pPr>
    </w:p>
    <w:p>
      <w:pPr>
        <w:ind w:left="1680" w:hanging="930"/>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20"/>
          </w:cols>
          <w:pgMar w:left="320" w:top="1237" w:right="359" w:bottom="1440" w:gutter="0" w:footer="0" w:header="0"/>
        </w:sectPr>
      </w:pPr>
    </w:p>
    <w:p>
      <w:pPr>
        <w:spacing w:after="0" w:line="117" w:lineRule="exact"/>
        <w:rPr>
          <w:sz w:val="24"/>
          <w:szCs w:val="24"/>
          <w:color w:val="auto"/>
        </w:rPr>
      </w:pPr>
    </w:p>
    <w:p>
      <w:pPr>
        <w:ind w:left="39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17" w:lineRule="exact"/>
        <w:rPr>
          <w:sz w:val="24"/>
          <w:szCs w:val="24"/>
          <w:color w:val="auto"/>
        </w:rPr>
      </w:pPr>
    </w:p>
    <w:p>
      <w:pPr>
        <w:sectPr>
          <w:pgSz w:w="11900" w:h="16838" w:orient="portrait"/>
          <w:cols w:equalWidth="0" w:num="2">
            <w:col w:w="6500" w:space="600"/>
            <w:col w:w="4120"/>
          </w:cols>
          <w:pgMar w:left="320" w:top="1237"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61595</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239"/>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2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25"/>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4"/>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100" w:type="dxa"/>
            <w:vAlign w:val="bottom"/>
          </w:tcPr>
          <w:p>
            <w:pPr>
              <w:spacing w:after="0"/>
              <w:rPr>
                <w:sz w:val="19"/>
                <w:szCs w:val="19"/>
                <w:color w:val="auto"/>
              </w:rPr>
            </w:pPr>
          </w:p>
        </w:tc>
        <w:tc>
          <w:tcPr>
            <w:tcW w:w="4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Common Stock, par value $0.10 per share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3840" w:type="dxa"/>
            <w:vAlign w:val="bottom"/>
            <w:gridSpan w:val="2"/>
          </w:tcPr>
          <w:p>
            <w:pPr>
              <w:jc w:val="center"/>
              <w:ind w:left="690"/>
              <w:spacing w:after="0"/>
              <w:rPr>
                <w:sz w:val="20"/>
                <w:szCs w:val="20"/>
                <w:color w:val="auto"/>
              </w:rPr>
            </w:pPr>
            <w:r>
              <w:rPr>
                <w:rFonts w:ascii="Arial" w:cs="Arial" w:eastAsia="Arial" w:hAnsi="Arial"/>
                <w:sz w:val="18"/>
                <w:szCs w:val="18"/>
                <w:color w:val="auto"/>
                <w:w w:val="99"/>
              </w:rPr>
              <w:t>Nasdaq Global Select Market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952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9520" w:type="dxa"/>
            <w:vAlign w:val="bottom"/>
            <w:gridSpan w:val="6"/>
          </w:tcPr>
          <w:p>
            <w:pPr>
              <w:spacing w:after="0" w:line="176"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520" w:type="dxa"/>
            <w:vAlign w:val="bottom"/>
            <w:gridSpan w:val="6"/>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8"/>
        </w:trPr>
        <w:tc>
          <w:tcPr>
            <w:tcW w:w="9520" w:type="dxa"/>
            <w:vAlign w:val="bottom"/>
            <w:gridSpan w:val="6"/>
          </w:tcPr>
          <w:p>
            <w:pPr>
              <w:spacing w:after="0" w:line="189"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520" w:type="dxa"/>
            <w:vAlign w:val="bottom"/>
            <w:gridSpan w:val="6"/>
          </w:tcPr>
          <w:p>
            <w:pPr>
              <w:spacing w:after="0" w:line="176"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560" w:type="dxa"/>
            <w:vAlign w:val="bottom"/>
            <w:gridSpan w:val="5"/>
          </w:tcPr>
          <w:p>
            <w:pPr>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20" w:right="300"/>
        <w:spacing w:after="0" w:line="21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4"/>
        </w:trPr>
        <w:tc>
          <w:tcPr>
            <w:tcW w:w="2340" w:type="dxa"/>
            <w:vAlign w:val="bottom"/>
          </w:tcPr>
          <w:p>
            <w:pPr>
              <w:jc w:val="center"/>
              <w:ind w:right="32"/>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76"/>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15"/>
              <w:spacing w:after="0" w:line="181" w:lineRule="exact"/>
              <w:rPr>
                <w:sz w:val="20"/>
                <w:szCs w:val="20"/>
                <w:color w:val="auto"/>
              </w:rPr>
            </w:pPr>
            <w:r>
              <w:rPr>
                <w:rFonts w:ascii="MS PGothic" w:cs="MS PGothic" w:eastAsia="MS PGothic" w:hAnsi="MS PGothic"/>
                <w:sz w:val="18"/>
                <w:szCs w:val="18"/>
                <w:color w:val="auto"/>
                <w:w w:val="99"/>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10400" w:type="dxa"/>
            <w:vAlign w:val="bottom"/>
            <w:gridSpan w:val="5"/>
          </w:tcPr>
          <w:p>
            <w:pPr>
              <w:spacing w:after="0" w:line="17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0" w:type="dxa"/>
            <w:vAlign w:val="bottom"/>
            <w:gridSpan w:val="5"/>
          </w:tcPr>
          <w:p>
            <w:pPr>
              <w:spacing w:after="0" w:line="183"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March 25, 2021 was 1,121,415,561.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782320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37"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772275" cy="224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32" w:right="7880"/>
        <w:spacing w:after="0" w:line="234"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486025" cy="5906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590613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p>
      <w:pPr>
        <w:spacing w:after="0" w:line="297"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Founded on October 5, 1978</w:t>
      </w:r>
    </w:p>
    <w:p>
      <w:pPr>
        <w:spacing w:after="0" w:line="180"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Headquartered in</w:t>
      </w:r>
    </w:p>
    <w:p>
      <w:pPr>
        <w:ind w:left="232"/>
        <w:spacing w:after="0"/>
        <w:rPr>
          <w:sz w:val="20"/>
          <w:szCs w:val="20"/>
          <w:color w:val="auto"/>
        </w:rPr>
      </w:pPr>
      <w:r>
        <w:rPr>
          <w:rFonts w:ascii="Arial" w:cs="Arial" w:eastAsia="Arial" w:hAnsi="Arial"/>
          <w:sz w:val="18"/>
          <w:szCs w:val="18"/>
          <w:color w:val="FFFFFF"/>
        </w:rPr>
        <w:t>Boise, Idaho, USA</w:t>
      </w:r>
    </w:p>
    <w:p>
      <w:pPr>
        <w:spacing w:after="0" w:line="16"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4th</w:t>
      </w:r>
    </w:p>
    <w:p>
      <w:pPr>
        <w:spacing w:after="0" w:line="12" w:lineRule="exact"/>
        <w:rPr>
          <w:sz w:val="20"/>
          <w:szCs w:val="20"/>
          <w:color w:val="auto"/>
        </w:rPr>
      </w:pPr>
    </w:p>
    <w:p>
      <w:pPr>
        <w:ind w:left="232" w:right="1020"/>
        <w:spacing w:after="0" w:line="227" w:lineRule="auto"/>
        <w:rPr>
          <w:sz w:val="20"/>
          <w:szCs w:val="20"/>
          <w:color w:val="auto"/>
        </w:rPr>
      </w:pPr>
      <w:r>
        <w:rPr>
          <w:rFonts w:ascii="Arial" w:cs="Arial" w:eastAsia="Arial" w:hAnsi="Arial"/>
          <w:sz w:val="18"/>
          <w:szCs w:val="18"/>
          <w:color w:val="FFFFFF"/>
        </w:rPr>
        <w:t>Largest semiconductor company in the world*</w:t>
      </w:r>
    </w:p>
    <w:p>
      <w:pPr>
        <w:spacing w:after="0" w:line="115"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134</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On the 2020 Fortune 500</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44,000</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Patents granted and growing**</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17</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Countries**</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13</w:t>
      </w:r>
    </w:p>
    <w:p>
      <w:pPr>
        <w:ind w:left="232"/>
        <w:spacing w:after="0" w:line="217" w:lineRule="auto"/>
        <w:rPr>
          <w:sz w:val="20"/>
          <w:szCs w:val="20"/>
          <w:color w:val="auto"/>
        </w:rPr>
      </w:pPr>
      <w:r>
        <w:rPr>
          <w:rFonts w:ascii="Arial" w:cs="Arial" w:eastAsia="Arial" w:hAnsi="Arial"/>
          <w:sz w:val="18"/>
          <w:szCs w:val="18"/>
          <w:color w:val="FFFFFF"/>
        </w:rPr>
        <w:t>Manufacturing sites and</w:t>
      </w:r>
    </w:p>
    <w:p>
      <w:pPr>
        <w:ind w:left="232"/>
        <w:spacing w:after="0"/>
        <w:rPr>
          <w:sz w:val="20"/>
          <w:szCs w:val="20"/>
          <w:color w:val="auto"/>
        </w:rPr>
      </w:pPr>
      <w:r>
        <w:rPr>
          <w:rFonts w:ascii="Arial" w:cs="Arial" w:eastAsia="Arial" w:hAnsi="Arial"/>
          <w:sz w:val="18"/>
          <w:szCs w:val="18"/>
          <w:color w:val="FFFFFF"/>
        </w:rPr>
        <w:t>14 customer labs**</w:t>
      </w:r>
    </w:p>
    <w:p>
      <w:pPr>
        <w:spacing w:after="0" w:line="124" w:lineRule="exact"/>
        <w:rPr>
          <w:sz w:val="20"/>
          <w:szCs w:val="20"/>
          <w:color w:val="auto"/>
        </w:rPr>
      </w:pPr>
    </w:p>
    <w:p>
      <w:pPr>
        <w:ind w:left="232"/>
        <w:spacing w:after="0"/>
        <w:rPr>
          <w:sz w:val="20"/>
          <w:szCs w:val="20"/>
          <w:color w:val="auto"/>
        </w:rPr>
      </w:pPr>
      <w:r>
        <w:rPr>
          <w:rFonts w:ascii="Arial" w:cs="Arial" w:eastAsia="Arial" w:hAnsi="Arial"/>
          <w:sz w:val="50"/>
          <w:szCs w:val="50"/>
          <w:b w:val="1"/>
          <w:bCs w:val="1"/>
          <w:color w:val="FFFFFF"/>
        </w:rPr>
        <w:t>40,000</w:t>
      </w:r>
    </w:p>
    <w:p>
      <w:pPr>
        <w:spacing w:after="0" w:line="12" w:lineRule="exact"/>
        <w:rPr>
          <w:sz w:val="20"/>
          <w:szCs w:val="20"/>
          <w:color w:val="auto"/>
        </w:rPr>
      </w:pPr>
    </w:p>
    <w:p>
      <w:pPr>
        <w:ind w:left="232"/>
        <w:spacing w:after="0"/>
        <w:rPr>
          <w:sz w:val="20"/>
          <w:szCs w:val="20"/>
          <w:color w:val="auto"/>
        </w:rPr>
      </w:pPr>
      <w:r>
        <w:rPr>
          <w:rFonts w:ascii="Arial" w:cs="Arial" w:eastAsia="Arial" w:hAnsi="Arial"/>
          <w:sz w:val="18"/>
          <w:szCs w:val="18"/>
          <w:color w:val="FFFFFF"/>
        </w:rPr>
        <w:t>Team members**</w:t>
      </w:r>
    </w:p>
    <w:p>
      <w:pPr>
        <w:spacing w:after="0" w:line="282" w:lineRule="exact"/>
        <w:rPr>
          <w:sz w:val="20"/>
          <w:szCs w:val="20"/>
          <w:color w:val="auto"/>
        </w:rPr>
      </w:pPr>
    </w:p>
    <w:p>
      <w:pPr>
        <w:ind w:left="232"/>
        <w:spacing w:after="0" w:line="221" w:lineRule="auto"/>
        <w:rPr>
          <w:sz w:val="20"/>
          <w:szCs w:val="20"/>
          <w:color w:val="auto"/>
        </w:rPr>
      </w:pPr>
      <w:r>
        <w:rPr>
          <w:rFonts w:ascii="Arial" w:cs="Arial" w:eastAsia="Arial" w:hAnsi="Arial"/>
          <w:sz w:val="16"/>
          <w:szCs w:val="16"/>
          <w:color w:val="FFFFFF"/>
        </w:rPr>
        <w:t>*Based on Gartner Market Share: Semiconductors by End Market, Worldwide, 2019 (April 2020), excluding IP/software revenue **Micron data as of September 3, 2020.</w:t>
      </w:r>
    </w:p>
    <w:p>
      <w:pPr>
        <w:spacing w:after="0" w:line="16" w:lineRule="exact"/>
        <w:rPr>
          <w:sz w:val="20"/>
          <w:szCs w:val="20"/>
          <w:color w:val="auto"/>
        </w:rPr>
      </w:pPr>
    </w:p>
    <w:p>
      <w:pPr>
        <w:ind w:left="232"/>
        <w:spacing w:after="0"/>
        <w:rPr>
          <w:sz w:val="20"/>
          <w:szCs w:val="20"/>
          <w:color w:val="auto"/>
        </w:rPr>
      </w:pPr>
      <w:r>
        <w:rPr>
          <w:rFonts w:ascii="Arial" w:cs="Arial" w:eastAsia="Arial" w:hAnsi="Arial"/>
          <w:sz w:val="16"/>
          <w:szCs w:val="16"/>
          <w:b w:val="1"/>
          <w:bCs w:val="1"/>
          <w:color w:val="FFFFFF"/>
        </w:rPr>
        <w:t>Media Inquiries</w:t>
      </w:r>
    </w:p>
    <w:p>
      <w:pPr>
        <w:ind w:left="232"/>
        <w:spacing w:after="0"/>
        <w:rPr>
          <w:sz w:val="20"/>
          <w:szCs w:val="20"/>
          <w:color w:val="auto"/>
        </w:rPr>
      </w:pPr>
      <w:r>
        <w:rPr>
          <w:rFonts w:ascii="Arial" w:cs="Arial" w:eastAsia="Arial" w:hAnsi="Arial"/>
          <w:sz w:val="16"/>
          <w:szCs w:val="16"/>
          <w:color w:val="FFFFFF"/>
        </w:rPr>
        <w:t>mediarelations@micron.com</w:t>
      </w:r>
    </w:p>
    <w:p>
      <w:pPr>
        <w:spacing w:after="0" w:line="199" w:lineRule="exact"/>
        <w:rPr>
          <w:sz w:val="20"/>
          <w:szCs w:val="20"/>
          <w:color w:val="auto"/>
        </w:rPr>
      </w:pPr>
    </w:p>
    <w:p>
      <w:pPr>
        <w:ind w:left="232"/>
        <w:spacing w:after="0"/>
        <w:rPr>
          <w:sz w:val="20"/>
          <w:szCs w:val="20"/>
          <w:color w:val="auto"/>
        </w:rPr>
      </w:pPr>
      <w:r>
        <w:rPr>
          <w:rFonts w:ascii="Arial" w:cs="Arial" w:eastAsia="Arial" w:hAnsi="Arial"/>
          <w:sz w:val="16"/>
          <w:szCs w:val="16"/>
          <w:b w:val="1"/>
          <w:bCs w:val="1"/>
          <w:color w:val="FFFFFF"/>
        </w:rPr>
        <w:t>Government Inquiries</w:t>
      </w:r>
    </w:p>
    <w:p>
      <w:pPr>
        <w:ind w:left="232"/>
        <w:spacing w:after="0"/>
        <w:rPr>
          <w:sz w:val="20"/>
          <w:szCs w:val="20"/>
          <w:color w:val="auto"/>
        </w:rPr>
      </w:pPr>
      <w:r>
        <w:rPr>
          <w:rFonts w:ascii="Arial" w:cs="Arial" w:eastAsia="Arial" w:hAnsi="Arial"/>
          <w:sz w:val="16"/>
          <w:szCs w:val="16"/>
          <w:color w:val="FFFFFF"/>
        </w:rPr>
        <w:t>govaffairs@micron.com</w:t>
      </w:r>
    </w:p>
    <w:p>
      <w:pPr>
        <w:spacing w:after="0" w:line="201" w:lineRule="exact"/>
        <w:rPr>
          <w:sz w:val="20"/>
          <w:szCs w:val="20"/>
          <w:color w:val="auto"/>
        </w:rPr>
      </w:pPr>
    </w:p>
    <w:p>
      <w:pPr>
        <w:ind w:left="232" w:right="1440"/>
        <w:spacing w:after="0" w:line="251" w:lineRule="auto"/>
        <w:rPr>
          <w:sz w:val="20"/>
          <w:szCs w:val="20"/>
          <w:color w:val="auto"/>
        </w:rPr>
      </w:pPr>
      <w:r>
        <w:rPr>
          <w:rFonts w:ascii="Arial" w:cs="Arial" w:eastAsia="Arial" w:hAnsi="Arial"/>
          <w:sz w:val="16"/>
          <w:szCs w:val="16"/>
          <w:b w:val="1"/>
          <w:bCs w:val="1"/>
          <w:color w:val="FFFFFF"/>
        </w:rPr>
        <w:t xml:space="preserve">Investor Inquiries </w:t>
      </w: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63"/>
          <w:szCs w:val="63"/>
          <w:color w:val="auto"/>
        </w:rPr>
        <w:t>It’s All About Data</w:t>
      </w:r>
    </w:p>
    <w:p>
      <w:pPr>
        <w:ind w:right="140"/>
        <w:spacing w:after="0" w:line="215" w:lineRule="auto"/>
        <w:rPr>
          <w:sz w:val="20"/>
          <w:szCs w:val="20"/>
          <w:color w:val="auto"/>
        </w:rPr>
      </w:pPr>
      <w:r>
        <w:rPr>
          <w:rFonts w:ascii="Arial" w:cs="Arial" w:eastAsia="Arial" w:hAnsi="Arial"/>
          <w:sz w:val="25"/>
          <w:szCs w:val="25"/>
          <w:b w:val="1"/>
          <w:bCs w:val="1"/>
          <w:color w:val="0090DA"/>
        </w:rPr>
        <w:t>Data is today’s new business currency, and memory and storage are emerging as strategic differentiators which will redefine how we extract value from data to learn, explore, communicate, and navigate our world.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7"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Micron designs, develops, and manufactures industry-leading memory and storage products. By creating rapid advancements in artificial intelligence, 5G, machine learning, and autonomous vehicles, we unlock innovation in key market segments like mobile, data center, healthcare, automotive, and cloud networking. Our technology and expertise are central to cutting-edge computing applications and new business models which disrupt and advance the industry.</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7"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 xml:space="preserve">As a global leader in memory and storage solutions, we are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By advancing technologies to collect, store, and manage data with unprecedented speed and efficiency, we continue to lead the transformation of information intelligence. In a world of change, we remain nimble, allowing our products to continue inspiring the world to learn, communicate, and advance faster than ever.</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7" w:lineRule="exact"/>
        <w:rPr>
          <w:sz w:val="20"/>
          <w:szCs w:val="20"/>
          <w:color w:val="auto"/>
        </w:rPr>
      </w:pPr>
    </w:p>
    <w:p>
      <w:pPr>
        <w:ind w:right="40"/>
        <w:spacing w:after="0" w:line="215" w:lineRule="auto"/>
        <w:rPr>
          <w:sz w:val="20"/>
          <w:szCs w:val="20"/>
          <w:color w:val="auto"/>
        </w:rPr>
      </w:pPr>
      <w:r>
        <w:rPr>
          <w:rFonts w:ascii="Arial" w:cs="Arial" w:eastAsia="Arial" w:hAnsi="Arial"/>
          <w:sz w:val="18"/>
          <w:szCs w:val="18"/>
          <w:color w:val="auto"/>
        </w:rPr>
        <w:t>The world has come to expect our commitment to innovative solutions and people depend on our integrity. We rededicate ourselves daily to demonstrating our environmental conscience, an inclusive team culture where all voices are heard and respected, and sharing our philanthropic social giving for good.</w:t>
      </w:r>
    </w:p>
    <w:p>
      <w:pPr>
        <w:spacing w:after="0" w:line="326"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0090DA"/>
        </w:rPr>
        <w:t xml:space="preserve">DRAM | </w:t>
      </w:r>
      <w:r>
        <w:rPr>
          <w:rFonts w:ascii="Arial" w:cs="Arial" w:eastAsia="Arial" w:hAnsi="Arial"/>
          <w:sz w:val="17"/>
          <w:szCs w:val="17"/>
          <w:color w:val="0090DA"/>
        </w:rPr>
        <w:t>NAND |</w:t>
      </w:r>
      <w:r>
        <w:rPr>
          <w:rFonts w:ascii="Arial" w:cs="Arial" w:eastAsia="Arial" w:hAnsi="Arial"/>
          <w:sz w:val="16"/>
          <w:szCs w:val="16"/>
          <w:color w:val="0090DA"/>
        </w:rPr>
        <w:t xml:space="preserve"> NOR | Solid-State Drives</w:t>
      </w:r>
    </w:p>
    <w:p>
      <w:pPr>
        <w:spacing w:after="0"/>
        <w:rPr>
          <w:sz w:val="20"/>
          <w:szCs w:val="20"/>
          <w:color w:val="auto"/>
        </w:rPr>
      </w:pPr>
      <w:r>
        <w:rPr>
          <w:rFonts w:ascii="Arial" w:cs="Arial" w:eastAsia="Arial" w:hAnsi="Arial"/>
          <w:sz w:val="16"/>
          <w:szCs w:val="16"/>
          <w:color w:val="0090DA"/>
        </w:rPr>
        <w:t>High Bandwidth Memory (HBM) | Multichip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104775</wp:posOffset>
            </wp:positionV>
            <wp:extent cx="458597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5970" cy="30861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FFFFFF"/>
        </w:rPr>
        <w:t>Connect with us on micron.com</w:t>
      </w:r>
    </w:p>
    <w:p>
      <w:pPr>
        <w:spacing w:after="0" w:line="238" w:lineRule="exact"/>
        <w:rPr>
          <w:sz w:val="20"/>
          <w:szCs w:val="20"/>
          <w:color w:val="auto"/>
        </w:rPr>
      </w:pPr>
    </w:p>
    <w:p>
      <w:pPr>
        <w:sectPr>
          <w:pgSz w:w="11900" w:h="16838" w:orient="portrait"/>
          <w:cols w:equalWidth="0" w:num="2">
            <w:col w:w="3852" w:space="180"/>
            <w:col w:w="7180"/>
          </w:cols>
          <w:pgMar w:left="328" w:top="1440" w:right="359" w:bottom="1440" w:gutter="0" w:footer="0" w:header="0"/>
          <w:type w:val="continuous"/>
        </w:sectPr>
      </w:pPr>
    </w:p>
    <w:p>
      <w:pPr>
        <w:ind w:left="-8" w:right="140" w:firstLine="8"/>
        <w:spacing w:after="0" w:line="223" w:lineRule="auto"/>
        <w:tabs>
          <w:tab w:leader="none" w:pos="138" w:val="left"/>
        </w:tabs>
        <w:numPr>
          <w:ilvl w:val="0"/>
          <w:numId w:val="3"/>
        </w:numPr>
        <w:rPr>
          <w:rFonts w:ascii="Arial" w:cs="Arial" w:eastAsia="Arial" w:hAnsi="Arial"/>
          <w:sz w:val="14"/>
          <w:szCs w:val="14"/>
          <w:color w:val="auto"/>
        </w:rPr>
      </w:pPr>
      <w:r>
        <w:rPr>
          <w:rFonts w:ascii="Arial" w:cs="Arial" w:eastAsia="Arial" w:hAnsi="Arial"/>
          <w:sz w:val="14"/>
          <w:szCs w:val="14"/>
          <w:color w:val="auto"/>
        </w:rPr>
        <w:t>2021 Micron Technology, Inc. Micron, the Micron orbit logo, the M orbit logo, Intelligence Accelerated</w:t>
      </w:r>
      <w:r>
        <w:rPr>
          <w:rFonts w:ascii="Arial" w:cs="Arial" w:eastAsia="Arial" w:hAnsi="Arial"/>
          <w:sz w:val="18"/>
          <w:szCs w:val="18"/>
          <w:color w:val="auto"/>
          <w:vertAlign w:val="superscript"/>
        </w:rPr>
        <w:t>TM</w:t>
      </w:r>
      <w:r>
        <w:rPr>
          <w:rFonts w:ascii="Arial" w:cs="Arial" w:eastAsia="Arial" w:hAnsi="Arial"/>
          <w:sz w:val="14"/>
          <w:szCs w:val="14"/>
          <w:color w:val="auto"/>
        </w:rPr>
        <w:t>, and other Micron trademarks are the property of Micron Technology, Inc. All other trademarks are the property of their respective owners. Products and specifications are subject to change without notice. Rev 03/21 CCMMD-1707390403-3712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561340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9940" w:type="dxa"/>
            <w:vAlign w:val="bottom"/>
            <w:shd w:val="clear" w:color="auto" w:fill="D1D2D4"/>
          </w:tcPr>
          <w:p>
            <w:pPr>
              <w:spacing w:after="0"/>
              <w:rPr>
                <w:sz w:val="19"/>
                <w:szCs w:val="19"/>
                <w:color w:val="auto"/>
              </w:rPr>
            </w:pPr>
          </w:p>
        </w:tc>
        <w:tc>
          <w:tcPr>
            <w:tcW w:w="200" w:type="dxa"/>
            <w:vAlign w:val="bottom"/>
            <w:gridSpan w:val="2"/>
            <w:shd w:val="clear" w:color="auto" w:fill="D1D2D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shd w:val="clear" w:color="auto" w:fill="D1D2D4"/>
          </w:tcPr>
          <w:p>
            <w:pPr>
              <w:spacing w:after="0"/>
              <w:rPr>
                <w:sz w:val="19"/>
                <w:szCs w:val="19"/>
                <w:color w:val="auto"/>
              </w:rPr>
            </w:pPr>
          </w:p>
        </w:tc>
      </w:tr>
      <w:tr>
        <w:trPr>
          <w:trHeight w:val="230"/>
        </w:trPr>
        <w:tc>
          <w:tcPr>
            <w:tcW w:w="11020" w:type="dxa"/>
            <w:vAlign w:val="bottom"/>
            <w:tcBorders>
              <w:top w:val="single" w:sz="8" w:color="D1D2D4"/>
            </w:tcBorders>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Borders>
              <w:top w:val="single" w:sz="8" w:color="D1D2D4"/>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D1D2D4"/>
            </w:tcBorders>
          </w:tcPr>
          <w:p>
            <w:pPr>
              <w:spacing w:after="0"/>
              <w:rPr>
                <w:sz w:val="19"/>
                <w:szCs w:val="19"/>
                <w:color w:val="auto"/>
              </w:rPr>
            </w:pPr>
          </w:p>
        </w:tc>
      </w:tr>
      <w:tr>
        <w:trPr>
          <w:trHeight w:val="229"/>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9940" w:type="dxa"/>
            <w:vAlign w:val="bottom"/>
            <w:shd w:val="clear" w:color="auto" w:fill="D1D2D4"/>
          </w:tcPr>
          <w:p>
            <w:pPr>
              <w:ind w:left="60"/>
              <w:spacing w:after="0"/>
              <w:rPr>
                <w:sz w:val="20"/>
                <w:szCs w:val="20"/>
                <w:color w:val="auto"/>
              </w:rPr>
            </w:pPr>
            <w:r>
              <w:rPr>
                <w:rFonts w:ascii="Arial" w:cs="Arial" w:eastAsia="Arial" w:hAnsi="Arial"/>
                <w:sz w:val="18"/>
                <w:szCs w:val="18"/>
                <w:color w:val="auto"/>
              </w:rPr>
              <w:t>Financial Statements:</w:t>
            </w: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9"/>
        </w:trPr>
        <w:tc>
          <w:tcPr>
            <w:tcW w:w="1080" w:type="dxa"/>
            <w:vAlign w:val="bottom"/>
          </w:tcPr>
          <w:p>
            <w:pPr>
              <w:spacing w:after="0"/>
              <w:rPr>
                <w:sz w:val="16"/>
                <w:szCs w:val="16"/>
                <w:color w:val="auto"/>
              </w:rPr>
            </w:pPr>
          </w:p>
        </w:tc>
        <w:tc>
          <w:tcPr>
            <w:tcW w:w="9940" w:type="dxa"/>
            <w:vAlign w:val="bottom"/>
          </w:tcPr>
          <w:p>
            <w:pPr>
              <w:ind w:left="180"/>
              <w:spacing w:after="0" w:line="189" w:lineRule="exact"/>
              <w:rPr>
                <w:sz w:val="20"/>
                <w:szCs w:val="20"/>
                <w:color w:val="auto"/>
              </w:rPr>
            </w:pPr>
            <w:r>
              <w:rPr>
                <w:rFonts w:ascii="Arial" w:cs="Arial" w:eastAsia="Arial" w:hAnsi="Arial"/>
                <w:sz w:val="18"/>
                <w:szCs w:val="18"/>
                <w:color w:val="auto"/>
              </w:rPr>
              <w:t>Consolidated Statements of Operations</w:t>
            </w:r>
          </w:p>
        </w:tc>
        <w:tc>
          <w:tcPr>
            <w:tcW w:w="200" w:type="dxa"/>
            <w:vAlign w:val="bottom"/>
            <w:gridSpan w:val="2"/>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20" w:type="dxa"/>
            <w:vAlign w:val="bottom"/>
          </w:tcPr>
          <w:p>
            <w:pPr>
              <w:spacing w:after="0"/>
              <w:rPr>
                <w:sz w:val="16"/>
                <w:szCs w:val="16"/>
                <w:color w:val="auto"/>
              </w:rPr>
            </w:pPr>
          </w:p>
        </w:tc>
      </w:tr>
      <w:tr>
        <w:trPr>
          <w:trHeight w:val="21"/>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180"/>
              <w:spacing w:after="0" w:line="189" w:lineRule="exact"/>
              <w:rPr>
                <w:sz w:val="20"/>
                <w:szCs w:val="20"/>
                <w:color w:val="auto"/>
              </w:rPr>
            </w:pPr>
            <w:r>
              <w:rPr>
                <w:rFonts w:ascii="Arial" w:cs="Arial" w:eastAsia="Arial" w:hAnsi="Arial"/>
                <w:sz w:val="18"/>
                <w:szCs w:val="18"/>
                <w:color w:val="auto"/>
              </w:rPr>
              <w:t>Consolidated Statements of Comprehensive Income</w:t>
            </w:r>
          </w:p>
        </w:tc>
        <w:tc>
          <w:tcPr>
            <w:tcW w:w="100" w:type="dxa"/>
            <w:vAlign w:val="bottom"/>
            <w:tcBorders>
              <w:bottom w:val="single" w:sz="8" w:color="D1D2D4"/>
            </w:tcBorders>
            <w:shd w:val="clear" w:color="auto" w:fill="D1D2D4"/>
          </w:tcPr>
          <w:p>
            <w:pPr>
              <w:spacing w:after="0"/>
              <w:rPr>
                <w:sz w:val="18"/>
                <w:szCs w:val="18"/>
                <w:color w:val="auto"/>
              </w:rPr>
            </w:pPr>
          </w:p>
        </w:tc>
        <w:tc>
          <w:tcPr>
            <w:tcW w:w="100" w:type="dxa"/>
            <w:vAlign w:val="bottom"/>
            <w:tcBorders>
              <w:bottom w:val="single" w:sz="8" w:color="0000FF"/>
            </w:tcBorders>
            <w:shd w:val="clear" w:color="auto" w:fill="D1D2D4"/>
          </w:tcPr>
          <w:p>
            <w:pPr>
              <w:jc w:val="right"/>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Pr>
          <w:p>
            <w:pPr>
              <w:spacing w:after="0"/>
              <w:rPr>
                <w:sz w:val="16"/>
                <w:szCs w:val="16"/>
                <w:color w:val="auto"/>
              </w:rPr>
            </w:pPr>
          </w:p>
        </w:tc>
        <w:tc>
          <w:tcPr>
            <w:tcW w:w="9940" w:type="dxa"/>
            <w:vAlign w:val="bottom"/>
          </w:tcPr>
          <w:p>
            <w:pPr>
              <w:ind w:left="180"/>
              <w:spacing w:after="0" w:line="189"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2"/>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180"/>
              <w:spacing w:after="0" w:line="189" w:lineRule="exact"/>
              <w:rPr>
                <w:sz w:val="20"/>
                <w:szCs w:val="20"/>
                <w:color w:val="auto"/>
              </w:rPr>
            </w:pPr>
            <w:r>
              <w:rPr>
                <w:rFonts w:ascii="Arial" w:cs="Arial" w:eastAsia="Arial" w:hAnsi="Arial"/>
                <w:sz w:val="18"/>
                <w:szCs w:val="18"/>
                <w:color w:val="auto"/>
              </w:rPr>
              <w:t>Consolidated Statements of Changes in Equity</w:t>
            </w:r>
          </w:p>
        </w:tc>
        <w:tc>
          <w:tcPr>
            <w:tcW w:w="100" w:type="dxa"/>
            <w:vAlign w:val="bottom"/>
            <w:tcBorders>
              <w:bottom w:val="single" w:sz="8" w:color="D1D2D4"/>
            </w:tcBorders>
            <w:shd w:val="clear" w:color="auto" w:fill="D1D2D4"/>
          </w:tcPr>
          <w:p>
            <w:pPr>
              <w:spacing w:after="0"/>
              <w:rPr>
                <w:sz w:val="18"/>
                <w:szCs w:val="18"/>
                <w:color w:val="auto"/>
              </w:rPr>
            </w:pPr>
          </w:p>
        </w:tc>
        <w:tc>
          <w:tcPr>
            <w:tcW w:w="100" w:type="dxa"/>
            <w:vAlign w:val="bottom"/>
            <w:tcBorders>
              <w:bottom w:val="single" w:sz="8" w:color="0000FF"/>
            </w:tcBorders>
            <w:shd w:val="clear" w:color="auto" w:fill="D1D2D4"/>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Pr>
          <w:p>
            <w:pPr>
              <w:spacing w:after="0"/>
              <w:rPr>
                <w:sz w:val="16"/>
                <w:szCs w:val="16"/>
                <w:color w:val="auto"/>
              </w:rPr>
            </w:pPr>
          </w:p>
        </w:tc>
        <w:tc>
          <w:tcPr>
            <w:tcW w:w="9940" w:type="dxa"/>
            <w:vAlign w:val="bottom"/>
          </w:tcPr>
          <w:p>
            <w:pPr>
              <w:ind w:left="180"/>
              <w:spacing w:after="0" w:line="189" w:lineRule="exact"/>
              <w:rPr>
                <w:sz w:val="20"/>
                <w:szCs w:val="20"/>
                <w:color w:val="auto"/>
              </w:rPr>
            </w:pPr>
            <w:r>
              <w:rPr>
                <w:rFonts w:ascii="Arial" w:cs="Arial" w:eastAsia="Arial" w:hAnsi="Arial"/>
                <w:sz w:val="18"/>
                <w:szCs w:val="18"/>
                <w:color w:val="auto"/>
              </w:rPr>
              <w:t>Consolidated Statements of Cash Flows</w:t>
            </w:r>
          </w:p>
        </w:tc>
        <w:tc>
          <w:tcPr>
            <w:tcW w:w="200" w:type="dxa"/>
            <w:vAlign w:val="bottom"/>
            <w:gridSpan w:val="2"/>
          </w:tcPr>
          <w:p>
            <w:pPr>
              <w:jc w:val="right"/>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8</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18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00" w:type="dxa"/>
            <w:vAlign w:val="bottom"/>
            <w:tcBorders>
              <w:bottom w:val="single" w:sz="8" w:color="D1D2D4"/>
            </w:tcBorders>
            <w:shd w:val="clear" w:color="auto" w:fill="D1D2D4"/>
          </w:tcPr>
          <w:p>
            <w:pPr>
              <w:spacing w:after="0"/>
              <w:rPr>
                <w:sz w:val="18"/>
                <w:szCs w:val="18"/>
                <w:color w:val="auto"/>
              </w:rPr>
            </w:pPr>
          </w:p>
        </w:tc>
        <w:tc>
          <w:tcPr>
            <w:tcW w:w="100" w:type="dxa"/>
            <w:vAlign w:val="bottom"/>
            <w:tcBorders>
              <w:bottom w:val="single" w:sz="8" w:color="0000FF"/>
            </w:tcBorders>
            <w:shd w:val="clear" w:color="auto" w:fill="D1D2D4"/>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Pr>
          <w:p>
            <w:pPr>
              <w:ind w:left="140"/>
              <w:spacing w:after="0" w:line="189" w:lineRule="exact"/>
              <w:rPr>
                <w:sz w:val="20"/>
                <w:szCs w:val="20"/>
                <w:color w:val="auto"/>
              </w:rPr>
            </w:pPr>
            <w:r>
              <w:rPr>
                <w:rFonts w:ascii="Arial" w:cs="Arial" w:eastAsia="Arial" w:hAnsi="Arial"/>
                <w:sz w:val="18"/>
                <w:szCs w:val="18"/>
                <w:color w:val="auto"/>
              </w:rPr>
              <w:t>Item 2.</w:t>
            </w:r>
          </w:p>
        </w:tc>
        <w:tc>
          <w:tcPr>
            <w:tcW w:w="9940" w:type="dxa"/>
            <w:vAlign w:val="bottom"/>
          </w:tcPr>
          <w:p>
            <w:pPr>
              <w:ind w:left="6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20" w:type="dxa"/>
            <w:vAlign w:val="bottom"/>
          </w:tcPr>
          <w:p>
            <w:pPr>
              <w:spacing w:after="0"/>
              <w:rPr>
                <w:sz w:val="16"/>
                <w:szCs w:val="16"/>
                <w:color w:val="auto"/>
              </w:rPr>
            </w:pPr>
          </w:p>
        </w:tc>
      </w:tr>
      <w:tr>
        <w:trPr>
          <w:trHeight w:val="21"/>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080" w:type="dxa"/>
            <w:vAlign w:val="bottom"/>
            <w:tcBorders>
              <w:bottom w:val="single" w:sz="8" w:color="D1D2D4"/>
            </w:tcBorders>
            <w:shd w:val="clear" w:color="auto" w:fill="D1D2D4"/>
          </w:tcPr>
          <w:p>
            <w:pPr>
              <w:spacing w:after="0"/>
              <w:rPr>
                <w:sz w:val="18"/>
                <w:szCs w:val="18"/>
                <w:color w:val="auto"/>
              </w:rPr>
            </w:pPr>
          </w:p>
        </w:tc>
        <w:tc>
          <w:tcPr>
            <w:tcW w:w="9940" w:type="dxa"/>
            <w:vAlign w:val="bottom"/>
            <w:tcBorders>
              <w:bottom w:val="single" w:sz="8" w:color="D1D2D4"/>
            </w:tcBorders>
            <w:shd w:val="clear" w:color="auto" w:fill="D1D2D4"/>
          </w:tcPr>
          <w:p>
            <w:pPr>
              <w:ind w:left="180"/>
              <w:spacing w:after="0" w:line="189" w:lineRule="exact"/>
              <w:rPr>
                <w:sz w:val="20"/>
                <w:szCs w:val="20"/>
                <w:color w:val="auto"/>
              </w:rPr>
            </w:pPr>
            <w:r>
              <w:rPr>
                <w:rFonts w:ascii="Arial" w:cs="Arial" w:eastAsia="Arial" w:hAnsi="Arial"/>
                <w:sz w:val="18"/>
                <w:szCs w:val="18"/>
                <w:color w:val="auto"/>
              </w:rPr>
              <w:t>Results of Operations</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29</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Borders>
              <w:top w:val="single" w:sz="8" w:color="D1D2D4"/>
            </w:tcBorders>
          </w:tcPr>
          <w:p>
            <w:pPr>
              <w:spacing w:after="0"/>
              <w:rPr>
                <w:sz w:val="16"/>
                <w:szCs w:val="16"/>
                <w:color w:val="auto"/>
              </w:rPr>
            </w:pPr>
          </w:p>
        </w:tc>
        <w:tc>
          <w:tcPr>
            <w:tcW w:w="9940" w:type="dxa"/>
            <w:vAlign w:val="bottom"/>
            <w:tcBorders>
              <w:top w:val="single" w:sz="8" w:color="D1D2D4"/>
            </w:tcBorders>
          </w:tcPr>
          <w:p>
            <w:pPr>
              <w:ind w:left="180"/>
              <w:spacing w:after="0" w:line="189" w:lineRule="exact"/>
              <w:rPr>
                <w:sz w:val="20"/>
                <w:szCs w:val="20"/>
                <w:color w:val="auto"/>
              </w:rPr>
            </w:pPr>
            <w:r>
              <w:rPr>
                <w:rFonts w:ascii="Arial" w:cs="Arial" w:eastAsia="Arial" w:hAnsi="Arial"/>
                <w:sz w:val="18"/>
                <w:szCs w:val="18"/>
                <w:color w:val="auto"/>
              </w:rPr>
              <w:t>Liquidity and Capital Resources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33</w:t>
              </w:r>
            </w:hyperlink>
          </w:p>
        </w:tc>
        <w:tc>
          <w:tcPr>
            <w:tcW w:w="20" w:type="dxa"/>
            <w:vAlign w:val="bottom"/>
            <w:tcBorders>
              <w:top w:val="single" w:sz="8" w:color="D1D2D4"/>
            </w:tcBorders>
          </w:tcPr>
          <w:p>
            <w:pPr>
              <w:spacing w:after="0"/>
              <w:rPr>
                <w:sz w:val="16"/>
                <w:szCs w:val="16"/>
                <w:color w:val="auto"/>
              </w:rPr>
            </w:pPr>
          </w:p>
        </w:tc>
      </w:tr>
      <w:tr>
        <w:trPr>
          <w:trHeight w:val="21"/>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08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3.</w:t>
            </w:r>
          </w:p>
        </w:tc>
        <w:tc>
          <w:tcPr>
            <w:tcW w:w="994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4.</w:t>
            </w:r>
          </w:p>
        </w:tc>
        <w:tc>
          <w:tcPr>
            <w:tcW w:w="9940" w:type="dxa"/>
            <w:vAlign w:val="bottom"/>
            <w:tcBorders>
              <w:top w:val="single" w:sz="8" w:color="D1D2D4"/>
            </w:tcBorders>
          </w:tcPr>
          <w:p>
            <w:pPr>
              <w:ind w:left="80"/>
              <w:spacing w:after="0" w:line="189" w:lineRule="exact"/>
              <w:rPr>
                <w:sz w:val="20"/>
                <w:szCs w:val="20"/>
                <w:color w:val="auto"/>
              </w:rPr>
            </w:pPr>
            <w:r>
              <w:rPr>
                <w:rFonts w:ascii="Arial" w:cs="Arial" w:eastAsia="Arial" w:hAnsi="Arial"/>
                <w:sz w:val="18"/>
                <w:szCs w:val="18"/>
                <w:color w:val="auto"/>
              </w:rPr>
              <w:t>Controls and Procedures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0" w:type="dxa"/>
            <w:vAlign w:val="bottom"/>
            <w:tcBorders>
              <w:top w:val="single" w:sz="8" w:color="D1D2D4"/>
            </w:tcBorders>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10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0" w:type="dxa"/>
            <w:vAlign w:val="bottom"/>
            <w:shd w:val="clear" w:color="auto" w:fill="D1D2D4"/>
          </w:tcPr>
          <w:p>
            <w:pPr>
              <w:spacing w:after="0"/>
              <w:rPr>
                <w:sz w:val="19"/>
                <w:szCs w:val="19"/>
                <w:color w:val="auto"/>
              </w:rPr>
            </w:pPr>
          </w:p>
        </w:tc>
      </w:tr>
      <w:tr>
        <w:trPr>
          <w:trHeight w:val="189"/>
        </w:trPr>
        <w:tc>
          <w:tcPr>
            <w:tcW w:w="1080" w:type="dxa"/>
            <w:vAlign w:val="bottom"/>
          </w:tcPr>
          <w:p>
            <w:pPr>
              <w:ind w:left="140"/>
              <w:spacing w:after="0" w:line="189" w:lineRule="exact"/>
              <w:rPr>
                <w:sz w:val="20"/>
                <w:szCs w:val="20"/>
                <w:color w:val="auto"/>
              </w:rPr>
            </w:pPr>
            <w:r>
              <w:rPr>
                <w:rFonts w:ascii="Arial" w:cs="Arial" w:eastAsia="Arial" w:hAnsi="Arial"/>
                <w:sz w:val="18"/>
                <w:szCs w:val="18"/>
                <w:color w:val="auto"/>
              </w:rPr>
              <w:t>Item 1.</w:t>
            </w:r>
          </w:p>
        </w:tc>
        <w:tc>
          <w:tcPr>
            <w:tcW w:w="9940" w:type="dxa"/>
            <w:vAlign w:val="bottom"/>
          </w:tcPr>
          <w:p>
            <w:pPr>
              <w:ind w:left="80"/>
              <w:spacing w:after="0" w:line="189" w:lineRule="exact"/>
              <w:rPr>
                <w:sz w:val="20"/>
                <w:szCs w:val="20"/>
                <w:color w:val="auto"/>
              </w:rPr>
            </w:pPr>
            <w:r>
              <w:rPr>
                <w:rFonts w:ascii="Arial" w:cs="Arial" w:eastAsia="Arial" w:hAnsi="Arial"/>
                <w:sz w:val="18"/>
                <w:szCs w:val="18"/>
                <w:color w:val="auto"/>
              </w:rPr>
              <w:t>Legal Proceedings</w:t>
            </w:r>
          </w:p>
        </w:tc>
        <w:tc>
          <w:tcPr>
            <w:tcW w:w="200" w:type="dxa"/>
            <w:vAlign w:val="bottom"/>
            <w:tcBorders>
              <w:bottom w:val="single" w:sz="8" w:color="0000FF"/>
            </w:tcBorders>
            <w:gridSpan w:val="2"/>
          </w:tcPr>
          <w:p>
            <w:pPr>
              <w:jc w:val="right"/>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08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1A.</w:t>
            </w:r>
          </w:p>
        </w:tc>
        <w:tc>
          <w:tcPr>
            <w:tcW w:w="994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Risk Factors</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Item 2.</w:t>
            </w:r>
          </w:p>
        </w:tc>
        <w:tc>
          <w:tcPr>
            <w:tcW w:w="9940" w:type="dxa"/>
            <w:vAlign w:val="bottom"/>
            <w:tcBorders>
              <w:top w:val="single" w:sz="8" w:color="D1D2D4"/>
            </w:tcBorders>
          </w:tcPr>
          <w:p>
            <w:pPr>
              <w:ind w:left="8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54</w:t>
              </w:r>
            </w:hyperlink>
          </w:p>
        </w:tc>
        <w:tc>
          <w:tcPr>
            <w:tcW w:w="20" w:type="dxa"/>
            <w:vAlign w:val="bottom"/>
            <w:tcBorders>
              <w:top w:val="single" w:sz="8" w:color="D1D2D4"/>
            </w:tcBorders>
          </w:tcPr>
          <w:p>
            <w:pPr>
              <w:spacing w:after="0"/>
              <w:rPr>
                <w:sz w:val="16"/>
                <w:szCs w:val="16"/>
                <w:color w:val="auto"/>
              </w:rPr>
            </w:pPr>
          </w:p>
        </w:tc>
      </w:tr>
      <w:tr>
        <w:trPr>
          <w:trHeight w:val="21"/>
        </w:trPr>
        <w:tc>
          <w:tcPr>
            <w:tcW w:w="10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080" w:type="dxa"/>
            <w:vAlign w:val="bottom"/>
            <w:tcBorders>
              <w:bottom w:val="single" w:sz="8" w:color="D1D2D4"/>
            </w:tcBorders>
            <w:shd w:val="clear" w:color="auto" w:fill="D1D2D4"/>
          </w:tcPr>
          <w:p>
            <w:pPr>
              <w:ind w:left="140"/>
              <w:spacing w:after="0" w:line="189" w:lineRule="exact"/>
              <w:rPr>
                <w:sz w:val="20"/>
                <w:szCs w:val="20"/>
                <w:color w:val="auto"/>
              </w:rPr>
            </w:pPr>
            <w:r>
              <w:rPr>
                <w:rFonts w:ascii="Arial" w:cs="Arial" w:eastAsia="Arial" w:hAnsi="Arial"/>
                <w:sz w:val="18"/>
                <w:szCs w:val="18"/>
                <w:color w:val="auto"/>
              </w:rPr>
              <w:t>Item 6.</w:t>
            </w:r>
          </w:p>
        </w:tc>
        <w:tc>
          <w:tcPr>
            <w:tcW w:w="994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Exhibits</w:t>
            </w:r>
          </w:p>
        </w:tc>
        <w:tc>
          <w:tcPr>
            <w:tcW w:w="200" w:type="dxa"/>
            <w:vAlign w:val="bottom"/>
            <w:tcBorders>
              <w:bottom w:val="single" w:sz="8" w:color="0000FF"/>
            </w:tcBorders>
            <w:gridSpan w:val="2"/>
            <w:shd w:val="clear" w:color="auto" w:fill="D1D2D4"/>
          </w:tcPr>
          <w:p>
            <w:pPr>
              <w:jc w:val="right"/>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20" w:type="dxa"/>
            <w:vAlign w:val="bottom"/>
            <w:tcBorders>
              <w:bottom w:val="single" w:sz="8" w:color="D1D2D4"/>
            </w:tcBorders>
            <w:shd w:val="clear" w:color="auto" w:fill="D1D2D4"/>
          </w:tcPr>
          <w:p>
            <w:pPr>
              <w:spacing w:after="0"/>
              <w:rPr>
                <w:sz w:val="18"/>
                <w:szCs w:val="18"/>
                <w:color w:val="auto"/>
              </w:rPr>
            </w:pPr>
          </w:p>
        </w:tc>
      </w:tr>
      <w:tr>
        <w:trPr>
          <w:trHeight w:val="189"/>
        </w:trPr>
        <w:tc>
          <w:tcPr>
            <w:tcW w:w="1080" w:type="dxa"/>
            <w:vAlign w:val="bottom"/>
            <w:tcBorders>
              <w:top w:val="single" w:sz="8" w:color="D1D2D4"/>
            </w:tcBorders>
          </w:tcPr>
          <w:p>
            <w:pPr>
              <w:ind w:left="140"/>
              <w:spacing w:after="0" w:line="189" w:lineRule="exact"/>
              <w:rPr>
                <w:sz w:val="20"/>
                <w:szCs w:val="20"/>
                <w:color w:val="auto"/>
              </w:rPr>
            </w:pPr>
            <w:r>
              <w:rPr>
                <w:rFonts w:ascii="Arial" w:cs="Arial" w:eastAsia="Arial" w:hAnsi="Arial"/>
                <w:sz w:val="18"/>
                <w:szCs w:val="18"/>
                <w:color w:val="auto"/>
              </w:rPr>
              <w:t>Signatures</w:t>
            </w:r>
          </w:p>
        </w:tc>
        <w:tc>
          <w:tcPr>
            <w:tcW w:w="9940" w:type="dxa"/>
            <w:vAlign w:val="bottom"/>
            <w:tcBorders>
              <w:top w:val="single" w:sz="8" w:color="D1D2D4"/>
            </w:tcBorders>
          </w:tcPr>
          <w:p>
            <w:pPr>
              <w:spacing w:after="0"/>
              <w:rPr>
                <w:sz w:val="16"/>
                <w:szCs w:val="16"/>
                <w:color w:val="auto"/>
              </w:rPr>
            </w:pPr>
          </w:p>
        </w:tc>
        <w:tc>
          <w:tcPr>
            <w:tcW w:w="200" w:type="dxa"/>
            <w:vAlign w:val="bottom"/>
            <w:tcBorders>
              <w:top w:val="single" w:sz="8" w:color="D1D2D4"/>
              <w:bottom w:val="single" w:sz="8" w:color="0000FF"/>
            </w:tcBorders>
            <w:gridSpan w:val="2"/>
          </w:tcPr>
          <w:p>
            <w:pPr>
              <w:jc w:val="right"/>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20" w:type="dxa"/>
            <w:vAlign w:val="bottom"/>
            <w:tcBorders>
              <w:top w:val="single" w:sz="8" w:color="D1D2D4"/>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4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 w:type="dxa"/>
            <w:vAlign w:val="bottom"/>
          </w:tcPr>
          <w:p>
            <w:pPr>
              <w:spacing w:after="0"/>
              <w:rPr>
                <w:sz w:val="18"/>
                <w:szCs w:val="18"/>
                <w:color w:val="auto"/>
              </w:rPr>
            </w:pPr>
          </w:p>
        </w:tc>
        <w:tc>
          <w:tcPr>
            <w:tcW w:w="1180" w:type="dxa"/>
            <w:vAlign w:val="bottom"/>
          </w:tcPr>
          <w:p>
            <w:pPr>
              <w:ind w:left="240"/>
              <w:spacing w:after="0"/>
              <w:rPr>
                <w:sz w:val="20"/>
                <w:szCs w:val="20"/>
                <w:color w:val="auto"/>
              </w:rPr>
            </w:pPr>
            <w:r>
              <w:rPr>
                <w:rFonts w:ascii="Arial" w:cs="Arial" w:eastAsia="Arial" w:hAnsi="Arial"/>
                <w:sz w:val="16"/>
                <w:szCs w:val="16"/>
                <w:b w:val="1"/>
                <w:bCs w:val="1"/>
                <w:color w:val="auto"/>
              </w:rPr>
              <w:t>Term</w:t>
            </w:r>
          </w:p>
        </w:tc>
        <w:tc>
          <w:tcPr>
            <w:tcW w:w="780" w:type="dxa"/>
            <w:vAlign w:val="bottom"/>
          </w:tcPr>
          <w:p>
            <w:pPr>
              <w:spacing w:after="0"/>
              <w:rPr>
                <w:sz w:val="18"/>
                <w:szCs w:val="18"/>
                <w:color w:val="auto"/>
              </w:rPr>
            </w:pPr>
          </w:p>
        </w:tc>
        <w:tc>
          <w:tcPr>
            <w:tcW w:w="3200" w:type="dxa"/>
            <w:vAlign w:val="bottom"/>
            <w:gridSpan w:val="2"/>
          </w:tcPr>
          <w:p>
            <w:pPr>
              <w:ind w:left="840"/>
              <w:spacing w:after="0"/>
              <w:rPr>
                <w:sz w:val="20"/>
                <w:szCs w:val="20"/>
                <w:color w:val="auto"/>
              </w:rPr>
            </w:pPr>
            <w:r>
              <w:rPr>
                <w:rFonts w:ascii="Arial" w:cs="Arial" w:eastAsia="Arial" w:hAnsi="Arial"/>
                <w:sz w:val="16"/>
                <w:szCs w:val="16"/>
                <w:b w:val="1"/>
                <w:bCs w:val="1"/>
                <w:color w:val="auto"/>
              </w:rPr>
              <w:t>Definition</w:t>
            </w:r>
          </w:p>
        </w:tc>
        <w:tc>
          <w:tcPr>
            <w:tcW w:w="156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4060" w:type="dxa"/>
            <w:vAlign w:val="bottom"/>
          </w:tcPr>
          <w:p>
            <w:pPr>
              <w:ind w:left="1760"/>
              <w:spacing w:after="0"/>
              <w:rPr>
                <w:sz w:val="20"/>
                <w:szCs w:val="20"/>
                <w:color w:val="auto"/>
              </w:rPr>
            </w:pPr>
            <w:r>
              <w:rPr>
                <w:rFonts w:ascii="Arial" w:cs="Arial" w:eastAsia="Arial" w:hAnsi="Arial"/>
                <w:sz w:val="16"/>
                <w:szCs w:val="16"/>
                <w:b w:val="1"/>
                <w:bCs w:val="1"/>
                <w:color w:val="auto"/>
              </w:rPr>
              <w:t>Definition</w:t>
            </w:r>
          </w:p>
        </w:tc>
      </w:tr>
      <w:tr>
        <w:trPr>
          <w:trHeight w:val="37"/>
        </w:trPr>
        <w:tc>
          <w:tcPr>
            <w:tcW w:w="460" w:type="dxa"/>
            <w:vAlign w:val="bottom"/>
            <w:tcBorders>
              <w:top w:val="single" w:sz="8" w:color="0090DA"/>
            </w:tcBorders>
          </w:tcPr>
          <w:p>
            <w:pPr>
              <w:spacing w:after="0"/>
              <w:rPr>
                <w:sz w:val="3"/>
                <w:szCs w:val="3"/>
                <w:color w:val="auto"/>
              </w:rPr>
            </w:pPr>
          </w:p>
        </w:tc>
        <w:tc>
          <w:tcPr>
            <w:tcW w:w="1180" w:type="dxa"/>
            <w:vAlign w:val="bottom"/>
            <w:tcBorders>
              <w:top w:val="single" w:sz="8" w:color="0090DA"/>
            </w:tcBorders>
          </w:tcPr>
          <w:p>
            <w:pPr>
              <w:spacing w:after="0"/>
              <w:rPr>
                <w:sz w:val="3"/>
                <w:szCs w:val="3"/>
                <w:color w:val="auto"/>
              </w:rPr>
            </w:pPr>
          </w:p>
        </w:tc>
        <w:tc>
          <w:tcPr>
            <w:tcW w:w="780" w:type="dxa"/>
            <w:vAlign w:val="bottom"/>
            <w:tcBorders>
              <w:top w:val="single" w:sz="8" w:color="0090DA"/>
            </w:tcBorders>
          </w:tcPr>
          <w:p>
            <w:pPr>
              <w:spacing w:after="0"/>
              <w:rPr>
                <w:sz w:val="3"/>
                <w:szCs w:val="3"/>
                <w:color w:val="auto"/>
              </w:rPr>
            </w:pPr>
          </w:p>
        </w:tc>
        <w:tc>
          <w:tcPr>
            <w:tcW w:w="308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top w:val="single" w:sz="8" w:color="0090DA"/>
            </w:tcBorders>
          </w:tcPr>
          <w:p>
            <w:pPr>
              <w:spacing w:after="0"/>
              <w:rPr>
                <w:sz w:val="3"/>
                <w:szCs w:val="3"/>
                <w:color w:val="auto"/>
              </w:rPr>
            </w:pPr>
          </w:p>
        </w:tc>
        <w:tc>
          <w:tcPr>
            <w:tcW w:w="4060" w:type="dxa"/>
            <w:vAlign w:val="bottom"/>
            <w:tcBorders>
              <w:top w:val="single" w:sz="8" w:color="0090DA"/>
            </w:tcBorders>
          </w:tcPr>
          <w:p>
            <w:pPr>
              <w:spacing w:after="0"/>
              <w:rPr>
                <w:sz w:val="3"/>
                <w:szCs w:val="3"/>
                <w:color w:val="auto"/>
              </w:rPr>
            </w:pP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1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1D2D4"/>
          </w:tcPr>
          <w:p>
            <w:pPr>
              <w:ind w:left="160"/>
              <w:spacing w:after="0"/>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2023</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GDDR</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Graphics Double Data Rate</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2024</w:t>
            </w:r>
          </w:p>
        </w:tc>
        <w:tc>
          <w:tcPr>
            <w:tcW w:w="118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60"/>
              <w:spacing w:after="0"/>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2024</w:t>
            </w:r>
          </w:p>
        </w:tc>
        <w:tc>
          <w:tcPr>
            <w:tcW w:w="1560" w:type="dxa"/>
            <w:vAlign w:val="bottom"/>
          </w:tcPr>
          <w:p>
            <w:pPr>
              <w:spacing w:after="0"/>
              <w:rPr>
                <w:sz w:val="20"/>
                <w:szCs w:val="20"/>
                <w:color w:val="auto"/>
              </w:rPr>
            </w:pPr>
            <w:r>
              <w:rPr>
                <w:rFonts w:ascii="Arial" w:cs="Arial" w:eastAsia="Arial" w:hAnsi="Arial"/>
                <w:sz w:val="18"/>
                <w:szCs w:val="18"/>
                <w:color w:val="auto"/>
              </w:rPr>
              <w:t>IMFT</w:t>
            </w:r>
          </w:p>
        </w:tc>
        <w:tc>
          <w:tcPr>
            <w:tcW w:w="4060" w:type="dxa"/>
            <w:vAlign w:val="bottom"/>
          </w:tcPr>
          <w:p>
            <w:pPr>
              <w:ind w:left="240"/>
              <w:spacing w:after="0"/>
              <w:rPr>
                <w:sz w:val="20"/>
                <w:szCs w:val="20"/>
                <w:color w:val="auto"/>
              </w:rPr>
            </w:pPr>
            <w:r>
              <w:rPr>
                <w:rFonts w:ascii="Arial" w:cs="Arial" w:eastAsia="Arial" w:hAnsi="Arial"/>
                <w:sz w:val="18"/>
                <w:szCs w:val="18"/>
                <w:color w:val="auto"/>
              </w:rPr>
              <w:t>IM Flash Technologies, LLC</w:t>
            </w:r>
          </w:p>
        </w:tc>
      </w:tr>
      <w:tr>
        <w:trPr>
          <w:trHeight w:val="229"/>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w:t>
            </w:r>
          </w:p>
        </w:tc>
        <w:tc>
          <w:tcPr>
            <w:tcW w:w="1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Term Loan A</w:t>
            </w:r>
          </w:p>
        </w:tc>
        <w:tc>
          <w:tcPr>
            <w:tcW w:w="3980" w:type="dxa"/>
            <w:vAlign w:val="bottom"/>
            <w:gridSpan w:val="3"/>
            <w:shd w:val="clear" w:color="auto" w:fill="D1D2D4"/>
          </w:tcPr>
          <w:p>
            <w:pPr>
              <w:ind w:left="160"/>
              <w:spacing w:after="0"/>
              <w:rPr>
                <w:sz w:val="20"/>
                <w:szCs w:val="20"/>
                <w:color w:val="auto"/>
              </w:rPr>
            </w:pPr>
            <w:r>
              <w:rPr>
                <w:rFonts w:ascii="Arial" w:cs="Arial" w:eastAsia="Arial" w:hAnsi="Arial"/>
                <w:sz w:val="18"/>
                <w:szCs w:val="18"/>
                <w:color w:val="auto"/>
              </w:rPr>
              <w:t>Senior Term Loan A due 2024</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Inotera</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Inotera Memories, Inc.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18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60"/>
              <w:spacing w:after="0"/>
              <w:rPr>
                <w:sz w:val="20"/>
                <w:szCs w:val="20"/>
                <w:color w:val="auto"/>
              </w:rPr>
            </w:pPr>
            <w:r>
              <w:rPr>
                <w:rFonts w:ascii="Arial" w:cs="Arial" w:eastAsia="Arial" w:hAnsi="Arial"/>
                <w:sz w:val="18"/>
                <w:szCs w:val="18"/>
                <w:color w:val="auto"/>
                <w:w w:val="98"/>
              </w:rPr>
              <w:t>5.500%</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2025</w:t>
            </w:r>
          </w:p>
        </w:tc>
        <w:tc>
          <w:tcPr>
            <w:tcW w:w="1560" w:type="dxa"/>
            <w:vAlign w:val="bottom"/>
          </w:tcPr>
          <w:p>
            <w:pPr>
              <w:spacing w:after="0"/>
              <w:rPr>
                <w:sz w:val="20"/>
                <w:szCs w:val="20"/>
                <w:color w:val="auto"/>
              </w:rPr>
            </w:pPr>
            <w:r>
              <w:rPr>
                <w:rFonts w:ascii="Arial" w:cs="Arial" w:eastAsia="Arial" w:hAnsi="Arial"/>
                <w:sz w:val="18"/>
                <w:szCs w:val="18"/>
                <w:color w:val="auto"/>
              </w:rPr>
              <w:t>Intel</w:t>
            </w:r>
          </w:p>
        </w:tc>
        <w:tc>
          <w:tcPr>
            <w:tcW w:w="4060" w:type="dxa"/>
            <w:vAlign w:val="bottom"/>
          </w:tcPr>
          <w:p>
            <w:pPr>
              <w:ind w:left="240"/>
              <w:spacing w:after="0"/>
              <w:rPr>
                <w:sz w:val="20"/>
                <w:szCs w:val="20"/>
                <w:color w:val="auto"/>
              </w:rPr>
            </w:pPr>
            <w:r>
              <w:rPr>
                <w:rFonts w:ascii="Arial" w:cs="Arial" w:eastAsia="Arial" w:hAnsi="Arial"/>
                <w:sz w:val="18"/>
                <w:szCs w:val="18"/>
                <w:color w:val="auto"/>
              </w:rPr>
              <w:t>Intel Corporation</w:t>
            </w:r>
          </w:p>
        </w:tc>
      </w:tr>
      <w:tr>
        <w:trPr>
          <w:trHeight w:val="229"/>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w:t>
            </w:r>
          </w:p>
        </w:tc>
        <w:tc>
          <w:tcPr>
            <w:tcW w:w="1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1D2D4"/>
          </w:tcPr>
          <w:p>
            <w:pPr>
              <w:ind w:left="16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2026</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MCP</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Multi-Chip Package</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118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6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2027</w:t>
            </w:r>
          </w:p>
        </w:tc>
        <w:tc>
          <w:tcPr>
            <w:tcW w:w="1560" w:type="dxa"/>
            <w:vAlign w:val="bottom"/>
          </w:tcPr>
          <w:p>
            <w:pPr>
              <w:spacing w:after="0"/>
              <w:rPr>
                <w:sz w:val="20"/>
                <w:szCs w:val="20"/>
                <w:color w:val="auto"/>
              </w:rPr>
            </w:pPr>
            <w:r>
              <w:rPr>
                <w:rFonts w:ascii="Arial" w:cs="Arial" w:eastAsia="Arial" w:hAnsi="Arial"/>
                <w:sz w:val="18"/>
                <w:szCs w:val="18"/>
                <w:color w:val="auto"/>
              </w:rPr>
              <w:t>Micron</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30"/>
        </w:trPr>
        <w:tc>
          <w:tcPr>
            <w:tcW w:w="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w:t>
            </w:r>
          </w:p>
        </w:tc>
        <w:tc>
          <w:tcPr>
            <w:tcW w:w="1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1D2D4"/>
          </w:tcPr>
          <w:p>
            <w:pPr>
              <w:ind w:left="160"/>
              <w:spacing w:after="0"/>
              <w:rPr>
                <w:sz w:val="20"/>
                <w:szCs w:val="20"/>
                <w:color w:val="auto"/>
              </w:rPr>
            </w:pPr>
            <w:r>
              <w:rPr>
                <w:rFonts w:ascii="Arial" w:cs="Arial" w:eastAsia="Arial" w:hAnsi="Arial"/>
                <w:sz w:val="18"/>
                <w:szCs w:val="18"/>
                <w:color w:val="auto"/>
                <w:w w:val="98"/>
              </w:rPr>
              <w:t>5.327%</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Senior Notes due 2029</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MMJ</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Micron Memory Japan, G.K.</w:t>
            </w:r>
          </w:p>
        </w:tc>
      </w:tr>
      <w:tr>
        <w:trPr>
          <w:trHeight w:val="188"/>
        </w:trPr>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line="189" w:lineRule="exact"/>
              <w:rPr>
                <w:sz w:val="20"/>
                <w:szCs w:val="20"/>
                <w:color w:val="auto"/>
              </w:rPr>
            </w:pPr>
            <w:r>
              <w:rPr>
                <w:rFonts w:ascii="Arial" w:cs="Arial" w:eastAsia="Arial" w:hAnsi="Arial"/>
                <w:sz w:val="18"/>
                <w:szCs w:val="18"/>
                <w:color w:val="auto"/>
              </w:rPr>
              <w:t>Revolving Credit</w:t>
            </w:r>
          </w:p>
        </w:tc>
        <w:tc>
          <w:tcPr>
            <w:tcW w:w="4060" w:type="dxa"/>
            <w:vAlign w:val="bottom"/>
          </w:tcPr>
          <w:p>
            <w:pPr>
              <w:ind w:left="240"/>
              <w:spacing w:after="0" w:line="189" w:lineRule="exact"/>
              <w:rPr>
                <w:sz w:val="20"/>
                <w:szCs w:val="20"/>
                <w:color w:val="auto"/>
              </w:rPr>
            </w:pPr>
            <w:r>
              <w:rPr>
                <w:rFonts w:ascii="Arial" w:cs="Arial" w:eastAsia="Arial" w:hAnsi="Arial"/>
                <w:sz w:val="18"/>
                <w:szCs w:val="18"/>
                <w:color w:val="auto"/>
              </w:rPr>
              <w:t>$2.5 billion Revolving Credit Facility due July</w:t>
            </w:r>
          </w:p>
        </w:tc>
      </w:tr>
      <w:tr>
        <w:trPr>
          <w:trHeight w:val="217"/>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118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6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2030</w:t>
            </w:r>
          </w:p>
        </w:tc>
        <w:tc>
          <w:tcPr>
            <w:tcW w:w="1560" w:type="dxa"/>
            <w:vAlign w:val="bottom"/>
          </w:tcPr>
          <w:p>
            <w:pPr>
              <w:spacing w:after="0"/>
              <w:rPr>
                <w:sz w:val="20"/>
                <w:szCs w:val="20"/>
                <w:color w:val="auto"/>
              </w:rPr>
            </w:pPr>
            <w:r>
              <w:rPr>
                <w:rFonts w:ascii="Arial" w:cs="Arial" w:eastAsia="Arial" w:hAnsi="Arial"/>
                <w:sz w:val="18"/>
                <w:szCs w:val="18"/>
                <w:color w:val="auto"/>
              </w:rPr>
              <w:t>Facility</w:t>
            </w:r>
          </w:p>
        </w:tc>
        <w:tc>
          <w:tcPr>
            <w:tcW w:w="4060" w:type="dxa"/>
            <w:vAlign w:val="bottom"/>
          </w:tcPr>
          <w:p>
            <w:pPr>
              <w:ind w:left="240"/>
              <w:spacing w:after="0"/>
              <w:rPr>
                <w:sz w:val="20"/>
                <w:szCs w:val="20"/>
                <w:color w:val="auto"/>
              </w:rPr>
            </w:pPr>
            <w:r>
              <w:rPr>
                <w:rFonts w:ascii="Arial" w:cs="Arial" w:eastAsia="Arial" w:hAnsi="Arial"/>
                <w:sz w:val="18"/>
                <w:szCs w:val="18"/>
                <w:color w:val="auto"/>
              </w:rPr>
              <w:t>2023</w:t>
            </w:r>
          </w:p>
        </w:tc>
      </w:tr>
      <w:tr>
        <w:trPr>
          <w:trHeight w:val="229"/>
        </w:trPr>
        <w:tc>
          <w:tcPr>
            <w:tcW w:w="16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780" w:type="dxa"/>
            <w:vAlign w:val="bottom"/>
            <w:shd w:val="clear" w:color="auto" w:fill="D1D2D4"/>
          </w:tcPr>
          <w:p>
            <w:pPr>
              <w:ind w:left="160"/>
              <w:spacing w:after="0"/>
              <w:rPr>
                <w:sz w:val="20"/>
                <w:szCs w:val="20"/>
                <w:color w:val="auto"/>
              </w:rPr>
            </w:pPr>
            <w:r>
              <w:rPr>
                <w:rFonts w:ascii="Arial" w:cs="Arial" w:eastAsia="Arial" w:hAnsi="Arial"/>
                <w:sz w:val="18"/>
                <w:szCs w:val="18"/>
                <w:color w:val="auto"/>
                <w:w w:val="98"/>
              </w:rPr>
              <w:t>3.125%</w:t>
            </w:r>
          </w:p>
        </w:tc>
        <w:tc>
          <w:tcPr>
            <w:tcW w:w="320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Convertible Senior Notes due 2032</w:t>
            </w:r>
          </w:p>
        </w:tc>
        <w:tc>
          <w:tcPr>
            <w:tcW w:w="1560" w:type="dxa"/>
            <w:vAlign w:val="bottom"/>
            <w:shd w:val="clear" w:color="auto" w:fill="D1D2D4"/>
          </w:tcPr>
          <w:p>
            <w:pPr>
              <w:spacing w:after="0"/>
              <w:rPr>
                <w:sz w:val="20"/>
                <w:szCs w:val="20"/>
                <w:color w:val="auto"/>
              </w:rPr>
            </w:pPr>
            <w:r>
              <w:rPr>
                <w:rFonts w:ascii="Arial" w:cs="Arial" w:eastAsia="Arial" w:hAnsi="Arial"/>
                <w:sz w:val="18"/>
                <w:szCs w:val="18"/>
                <w:color w:val="auto"/>
              </w:rPr>
              <w:t>SSD</w:t>
            </w:r>
          </w:p>
        </w:tc>
        <w:tc>
          <w:tcPr>
            <w:tcW w:w="40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Solid State Drive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DDR</w:t>
            </w:r>
          </w:p>
        </w:tc>
        <w:tc>
          <w:tcPr>
            <w:tcW w:w="1180" w:type="dxa"/>
            <w:vAlign w:val="bottom"/>
          </w:tcPr>
          <w:p>
            <w:pPr>
              <w:spacing w:after="0"/>
              <w:rPr>
                <w:sz w:val="19"/>
                <w:szCs w:val="19"/>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Double Data Rate</w:t>
            </w:r>
          </w:p>
        </w:tc>
        <w:tc>
          <w:tcPr>
            <w:tcW w:w="1560" w:type="dxa"/>
            <w:vAlign w:val="bottom"/>
          </w:tcPr>
          <w:p>
            <w:pPr>
              <w:spacing w:after="0"/>
              <w:rPr>
                <w:sz w:val="19"/>
                <w:szCs w:val="19"/>
                <w:color w:val="auto"/>
              </w:rPr>
            </w:pPr>
          </w:p>
        </w:tc>
        <w:tc>
          <w:tcPr>
            <w:tcW w:w="4060" w:type="dxa"/>
            <w:vAlign w:val="bottom"/>
          </w:tcPr>
          <w:p>
            <w:pPr>
              <w:spacing w:after="0"/>
              <w:rPr>
                <w:sz w:val="19"/>
                <w:szCs w:val="19"/>
                <w:color w:val="auto"/>
              </w:rPr>
            </w:pPr>
          </w:p>
        </w:tc>
      </w:tr>
    </w:tbl>
    <w:p>
      <w:pPr>
        <w:spacing w:after="0" w:line="24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4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(the “SEC”), press releases, public conference calls,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4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"plans," "opportunities," "future," "believe," "target," "on track," "estimate," "continue," "likely," "may," "will," "would," "should," "could," and variations of such words and similar expressions. Specific forward-looking statements include, but are not limited to, statements such as those made regarding the impact of coronavirus disease 2019 (“COVID-19”) to our business; the planned sale of our facility located in Lehi, Utah, and effect on depreciation expense; the sufficiency of our cash and investments; and capital spending in 2021.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b w:val="1"/>
          <w:bCs w:val="1"/>
          <w:color w:val="auto"/>
        </w:rPr>
        <w:t>PART I. FINANCIAL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4,</w:t>
            </w:r>
          </w:p>
        </w:tc>
        <w:tc>
          <w:tcPr>
            <w:tcW w:w="16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4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9,941</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2,721</w:t>
            </w: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1,321</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56"/>
        </w:trPr>
        <w:tc>
          <w:tcPr>
            <w:tcW w:w="53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53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988</w:t>
            </w: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915</w:t>
            </w:r>
          </w:p>
        </w:tc>
      </w:tr>
      <w:tr>
        <w:trPr>
          <w:trHeight w:val="256"/>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38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r>
      <w:tr>
        <w:trPr>
          <w:trHeight w:val="20"/>
        </w:trPr>
        <w:tc>
          <w:tcPr>
            <w:tcW w:w="538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0.81</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56"/>
        </w:trPr>
        <w:tc>
          <w:tcPr>
            <w:tcW w:w="53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3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1,144</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0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79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2"/>
          <w:szCs w:val="12"/>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60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44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0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4,</w:t>
            </w:r>
          </w:p>
        </w:tc>
        <w:tc>
          <w:tcPr>
            <w:tcW w:w="160" w:type="dxa"/>
            <w:vAlign w:val="bottom"/>
            <w:tcBorders>
              <w:top w:val="single" w:sz="8" w:color="0090DA"/>
            </w:tcBorders>
          </w:tcPr>
          <w:p>
            <w:pPr>
              <w:spacing w:after="0"/>
              <w:rPr>
                <w:sz w:val="14"/>
                <w:szCs w:val="14"/>
                <w:color w:val="auto"/>
              </w:rPr>
            </w:pPr>
          </w:p>
        </w:tc>
        <w:tc>
          <w:tcPr>
            <w:tcW w:w="128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4,</w:t>
            </w:r>
          </w:p>
        </w:tc>
        <w:tc>
          <w:tcPr>
            <w:tcW w:w="160" w:type="dxa"/>
            <w:vAlign w:val="bottom"/>
            <w:tcBorders>
              <w:top w:val="single" w:sz="8" w:color="0090DA"/>
            </w:tcBorders>
          </w:tcPr>
          <w:p>
            <w:pPr>
              <w:spacing w:after="0"/>
              <w:rPr>
                <w:sz w:val="14"/>
                <w:szCs w:val="14"/>
                <w:color w:val="auto"/>
              </w:rPr>
            </w:pPr>
          </w:p>
        </w:tc>
        <w:tc>
          <w:tcPr>
            <w:tcW w:w="128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544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5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915</w:t>
            </w:r>
          </w:p>
        </w:tc>
      </w:tr>
      <w:tr>
        <w:trPr>
          <w:trHeight w:val="257"/>
        </w:trPr>
        <w:tc>
          <w:tcPr>
            <w:tcW w:w="5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5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4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Pension liability adjustments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4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Cumulative translation adjustments</w:t>
            </w: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138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D1D2D4"/>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5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22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897</w:t>
            </w:r>
          </w:p>
        </w:tc>
      </w:tr>
      <w:tr>
        <w:trPr>
          <w:trHeight w:val="230"/>
        </w:trPr>
        <w:tc>
          <w:tcPr>
            <w:tcW w:w="544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54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878</w:t>
            </w:r>
          </w:p>
        </w:tc>
      </w:tr>
      <w:tr>
        <w:trPr>
          <w:trHeight w:val="20"/>
        </w:trPr>
        <w:tc>
          <w:tcPr>
            <w:tcW w:w="544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17,279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31,848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13,472</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140"/>
              <w:spacing w:after="0" w:line="189" w:lineRule="exact"/>
              <w:rPr>
                <w:sz w:val="20"/>
                <w:szCs w:val="20"/>
                <w:color w:val="auto"/>
              </w:rPr>
            </w:pPr>
            <w:r>
              <w:rPr>
                <w:rFonts w:ascii="Arial" w:cs="Arial" w:eastAsia="Arial" w:hAnsi="Arial"/>
                <w:sz w:val="18"/>
                <w:szCs w:val="18"/>
                <w:color w:val="auto"/>
              </w:rPr>
              <w:t>Common stock, $0.10 par value, 3,000 shares authorized, 1,202 shares issued and 1,121 outstanding</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360" w:type="dxa"/>
            <w:vAlign w:val="bottom"/>
          </w:tcPr>
          <w:p>
            <w:pPr>
              <w:ind w:left="140"/>
              <w:spacing w:after="0"/>
              <w:rPr>
                <w:sz w:val="20"/>
                <w:szCs w:val="20"/>
                <w:color w:val="auto"/>
              </w:rPr>
            </w:pPr>
            <w:r>
              <w:rPr>
                <w:rFonts w:ascii="Arial" w:cs="Arial" w:eastAsia="Arial" w:hAnsi="Arial"/>
                <w:sz w:val="18"/>
                <w:szCs w:val="18"/>
                <w:color w:val="auto"/>
              </w:rPr>
              <w:t>(1,194 shares issued and 1,113 outstanding as of September 3, 2020)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Additional capital</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9,234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29"/>
        </w:trPr>
        <w:tc>
          <w:tcPr>
            <w:tcW w:w="83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Treasury stock, 81 shares held (81 shares held as of September 3, 2020)</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40,663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79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2"/>
          <w:szCs w:val="12"/>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20" w:type="dxa"/>
            <w:vAlign w:val="bottom"/>
          </w:tcPr>
          <w:p>
            <w:pPr>
              <w:spacing w:after="0"/>
              <w:rPr>
                <w:sz w:val="18"/>
                <w:szCs w:val="18"/>
                <w:color w:val="auto"/>
              </w:rPr>
            </w:pPr>
          </w:p>
        </w:tc>
        <w:tc>
          <w:tcPr>
            <w:tcW w:w="1460" w:type="dxa"/>
            <w:vAlign w:val="bottom"/>
            <w:tcBorders>
              <w:bottom w:val="single" w:sz="8" w:color="0090DA"/>
            </w:tcBorders>
            <w:gridSpan w:val="3"/>
          </w:tcPr>
          <w:p>
            <w:pPr>
              <w:jc w:val="right"/>
              <w:ind w:right="3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162"/>
        </w:trPr>
        <w:tc>
          <w:tcPr>
            <w:tcW w:w="48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w:t>
            </w: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960" w:type="dxa"/>
            <w:vAlign w:val="bottom"/>
            <w:gridSpan w:val="8"/>
          </w:tcPr>
          <w:p>
            <w:pPr>
              <w:jc w:val="right"/>
              <w:spacing w:after="0" w:line="162" w:lineRule="exact"/>
              <w:rPr>
                <w:sz w:val="20"/>
                <w:szCs w:val="20"/>
                <w:color w:val="auto"/>
              </w:rPr>
            </w:pPr>
            <w:r>
              <w:rPr>
                <w:rFonts w:ascii="Arial" w:cs="Arial" w:eastAsia="Arial" w:hAnsi="Arial"/>
                <w:sz w:val="16"/>
                <w:szCs w:val="16"/>
                <w:b w:val="1"/>
                <w:bCs w:val="1"/>
                <w:color w:val="auto"/>
              </w:rPr>
              <w:t>Additional  Retained  Treasury Comprehensive Shareholders’</w:t>
            </w:r>
          </w:p>
        </w:tc>
        <w:tc>
          <w:tcPr>
            <w:tcW w:w="0" w:type="dxa"/>
            <w:vAlign w:val="bottom"/>
          </w:tcPr>
          <w:p>
            <w:pPr>
              <w:spacing w:after="0"/>
              <w:rPr>
                <w:sz w:val="1"/>
                <w:szCs w:val="1"/>
                <w:color w:val="auto"/>
              </w:rPr>
            </w:pPr>
          </w:p>
        </w:tc>
      </w:tr>
      <w:tr>
        <w:trPr>
          <w:trHeight w:val="215"/>
        </w:trPr>
        <w:tc>
          <w:tcPr>
            <w:tcW w:w="4820" w:type="dxa"/>
            <w:vAlign w:val="bottom"/>
            <w:tcBorders>
              <w:bottom w:val="single" w:sz="8" w:color="0090DA"/>
            </w:tcBorders>
          </w:tcPr>
          <w:p>
            <w:pPr>
              <w:spacing w:after="0"/>
              <w:rPr>
                <w:sz w:val="18"/>
                <w:szCs w:val="18"/>
                <w:color w:val="auto"/>
              </w:rPr>
            </w:pPr>
          </w:p>
        </w:tc>
        <w:tc>
          <w:tcPr>
            <w:tcW w:w="7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0090DA"/>
            </w:tcBorders>
            <w:gridSpan w:val="2"/>
            <w:vMerge w:val="continue"/>
          </w:tcPr>
          <w:p>
            <w:pPr>
              <w:spacing w:after="0"/>
              <w:rPr>
                <w:sz w:val="18"/>
                <w:szCs w:val="18"/>
                <w:color w:val="auto"/>
              </w:rPr>
            </w:pPr>
          </w:p>
        </w:tc>
        <w:tc>
          <w:tcPr>
            <w:tcW w:w="16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Capital</w:t>
            </w:r>
          </w:p>
        </w:tc>
        <w:tc>
          <w:tcPr>
            <w:tcW w:w="80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780" w:type="dxa"/>
            <w:vAlign w:val="bottom"/>
            <w:tcBorders>
              <w:bottom w:val="single" w:sz="8" w:color="0090DA"/>
            </w:tcBorders>
          </w:tcPr>
          <w:p>
            <w:pPr>
              <w:ind w:left="180"/>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240" w:type="dxa"/>
            <w:vAlign w:val="bottom"/>
            <w:tcBorders>
              <w:bottom w:val="single" w:sz="8" w:color="0090DA"/>
            </w:tcBorders>
          </w:tcPr>
          <w:p>
            <w:pPr>
              <w:spacing w:after="0"/>
              <w:rPr>
                <w:sz w:val="18"/>
                <w:szCs w:val="18"/>
                <w:color w:val="auto"/>
              </w:rPr>
            </w:pPr>
          </w:p>
        </w:tc>
        <w:tc>
          <w:tcPr>
            <w:tcW w:w="9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5"/>
        </w:trPr>
        <w:tc>
          <w:tcPr>
            <w:tcW w:w="4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1,194</w:t>
            </w:r>
          </w:p>
        </w:tc>
        <w:tc>
          <w:tcPr>
            <w:tcW w:w="26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$ 33,384</w:t>
            </w:r>
          </w:p>
        </w:tc>
        <w:tc>
          <w:tcPr>
            <w:tcW w:w="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 (3,495)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9"/>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December 3, 2020</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1,198</w:t>
            </w:r>
          </w:p>
        </w:tc>
        <w:tc>
          <w:tcPr>
            <w:tcW w:w="260" w:type="dxa"/>
            <w:vAlign w:val="bottom"/>
            <w:shd w:val="clear" w:color="auto" w:fill="D1D2D4"/>
          </w:tcPr>
          <w:p>
            <w:pPr>
              <w:jc w:val="right"/>
              <w:ind w:right="5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9,034</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$ 34,138</w:t>
            </w:r>
          </w:p>
        </w:tc>
        <w:tc>
          <w:tcPr>
            <w:tcW w:w="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 (3,495)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39,907</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603</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48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March 4, 2021</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1,202</w:t>
            </w:r>
          </w:p>
        </w:tc>
        <w:tc>
          <w:tcPr>
            <w:tcW w:w="260" w:type="dxa"/>
            <w:vAlign w:val="bottom"/>
            <w:tcBorders>
              <w:bottom w:val="single" w:sz="8" w:color="auto"/>
            </w:tcBorders>
            <w:shd w:val="clear" w:color="auto" w:fill="D1D2D4"/>
          </w:tcPr>
          <w:p>
            <w:pPr>
              <w:jc w:val="right"/>
              <w:ind w:right="5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9,234</w:t>
            </w: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$ 34,723</w:t>
            </w:r>
          </w:p>
        </w:tc>
        <w:tc>
          <w:tcPr>
            <w:tcW w:w="78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 (3,495)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40,663</w:t>
            </w:r>
          </w:p>
        </w:tc>
        <w:tc>
          <w:tcPr>
            <w:tcW w:w="0" w:type="dxa"/>
            <w:vAlign w:val="bottom"/>
          </w:tcPr>
          <w:p>
            <w:pPr>
              <w:spacing w:after="0"/>
              <w:rPr>
                <w:sz w:val="1"/>
                <w:szCs w:val="1"/>
                <w:color w:val="auto"/>
              </w:rPr>
            </w:pPr>
          </w:p>
        </w:tc>
      </w:tr>
      <w:tr>
        <w:trPr>
          <w:trHeight w:val="20"/>
        </w:trPr>
        <w:tc>
          <w:tcPr>
            <w:tcW w:w="4820" w:type="dxa"/>
            <w:vAlign w:val="bottom"/>
            <w:tcBorders>
              <w:top w:val="single" w:sz="8" w:color="D1D2D4"/>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5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80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700" w:type="dxa"/>
            <w:vAlign w:val="bottom"/>
            <w:tcBorders>
              <w:bottom w:val="single" w:sz="8" w:color="0090DA"/>
            </w:tcBorders>
          </w:tcPr>
          <w:p>
            <w:pPr>
              <w:spacing w:after="0"/>
              <w:rPr>
                <w:sz w:val="18"/>
                <w:szCs w:val="18"/>
                <w:color w:val="auto"/>
              </w:rPr>
            </w:pPr>
          </w:p>
        </w:tc>
        <w:tc>
          <w:tcPr>
            <w:tcW w:w="240" w:type="dxa"/>
            <w:vAlign w:val="bottom"/>
            <w:tcBorders>
              <w:bottom w:val="single" w:sz="8" w:color="0090DA"/>
            </w:tcBorders>
          </w:tcPr>
          <w:p>
            <w:pPr>
              <w:spacing w:after="0"/>
              <w:rPr>
                <w:sz w:val="18"/>
                <w:szCs w:val="18"/>
                <w:color w:val="auto"/>
              </w:rPr>
            </w:pPr>
          </w:p>
        </w:tc>
        <w:tc>
          <w:tcPr>
            <w:tcW w:w="520" w:type="dxa"/>
            <w:vAlign w:val="bottom"/>
            <w:tcBorders>
              <w:bottom w:val="single" w:sz="8" w:color="0090DA"/>
            </w:tcBorders>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spacing w:after="0"/>
              <w:rPr>
                <w:sz w:val="18"/>
                <w:szCs w:val="18"/>
                <w:color w:val="auto"/>
              </w:rPr>
            </w:pPr>
          </w:p>
        </w:tc>
        <w:tc>
          <w:tcPr>
            <w:tcW w:w="1720" w:type="dxa"/>
            <w:vAlign w:val="bottom"/>
            <w:tcBorders>
              <w:bottom w:val="single" w:sz="8" w:color="0090DA"/>
            </w:tcBorders>
            <w:gridSpan w:val="3"/>
          </w:tcPr>
          <w:p>
            <w:pPr>
              <w:jc w:val="right"/>
              <w:spacing w:after="0"/>
              <w:rPr>
                <w:sz w:val="20"/>
                <w:szCs w:val="20"/>
                <w:color w:val="auto"/>
              </w:rPr>
            </w:pPr>
            <w:r>
              <w:rPr>
                <w:rFonts w:ascii="Arial" w:cs="Arial" w:eastAsia="Arial" w:hAnsi="Arial"/>
                <w:sz w:val="16"/>
                <w:szCs w:val="16"/>
                <w:b w:val="1"/>
                <w:bCs w:val="1"/>
                <w:color w:val="auto"/>
              </w:rPr>
              <w:t>Micron Shareholders</w:t>
            </w:r>
          </w:p>
        </w:tc>
        <w:tc>
          <w:tcPr>
            <w:tcW w:w="1160" w:type="dxa"/>
            <w:vAlign w:val="bottom"/>
            <w:tcBorders>
              <w:bottom w:val="single" w:sz="8" w:color="0090DA"/>
            </w:tcBorders>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1460" w:type="dxa"/>
            <w:vAlign w:val="bottom"/>
            <w:tcBorders>
              <w:bottom w:val="single" w:sz="8" w:color="0090DA"/>
            </w:tcBorders>
            <w:gridSpan w:val="3"/>
          </w:tcPr>
          <w:p>
            <w:pPr>
              <w:jc w:val="right"/>
              <w:ind w:right="5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8"/>
              </w:rPr>
              <w:t>Total Micron</w:t>
            </w:r>
          </w:p>
        </w:tc>
        <w:tc>
          <w:tcPr>
            <w:tcW w:w="12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Noncontrolling</w:t>
            </w: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940" w:type="dxa"/>
            <w:vAlign w:val="bottom"/>
            <w:gridSpan w:val="8"/>
          </w:tcPr>
          <w:p>
            <w:pPr>
              <w:jc w:val="right"/>
              <w:spacing w:after="0" w:line="162" w:lineRule="exact"/>
              <w:rPr>
                <w:sz w:val="20"/>
                <w:szCs w:val="20"/>
                <w:color w:val="auto"/>
              </w:rPr>
            </w:pPr>
            <w:r>
              <w:rPr>
                <w:rFonts w:ascii="Arial" w:cs="Arial" w:eastAsia="Arial" w:hAnsi="Arial"/>
                <w:sz w:val="16"/>
                <w:szCs w:val="16"/>
                <w:b w:val="1"/>
                <w:bCs w:val="1"/>
                <w:color w:val="auto"/>
              </w:rPr>
              <w:t>Additional  Retained  Treasury Comprehensive Shareholders’</w:t>
            </w:r>
          </w:p>
        </w:tc>
        <w:tc>
          <w:tcPr>
            <w:tcW w:w="160" w:type="dxa"/>
            <w:vAlign w:val="bottom"/>
          </w:tcPr>
          <w:p>
            <w:pPr>
              <w:spacing w:after="0"/>
              <w:rPr>
                <w:sz w:val="14"/>
                <w:szCs w:val="14"/>
                <w:color w:val="auto"/>
              </w:rPr>
            </w:pPr>
          </w:p>
        </w:tc>
        <w:tc>
          <w:tcPr>
            <w:tcW w:w="1060" w:type="dxa"/>
            <w:vAlign w:val="bottom"/>
          </w:tcPr>
          <w:p>
            <w:pPr>
              <w:jc w:val="right"/>
              <w:ind w:right="131"/>
              <w:spacing w:after="0" w:line="162" w:lineRule="exact"/>
              <w:rPr>
                <w:sz w:val="20"/>
                <w:szCs w:val="20"/>
                <w:color w:val="auto"/>
              </w:rPr>
            </w:pPr>
            <w:r>
              <w:rPr>
                <w:rFonts w:ascii="Arial" w:cs="Arial" w:eastAsia="Arial" w:hAnsi="Arial"/>
                <w:sz w:val="16"/>
                <w:szCs w:val="16"/>
                <w:b w:val="1"/>
                <w:bCs w:val="1"/>
                <w:color w:val="auto"/>
              </w:rPr>
              <w:t>Interest in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60" w:type="dxa"/>
            <w:vAlign w:val="bottom"/>
            <w:tcBorders>
              <w:bottom w:val="single" w:sz="8" w:color="0090DA"/>
            </w:tcBorders>
          </w:tcPr>
          <w:p>
            <w:pPr>
              <w:spacing w:after="0"/>
              <w:rPr>
                <w:sz w:val="18"/>
                <w:szCs w:val="18"/>
                <w:color w:val="auto"/>
              </w:rPr>
            </w:pPr>
          </w:p>
        </w:tc>
        <w:tc>
          <w:tcPr>
            <w:tcW w:w="7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0090DA"/>
            </w:tcBorders>
            <w:gridSpan w:val="2"/>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right"/>
              <w:ind w:right="71"/>
              <w:spacing w:after="0"/>
              <w:rPr>
                <w:sz w:val="20"/>
                <w:szCs w:val="20"/>
                <w:color w:val="auto"/>
              </w:rPr>
            </w:pPr>
            <w:r>
              <w:rPr>
                <w:rFonts w:ascii="Arial" w:cs="Arial" w:eastAsia="Arial" w:hAnsi="Arial"/>
                <w:sz w:val="16"/>
                <w:szCs w:val="16"/>
                <w:b w:val="1"/>
                <w:bCs w:val="1"/>
                <w:color w:val="auto"/>
              </w:rPr>
              <w:t>Capital</w:t>
            </w:r>
          </w:p>
        </w:tc>
        <w:tc>
          <w:tcPr>
            <w:tcW w:w="82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78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w w:val="99"/>
              </w:rPr>
              <w:t>Income (Loss)</w:t>
            </w: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jc w:val="right"/>
              <w:ind w:right="91"/>
              <w:spacing w:after="0"/>
              <w:rPr>
                <w:sz w:val="20"/>
                <w:szCs w:val="20"/>
                <w:color w:val="auto"/>
              </w:rPr>
            </w:pPr>
            <w:r>
              <w:rPr>
                <w:rFonts w:ascii="Arial" w:cs="Arial" w:eastAsia="Arial" w:hAnsi="Arial"/>
                <w:sz w:val="16"/>
                <w:szCs w:val="16"/>
                <w:b w:val="1"/>
                <w:bCs w:val="1"/>
                <w:color w:val="auto"/>
              </w:rPr>
              <w:t>Subsidiary</w:t>
            </w:r>
          </w:p>
        </w:tc>
        <w:tc>
          <w:tcPr>
            <w:tcW w:w="760" w:type="dxa"/>
            <w:vAlign w:val="bottom"/>
            <w:tcBorders>
              <w:bottom w:val="single" w:sz="8" w:color="0090DA"/>
            </w:tcBorders>
          </w:tcPr>
          <w:p>
            <w:pPr>
              <w:jc w:val="right"/>
              <w:ind w:right="5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5"/>
        </w:trPr>
        <w:tc>
          <w:tcPr>
            <w:tcW w:w="2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8,214</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$ 30,761</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(3,221)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35,881</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889</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177"/>
        </w:trPr>
        <w:tc>
          <w:tcPr>
            <w:tcW w:w="2860" w:type="dxa"/>
            <w:vAlign w:val="bottom"/>
            <w:shd w:val="clear" w:color="auto" w:fill="D1D2D4"/>
          </w:tcPr>
          <w:p>
            <w:pPr>
              <w:ind w:left="20"/>
              <w:spacing w:after="0" w:line="178"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1"/>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20" w:type="dxa"/>
            <w:vAlign w:val="bottom"/>
            <w:vMerge w:val="continue"/>
            <w:shd w:val="clear" w:color="auto" w:fill="D1D2D4"/>
          </w:tcPr>
          <w:p>
            <w:pPr>
              <w:spacing w:after="0"/>
              <w:rPr>
                <w:sz w:val="17"/>
                <w:szCs w:val="17"/>
                <w:color w:val="auto"/>
              </w:rPr>
            </w:pPr>
          </w:p>
        </w:tc>
        <w:tc>
          <w:tcPr>
            <w:tcW w:w="78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6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 of noncontrolling interest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(904)</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November 28, 2019</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1,185</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8,428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$ 31,218</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(3,271)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36,500</w:t>
            </w:r>
          </w:p>
        </w:tc>
        <w:tc>
          <w:tcPr>
            <w:tcW w:w="1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$36,500</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77"/>
        </w:trPr>
        <w:tc>
          <w:tcPr>
            <w:tcW w:w="2860" w:type="dxa"/>
            <w:vAlign w:val="bottom"/>
            <w:shd w:val="clear" w:color="auto" w:fill="D1D2D4"/>
          </w:tcPr>
          <w:p>
            <w:pPr>
              <w:ind w:left="20"/>
              <w:spacing w:after="0" w:line="178"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5"/>
                <w:szCs w:val="15"/>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1"/>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520" w:type="dxa"/>
            <w:vAlign w:val="bottom"/>
            <w:vMerge w:val="continue"/>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740" w:type="dxa"/>
            <w:vAlign w:val="bottom"/>
            <w:vMerge w:val="continue"/>
            <w:shd w:val="clear" w:color="auto" w:fill="D1D2D4"/>
          </w:tcPr>
          <w:p>
            <w:pPr>
              <w:spacing w:after="0"/>
              <w:rPr>
                <w:sz w:val="17"/>
                <w:szCs w:val="17"/>
                <w:color w:val="auto"/>
              </w:rPr>
            </w:pPr>
          </w:p>
        </w:tc>
        <w:tc>
          <w:tcPr>
            <w:tcW w:w="820" w:type="dxa"/>
            <w:vAlign w:val="bottom"/>
            <w:vMerge w:val="continue"/>
            <w:shd w:val="clear" w:color="auto" w:fill="D1D2D4"/>
          </w:tcPr>
          <w:p>
            <w:pPr>
              <w:spacing w:after="0"/>
              <w:rPr>
                <w:sz w:val="17"/>
                <w:szCs w:val="17"/>
                <w:color w:val="auto"/>
              </w:rPr>
            </w:pPr>
          </w:p>
        </w:tc>
        <w:tc>
          <w:tcPr>
            <w:tcW w:w="78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160" w:type="dxa"/>
            <w:vAlign w:val="bottom"/>
            <w:vMerge w:val="continue"/>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060" w:type="dxa"/>
            <w:vAlign w:val="bottom"/>
            <w:vMerge w:val="continue"/>
            <w:shd w:val="clear" w:color="auto" w:fill="D1D2D4"/>
          </w:tcPr>
          <w:p>
            <w:pPr>
              <w:spacing w:after="0"/>
              <w:rPr>
                <w:sz w:val="17"/>
                <w:szCs w:val="17"/>
                <w:color w:val="auto"/>
              </w:rPr>
            </w:pPr>
          </w:p>
        </w:tc>
        <w:tc>
          <w:tcPr>
            <w:tcW w:w="760" w:type="dxa"/>
            <w:vAlign w:val="bottom"/>
            <w:vMerge w:val="continue"/>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Settlement of capped calls</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February 27, 2020</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1,191</w:t>
            </w:r>
          </w:p>
        </w:tc>
        <w:tc>
          <w:tcPr>
            <w:tcW w:w="240" w:type="dxa"/>
            <w:vAlign w:val="bottom"/>
            <w:tcBorders>
              <w:bottom w:val="single" w:sz="8" w:color="auto"/>
            </w:tcBorders>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8,725</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$ 31,602</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(3,414)</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37,023</w:t>
            </w:r>
          </w:p>
        </w:tc>
        <w:tc>
          <w:tcPr>
            <w:tcW w:w="16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 $37,023</w:t>
            </w:r>
          </w:p>
        </w:tc>
        <w:tc>
          <w:tcPr>
            <w:tcW w:w="0" w:type="dxa"/>
            <w:vAlign w:val="bottom"/>
          </w:tcPr>
          <w:p>
            <w:pPr>
              <w:spacing w:after="0"/>
              <w:rPr>
                <w:sz w:val="1"/>
                <w:szCs w:val="1"/>
                <w:color w:val="auto"/>
              </w:rPr>
            </w:pPr>
          </w:p>
        </w:tc>
      </w:tr>
      <w:tr>
        <w:trPr>
          <w:trHeight w:val="20"/>
        </w:trPr>
        <w:tc>
          <w:tcPr>
            <w:tcW w:w="2860" w:type="dxa"/>
            <w:vAlign w:val="bottom"/>
            <w:tcBorders>
              <w:top w:val="single" w:sz="8" w:color="D1D2D4"/>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0080"/>
        <w:spacing w:after="0"/>
        <w:rPr>
          <w:sz w:val="20"/>
          <w:szCs w:val="20"/>
          <w:color w:val="auto"/>
        </w:rPr>
      </w:pPr>
      <w:r>
        <w:rPr>
          <w:sz w:val="1"/>
          <w:szCs w:val="1"/>
          <w:color w:val="auto"/>
        </w:rPr>
        <w:drawing>
          <wp:inline distT="0" distB="0" distL="0" distR="0">
            <wp:extent cx="643255" cy="179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2"/>
          <w:szCs w:val="12"/>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36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(5,974)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6,574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8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3, 2020. Except for the significant accounting policy associated with inventories as discussed below, there have been no changes to our significant accounting policies since our Annual Report on Form 10-K for the year ended September 3, 2020.</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6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accompanying consolidated financial statements include the accounts of Micron and our consolidated subsidiaries and have been prepared in accordance with accounting principles generally accepted in the United States of America (“U.S. GAAP”) consistent in all material respects with those applied in our Annual Report on Form 10-K for the year ended September 3, 2020, except for changes in accounting and presentation of inventories. See “Inventories” below for changes to our significant accounting policies, and the “Inventories” note for additional information.</w:t>
      </w:r>
    </w:p>
    <w:p>
      <w:pPr>
        <w:spacing w:after="0" w:line="23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fiscal year is the 52 or 53-week period ending on the Thursday closest to August 31. Fiscal 2021 contains 52 weeks and our fiscal 2020 contained 53 weeks. The first and second quarters of fiscal 2021 and 2020 each contained 13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3, 2020.</w:t>
      </w:r>
    </w:p>
    <w:p>
      <w:pPr>
        <w:spacing w:after="0" w:line="23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Through October 31, 2019, IMFT was a consolidated variable interest entity. We acquired Intel’s noncontrolling interest in IMFT on October 31, 2019, at which time IMFT became a wholly-owned subsidiary.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Inventories</w:t>
      </w:r>
    </w:p>
    <w:p>
      <w:pPr>
        <w:spacing w:after="0" w:line="2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as of the beginning of the second quarter of 2021, we changed the method of inventory costing from average cost to first-in, first-out (“FIFO”). The difference between average cost and FIFO was not material to any previously reported financial statements. Therefore, we have recognized the cumulative effect of the change as a reduction of inventories and a charge to cost of goods sold of $133 million as of the beginning of the second quarter of 2021.</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Inventories are stated at the lower of cost or net realizable value, with cost being determined on a FIFO basis. Cost includes depreciation, labor, material, and overhead costs, including product and process technology costs. When net realizable value (which requires projecting future average selling prices, sales volumes, and costs to complete products in work in process inventories)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average cost or net realizable value analysis and categorize all inventories (including DRAM, NAND, and other memory) as a single group. We remove amounts from inventory and charge such amounts to cost of goods sold on a FIFO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 w:name="page12"/>
    <w:bookmarkEnd w:id="11"/>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2018, the Financial Accounting Standards Board (“FASB”) issued ASU 2018-18 –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We adopted ASU 2018-18 in the first quarter of 2021 under the retrospective adoption method to the date we adopted ASC 606, which was August 31, 2018. The adoption of this ASU did not have a significant impact on our financial statements.</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June 2016, the FASB issued ASU 2016-13 –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We adopted ASU 2016-13 in the first quarter of 2021 under the modified retrospective adoption method. The adoption of this ASU did not have a significant impact on our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2020, the FASB issued ASU 2020-06 – </w:t>
      </w:r>
      <w:r>
        <w:rPr>
          <w:rFonts w:ascii="Arial" w:cs="Arial" w:eastAsia="Arial" w:hAnsi="Arial"/>
          <w:sz w:val="18"/>
          <w:szCs w:val="18"/>
          <w:i w:val="1"/>
          <w:iCs w:val="1"/>
          <w:color w:val="auto"/>
        </w:rPr>
        <w:t>Debt</w:t>
      </w:r>
      <w:r>
        <w:rPr>
          <w:rFonts w:ascii="Arial" w:cs="Arial" w:eastAsia="Arial" w:hAnsi="Arial"/>
          <w:sz w:val="18"/>
          <w:szCs w:val="18"/>
          <w:color w:val="auto"/>
        </w:rPr>
        <w:t xml:space="preserve"> – </w:t>
      </w:r>
      <w:r>
        <w:rPr>
          <w:rFonts w:ascii="Arial" w:cs="Arial" w:eastAsia="Arial" w:hAnsi="Arial"/>
          <w:sz w:val="18"/>
          <w:szCs w:val="18"/>
          <w:i w:val="1"/>
          <w:iCs w:val="1"/>
          <w:color w:val="auto"/>
        </w:rPr>
        <w:t>Debt with Conversion and Other Options and Derivatives and Hedging</w:t>
      </w:r>
      <w:r>
        <w:rPr>
          <w:rFonts w:ascii="Arial" w:cs="Arial" w:eastAsia="Arial" w:hAnsi="Arial"/>
          <w:sz w:val="18"/>
          <w:szCs w:val="18"/>
          <w:color w:val="auto"/>
        </w:rPr>
        <w:t xml:space="preserve"> – </w:t>
      </w:r>
      <w:r>
        <w:rPr>
          <w:rFonts w:ascii="Arial" w:cs="Arial" w:eastAsia="Arial" w:hAnsi="Arial"/>
          <w:sz w:val="18"/>
          <w:szCs w:val="18"/>
          <w:i w:val="1"/>
          <w:iCs w:val="1"/>
          <w:color w:val="auto"/>
        </w:rPr>
        <w:t>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in Entity’s Own Equity</w:t>
      </w:r>
      <w:r>
        <w:rPr>
          <w:rFonts w:ascii="Arial" w:cs="Arial" w:eastAsia="Arial" w:hAnsi="Arial"/>
          <w:sz w:val="18"/>
          <w:szCs w:val="18"/>
          <w:color w:val="auto"/>
        </w:rPr>
        <w:t>, which simplifies the accounting for convertible debt instruments by reducing the number of accounting models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embedded conversion features that could be recognized separately from the primary contract. This ASU requires a convertible debt instrument to be accounted for as a single liability measured at its amortized cost, as long as no other features require bifurcation and recognition as derivatives. This ASU requires an entity to use the if-converted method in the diluted earnings per share calculation for convertible instruments. This ASU will be effective for us in the first quarter of 2023, with early adoption permitted beginning in the first quarter of 2022, and permits the use of either the modified retrospective or fully retrospective method of transition. We are evaluating the timing and effects of our adoption of this ASU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9" w:right="359" w:bottom="1440" w:gutter="0" w:footer="0" w:header="0"/>
        </w:sectPr>
      </w:pPr>
    </w:p>
    <w:bookmarkStart w:id="12" w:name="page13"/>
    <w:bookmarkEnd w:id="12"/>
    <w:p>
      <w:pPr>
        <w:spacing w:after="0"/>
        <w:rPr>
          <w:sz w:val="20"/>
          <w:szCs w:val="20"/>
          <w:color w:val="auto"/>
        </w:rPr>
      </w:pPr>
      <w:r>
        <w:rPr>
          <w:rFonts w:ascii="Arial" w:cs="Arial" w:eastAsia="Arial" w:hAnsi="Arial"/>
          <w:sz w:val="40"/>
          <w:szCs w:val="40"/>
          <w:b w:val="1"/>
          <w:bCs w:val="1"/>
          <w:color w:val="auto"/>
        </w:rPr>
        <w:t>Cash and Investments</w:t>
      </w:r>
    </w:p>
    <w:p>
      <w:pPr>
        <w:spacing w:after="0" w:line="28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Substantially all of our marketable debt and equity investments were classified as available-for-sale as of the dates noted below. Cash and equivalents and the fair values of our available-for-sale investments, which approximated amortized costs, were as follows:</w:t>
      </w:r>
    </w:p>
    <w:tbl>
      <w:tblPr>
        <w:tblLayout w:type="fixed"/>
        <w:tblInd w:w="0" w:type="dxa"/>
        <w:tblCellMar>
          <w:top w:w="0" w:type="dxa"/>
          <w:left w:w="0" w:type="dxa"/>
          <w:bottom w:w="0" w:type="dxa"/>
          <w:right w:w="0" w:type="dxa"/>
        </w:tblCellMar>
      </w:tblPr>
      <w:tr>
        <w:trPr>
          <w:trHeight w:val="239"/>
        </w:trPr>
        <w:tc>
          <w:tcPr>
            <w:tcW w:w="2020" w:type="dxa"/>
            <w:vAlign w:val="bottom"/>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980" w:type="dxa"/>
            <w:vAlign w:val="bottom"/>
            <w:tcBorders>
              <w:bottom w:val="single" w:sz="8" w:color="00A3E1"/>
            </w:tcBorders>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2420" w:type="dxa"/>
            <w:vAlign w:val="bottom"/>
            <w:tcBorders>
              <w:bottom w:val="single" w:sz="8" w:color="00A3E1"/>
            </w:tcBorders>
            <w:gridSpan w:val="3"/>
          </w:tcPr>
          <w:p>
            <w:pPr>
              <w:jc w:val="right"/>
              <w:ind w:right="710"/>
              <w:spacing w:after="0"/>
              <w:rPr>
                <w:sz w:val="20"/>
                <w:szCs w:val="20"/>
                <w:color w:val="auto"/>
              </w:rPr>
            </w:pPr>
            <w:r>
              <w:rPr>
                <w:rFonts w:ascii="Arial" w:cs="Arial" w:eastAsia="Arial" w:hAnsi="Arial"/>
                <w:sz w:val="18"/>
                <w:szCs w:val="18"/>
                <w:b w:val="1"/>
                <w:bCs w:val="1"/>
                <w:color w:val="auto"/>
              </w:rPr>
              <w:t>March 4, 2021</w:t>
            </w:r>
          </w:p>
        </w:tc>
        <w:tc>
          <w:tcPr>
            <w:tcW w:w="180" w:type="dxa"/>
            <w:vAlign w:val="bottom"/>
            <w:tcBorders>
              <w:bottom w:val="single" w:sz="8" w:color="00A3E1"/>
            </w:tcBorders>
          </w:tcPr>
          <w:p>
            <w:pPr>
              <w:spacing w:after="0"/>
              <w:rPr>
                <w:sz w:val="20"/>
                <w:szCs w:val="20"/>
                <w:color w:val="auto"/>
              </w:rPr>
            </w:pPr>
          </w:p>
        </w:tc>
        <w:tc>
          <w:tcPr>
            <w:tcW w:w="700" w:type="dxa"/>
            <w:vAlign w:val="bottom"/>
            <w:tcBorders>
              <w:bottom w:val="single" w:sz="8" w:color="00A3E1"/>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A3E1"/>
            </w:tcBorders>
          </w:tcPr>
          <w:p>
            <w:pPr>
              <w:spacing w:after="0"/>
              <w:rPr>
                <w:sz w:val="20"/>
                <w:szCs w:val="20"/>
                <w:color w:val="auto"/>
              </w:rPr>
            </w:pPr>
          </w:p>
        </w:tc>
        <w:tc>
          <w:tcPr>
            <w:tcW w:w="980" w:type="dxa"/>
            <w:vAlign w:val="bottom"/>
            <w:tcBorders>
              <w:bottom w:val="single" w:sz="8" w:color="00A3E1"/>
            </w:tcBorders>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2420" w:type="dxa"/>
            <w:vAlign w:val="bottom"/>
            <w:tcBorders>
              <w:bottom w:val="single" w:sz="8" w:color="00A3E1"/>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3, 2020</w:t>
            </w:r>
          </w:p>
        </w:tc>
        <w:tc>
          <w:tcPr>
            <w:tcW w:w="18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Long-term</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8"/>
              </w:rPr>
              <w:t>Total Fair</w:t>
            </w: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4"/>
                <w:szCs w:val="14"/>
                <w:color w:val="auto"/>
              </w:rPr>
            </w:pPr>
          </w:p>
        </w:tc>
        <w:tc>
          <w:tcPr>
            <w:tcW w:w="11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5"/>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88"/>
        </w:trPr>
        <w:tc>
          <w:tcPr>
            <w:tcW w:w="2020" w:type="dxa"/>
            <w:vAlign w:val="bottom"/>
          </w:tcPr>
          <w:p>
            <w:pPr>
              <w:ind w:left="140"/>
              <w:spacing w:after="0" w:line="189" w:lineRule="exact"/>
              <w:rPr>
                <w:sz w:val="20"/>
                <w:szCs w:val="20"/>
                <w:color w:val="auto"/>
              </w:rPr>
            </w:pPr>
            <w:r>
              <w:rPr>
                <w:rFonts w:ascii="Arial" w:cs="Arial" w:eastAsia="Arial" w:hAnsi="Arial"/>
                <w:sz w:val="18"/>
                <w:szCs w:val="18"/>
                <w:color w:val="auto"/>
              </w:rPr>
              <w:t>Asset-backed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67</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tcPr>
          <w:p>
            <w:pPr>
              <w:ind w:left="20"/>
              <w:spacing w:after="0" w:line="168"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7,690</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line="190" w:lineRule="exact"/>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ind w:left="240" w:hanging="232"/>
        <w:spacing w:after="0" w:line="196" w:lineRule="auto"/>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March 4, 2021 or September 3, 2020.</w:t>
      </w:r>
    </w:p>
    <w:p>
      <w:pPr>
        <w:spacing w:after="0" w:line="1" w:lineRule="exact"/>
        <w:rPr>
          <w:rFonts w:ascii="Arial" w:cs="Arial" w:eastAsia="Arial" w:hAnsi="Arial"/>
          <w:sz w:val="23"/>
          <w:szCs w:val="23"/>
          <w:i w:val="1"/>
          <w:iCs w:val="1"/>
          <w:color w:val="auto"/>
          <w:vertAlign w:val="superscript"/>
        </w:rPr>
      </w:pPr>
    </w:p>
    <w:p>
      <w:pPr>
        <w:ind w:left="260" w:right="580" w:hanging="252"/>
        <w:spacing w:after="0" w:line="220"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noncurrent assets and primarily relates to certain government incentives received prior to being earned and for which restrictions lapse upon achieving certain performance conditions.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Receivables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4,</w:t>
            </w:r>
          </w:p>
        </w:tc>
        <w:tc>
          <w:tcPr>
            <w:tcW w:w="1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3" w:name="page14"/>
    <w:bookmarkEnd w:id="13"/>
    <w:p>
      <w:pPr>
        <w:spacing w:after="0"/>
        <w:rPr>
          <w:sz w:val="20"/>
          <w:szCs w:val="20"/>
          <w:color w:val="auto"/>
        </w:rPr>
      </w:pPr>
      <w:r>
        <w:rPr>
          <w:rFonts w:ascii="Arial" w:cs="Arial" w:eastAsia="Arial" w:hAnsi="Arial"/>
          <w:sz w:val="40"/>
          <w:szCs w:val="40"/>
          <w:b w:val="1"/>
          <w:bCs w:val="1"/>
          <w:color w:val="auto"/>
        </w:rPr>
        <w:t>Inventories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4,</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3,527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is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a $128 million reduction to net income, and an $0.11 reduction to diluted earnings per share for the second quarter of 2021.</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Beginning in the second quarter of 2021, we changed the classification of spare parts for equipment to better align with the manner in which they are used in operations. As a result, we now present spare parts as other current assets and no longer as a component of raw materials inventories. This reclassification was applied on a retrospective basis. As a result, $270 million of spare parts were presented in other current assets as of March 4, 2021, and we reclassified $234 million of spare parts from inventories to other current assets in the accompanying balance sheet as of September 3,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Assets Held for Sale</w:t>
      </w:r>
    </w:p>
    <w:p>
      <w:pPr>
        <w:spacing w:after="0" w:line="28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at scale. Effective as of the end of the second quarter of 2021, we ceased development of 3D XPoint technology and engaged in discussions with potential buyers for the sale of our facility located in Lehi, Utah, that was dedicated to 3D XPoint production. As a result, we classified the property, plant, and equipment as held-for-sale and ceased depreciating the assets. As of March 4, 2021, the significant balances of assets and liabilities classified as held-for-sale in connection with our Lehi facility included $1.44 billion of property, plant, and equipment included in assets held for sale and $51 million of a finance lease obligation included in current portion of long-term debt. We also recognized a charge of $49 million to cost of goods sold in the second quarter of 2021 to write down 3D XPoint inventory due to our decision to cease further development of this technology. We expect to reach an agreement for the sale of our Lehi facility within calendar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4" w:name="page15"/>
    <w:bookmarkEnd w:id="14"/>
    <w:p>
      <w:pPr>
        <w:spacing w:after="0"/>
        <w:rPr>
          <w:sz w:val="20"/>
          <w:szCs w:val="20"/>
          <w:color w:val="auto"/>
        </w:rPr>
      </w:pPr>
      <w:r>
        <w:rPr>
          <w:rFonts w:ascii="Arial" w:cs="Arial" w:eastAsia="Arial" w:hAnsi="Arial"/>
          <w:sz w:val="40"/>
          <w:szCs w:val="40"/>
          <w:b w:val="1"/>
          <w:bCs w:val="1"/>
          <w:color w:val="auto"/>
        </w:rPr>
        <w:t>Property, Plant, and Equipment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4,</w:t>
            </w:r>
          </w:p>
        </w:tc>
        <w:tc>
          <w:tcPr>
            <w:tcW w:w="120" w:type="dxa"/>
            <w:vAlign w:val="bottom"/>
          </w:tcPr>
          <w:p>
            <w:pPr>
              <w:spacing w:after="0"/>
              <w:rPr>
                <w:sz w:val="17"/>
                <w:szCs w:val="17"/>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12,819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13,981</w:t>
            </w:r>
          </w:p>
        </w:tc>
        <w:tc>
          <w:tcPr>
            <w:tcW w:w="0" w:type="dxa"/>
            <w:vAlign w:val="bottom"/>
          </w:tcPr>
          <w:p>
            <w:pPr>
              <w:spacing w:after="0"/>
              <w:rPr>
                <w:sz w:val="1"/>
                <w:szCs w:val="1"/>
                <w:color w:val="auto"/>
              </w:rPr>
            </w:pPr>
          </w:p>
        </w:tc>
      </w:tr>
      <w:tr>
        <w:trPr>
          <w:trHeight w:val="229"/>
        </w:trPr>
        <w:tc>
          <w:tcPr>
            <w:tcW w:w="84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48,649</w:t>
            </w:r>
          </w:p>
        </w:tc>
        <w:tc>
          <w:tcPr>
            <w:tcW w:w="1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48,525</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64,725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65,331</w:t>
            </w:r>
          </w:p>
        </w:tc>
        <w:tc>
          <w:tcPr>
            <w:tcW w:w="0" w:type="dxa"/>
            <w:vAlign w:val="bottom"/>
          </w:tcPr>
          <w:p>
            <w:pPr>
              <w:spacing w:after="0"/>
              <w:rPr>
                <w:sz w:val="1"/>
                <w:szCs w:val="1"/>
                <w:color w:val="auto"/>
              </w:rPr>
            </w:pPr>
          </w:p>
        </w:tc>
      </w:tr>
      <w:tr>
        <w:trPr>
          <w:trHeight w:val="229"/>
        </w:trPr>
        <w:tc>
          <w:tcPr>
            <w:tcW w:w="8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2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(32,877)</w:t>
            </w:r>
          </w:p>
        </w:tc>
        <w:tc>
          <w:tcPr>
            <w:tcW w:w="12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(34,300)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costs related to equipment not placed into service of $2.27 billion as of March 4, 2021 and $1.63 billion as of September 3, 2020.</w:t>
      </w:r>
    </w:p>
    <w:p>
      <w:pPr>
        <w:ind w:left="240" w:hanging="232"/>
        <w:spacing w:after="0" w:line="196"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placed into service.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ind w:left="600"/>
              <w:spacing w:after="0"/>
              <w:rPr>
                <w:sz w:val="20"/>
                <w:szCs w:val="20"/>
                <w:color w:val="auto"/>
              </w:rPr>
            </w:pPr>
            <w:r>
              <w:rPr>
                <w:rFonts w:ascii="Arial" w:cs="Arial" w:eastAsia="Arial" w:hAnsi="Arial"/>
                <w:sz w:val="18"/>
                <w:szCs w:val="18"/>
                <w:b w:val="1"/>
                <w:bCs w:val="1"/>
                <w:color w:val="auto"/>
              </w:rPr>
              <w:t>March 4, 2021</w:t>
            </w:r>
          </w:p>
        </w:tc>
        <w:tc>
          <w:tcPr>
            <w:tcW w:w="240" w:type="dxa"/>
            <w:vAlign w:val="bottom"/>
          </w:tcPr>
          <w:p>
            <w:pPr>
              <w:spacing w:after="0"/>
              <w:rPr>
                <w:sz w:val="20"/>
                <w:szCs w:val="20"/>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 2020</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A3E1"/>
            </w:tcBorders>
          </w:tcPr>
          <w:p>
            <w:pPr>
              <w:spacing w:after="0"/>
              <w:rPr>
                <w:sz w:val="14"/>
                <w:szCs w:val="14"/>
                <w:color w:val="auto"/>
              </w:rPr>
            </w:pPr>
          </w:p>
        </w:tc>
        <w:tc>
          <w:tcPr>
            <w:tcW w:w="1160" w:type="dxa"/>
            <w:vAlign w:val="bottom"/>
            <w:tcBorders>
              <w:top w:val="single" w:sz="8" w:color="00A3E1"/>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A3E1"/>
            </w:tcBorders>
          </w:tcPr>
          <w:p>
            <w:pPr>
              <w:spacing w:after="0"/>
              <w:rPr>
                <w:sz w:val="14"/>
                <w:szCs w:val="14"/>
                <w:color w:val="auto"/>
              </w:rPr>
            </w:pPr>
          </w:p>
        </w:tc>
        <w:tc>
          <w:tcPr>
            <w:tcW w:w="1300" w:type="dxa"/>
            <w:vAlign w:val="bottom"/>
            <w:tcBorders>
              <w:top w:val="single" w:sz="8" w:color="00A3E1"/>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Borders>
              <w:top w:val="single" w:sz="8" w:color="00A3E1"/>
            </w:tcBorders>
          </w:tcPr>
          <w:p>
            <w:pPr>
              <w:spacing w:after="0"/>
              <w:rPr>
                <w:sz w:val="14"/>
                <w:szCs w:val="14"/>
                <w:color w:val="auto"/>
              </w:rPr>
            </w:pPr>
          </w:p>
        </w:tc>
        <w:tc>
          <w:tcPr>
            <w:tcW w:w="1160" w:type="dxa"/>
            <w:vAlign w:val="bottom"/>
            <w:tcBorders>
              <w:top w:val="single" w:sz="8" w:color="00A3E1"/>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A3E1"/>
            </w:tcBorders>
          </w:tcPr>
          <w:p>
            <w:pPr>
              <w:spacing w:after="0"/>
              <w:rPr>
                <w:sz w:val="14"/>
                <w:szCs w:val="14"/>
                <w:color w:val="auto"/>
              </w:rPr>
            </w:pPr>
          </w:p>
        </w:tc>
        <w:tc>
          <w:tcPr>
            <w:tcW w:w="1300" w:type="dxa"/>
            <w:vAlign w:val="bottom"/>
            <w:tcBorders>
              <w:top w:val="single" w:sz="8" w:color="00A3E1"/>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29"/>
        </w:trPr>
        <w:tc>
          <w:tcPr>
            <w:tcW w:w="5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9"/>
                <w:szCs w:val="19"/>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first six months of 2021 and 2020, we capitalized $49 million and $30 million, respectively, for product and process technology with weighted-average useful lives of 9 years and 11 years, respectively. Expected amortization expense is $40 million for the remainder of 2021, $64 million for 2022, $56 million for 2023, $50 million for 2024, and $29 million for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8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Short-term and variable lease expenses were not significant and are presented within operating lease costs in the table below. Sublease income was not significant for any period presented. The components of lease expense are presented below:</w:t>
      </w: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p>
        </w:tc>
        <w:tc>
          <w:tcPr>
            <w:tcW w:w="2740" w:type="dxa"/>
            <w:vAlign w:val="bottom"/>
            <w:gridSpan w:val="5"/>
          </w:tcPr>
          <w:p>
            <w:pPr>
              <w:ind w:left="70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4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820" w:type="dxa"/>
            <w:vAlign w:val="bottom"/>
          </w:tcPr>
          <w:p>
            <w:pPr>
              <w:spacing w:after="0"/>
              <w:rPr>
                <w:sz w:val="14"/>
                <w:szCs w:val="14"/>
                <w:color w:val="auto"/>
              </w:rPr>
            </w:pPr>
          </w:p>
        </w:tc>
        <w:tc>
          <w:tcPr>
            <w:tcW w:w="1020" w:type="dxa"/>
            <w:vAlign w:val="bottom"/>
            <w:tcBorders>
              <w:top w:val="single" w:sz="8" w:color="0090DA"/>
            </w:tcBorders>
          </w:tcPr>
          <w:p>
            <w:pPr>
              <w:jc w:val="right"/>
              <w:spacing w:after="0" w:line="169" w:lineRule="exact"/>
              <w:rPr>
                <w:sz w:val="20"/>
                <w:szCs w:val="20"/>
                <w:color w:val="auto"/>
              </w:rPr>
            </w:pPr>
            <w:r>
              <w:rPr>
                <w:rFonts w:ascii="Arial" w:cs="Arial" w:eastAsia="Arial" w:hAnsi="Arial"/>
                <w:sz w:val="18"/>
                <w:szCs w:val="18"/>
                <w:b w:val="1"/>
                <w:bCs w:val="1"/>
                <w:color w:val="auto"/>
              </w:rPr>
              <w:t>March 4,</w:t>
            </w:r>
          </w:p>
        </w:tc>
        <w:tc>
          <w:tcPr>
            <w:tcW w:w="260" w:type="dxa"/>
            <w:vAlign w:val="bottom"/>
            <w:tcBorders>
              <w:top w:val="single" w:sz="8" w:color="0090DA"/>
            </w:tcBorders>
          </w:tcPr>
          <w:p>
            <w:pPr>
              <w:spacing w:after="0"/>
              <w:rPr>
                <w:sz w:val="14"/>
                <w:szCs w:val="14"/>
                <w:color w:val="auto"/>
              </w:rPr>
            </w:pPr>
          </w:p>
        </w:tc>
        <w:tc>
          <w:tcPr>
            <w:tcW w:w="16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8"/>
              </w:rPr>
              <w:t>February 27,</w:t>
            </w:r>
          </w:p>
        </w:tc>
        <w:tc>
          <w:tcPr>
            <w:tcW w:w="8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20" w:type="dxa"/>
            <w:vAlign w:val="bottom"/>
            <w:tcBorders>
              <w:top w:val="single" w:sz="8" w:color="0090DA"/>
            </w:tcBorders>
          </w:tcPr>
          <w:p>
            <w:pPr>
              <w:jc w:val="right"/>
              <w:ind w:right="210"/>
              <w:spacing w:after="0" w:line="169" w:lineRule="exact"/>
              <w:rPr>
                <w:sz w:val="20"/>
                <w:szCs w:val="20"/>
                <w:color w:val="auto"/>
              </w:rPr>
            </w:pPr>
            <w:r>
              <w:rPr>
                <w:rFonts w:ascii="Arial" w:cs="Arial" w:eastAsia="Arial" w:hAnsi="Arial"/>
                <w:sz w:val="18"/>
                <w:szCs w:val="18"/>
                <w:b w:val="1"/>
                <w:bCs w:val="1"/>
                <w:color w:val="auto"/>
              </w:rPr>
              <w:t>March 4,</w:t>
            </w:r>
          </w:p>
        </w:tc>
        <w:tc>
          <w:tcPr>
            <w:tcW w:w="1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98"/>
              </w:rPr>
              <w:t>February 27,</w:t>
            </w:r>
          </w:p>
        </w:tc>
      </w:tr>
      <w:tr>
        <w:trPr>
          <w:trHeight w:val="229"/>
        </w:trPr>
        <w:tc>
          <w:tcPr>
            <w:tcW w:w="5820" w:type="dxa"/>
            <w:vAlign w:val="bottom"/>
            <w:tcBorders>
              <w:bottom w:val="single" w:sz="8" w:color="0090DA"/>
            </w:tcBorders>
          </w:tcPr>
          <w:p>
            <w:pPr>
              <w:spacing w:after="0"/>
              <w:rPr>
                <w:sz w:val="19"/>
                <w:szCs w:val="19"/>
                <w:color w:val="auto"/>
              </w:rPr>
            </w:pPr>
          </w:p>
        </w:tc>
        <w:tc>
          <w:tcPr>
            <w:tcW w:w="102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34"/>
        </w:trPr>
        <w:tc>
          <w:tcPr>
            <w:tcW w:w="5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cost</w:t>
            </w:r>
          </w:p>
        </w:tc>
        <w:tc>
          <w:tcPr>
            <w:tcW w:w="10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8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Interest on lease liabilities</w:t>
            </w:r>
          </w:p>
        </w:tc>
        <w:tc>
          <w:tcPr>
            <w:tcW w:w="1020" w:type="dxa"/>
            <w:vAlign w:val="bottom"/>
            <w:shd w:val="clear" w:color="auto" w:fill="D1D2D4"/>
          </w:tcPr>
          <w:p>
            <w:pPr>
              <w:spacing w:after="0"/>
              <w:rPr>
                <w:sz w:val="19"/>
                <w:szCs w:val="19"/>
                <w:color w:val="auto"/>
              </w:rPr>
            </w:pPr>
          </w:p>
        </w:tc>
        <w:tc>
          <w:tcPr>
            <w:tcW w:w="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5820" w:type="dxa"/>
            <w:vAlign w:val="bottom"/>
            <w:tcBorders>
              <w:bottom w:val="single" w:sz="8" w:color="D1D2D4"/>
            </w:tcBorders>
            <w:shd w:val="clear" w:color="auto" w:fill="D1D2D4"/>
          </w:tcPr>
          <w:p>
            <w:pPr>
              <w:spacing w:after="0"/>
              <w:rPr>
                <w:sz w:val="21"/>
                <w:szCs w:val="21"/>
                <w:color w:val="auto"/>
              </w:rPr>
            </w:pPr>
          </w:p>
        </w:tc>
        <w:tc>
          <w:tcPr>
            <w:tcW w:w="1020" w:type="dxa"/>
            <w:vAlign w:val="bottom"/>
            <w:tcBorders>
              <w:bottom w:val="single" w:sz="8" w:color="auto"/>
            </w:tcBorders>
            <w:shd w:val="clear" w:color="auto" w:fill="D1D2D4"/>
          </w:tcPr>
          <w:p>
            <w:pPr>
              <w:jc w:val="right"/>
              <w:ind w:right="8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49</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582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6620" w:type="dxa"/>
            <w:vAlign w:val="bottom"/>
          </w:tcPr>
          <w:p>
            <w:pPr>
              <w:spacing w:after="0"/>
              <w:rPr>
                <w:sz w:val="20"/>
                <w:szCs w:val="20"/>
                <w:color w:val="auto"/>
              </w:rPr>
            </w:pPr>
            <w:r>
              <w:rPr>
                <w:rFonts w:ascii="Arial" w:cs="Arial" w:eastAsia="Arial" w:hAnsi="Arial"/>
                <w:sz w:val="18"/>
                <w:szCs w:val="18"/>
                <w:color w:val="auto"/>
              </w:rPr>
              <w:t>Other information related to our leases was as follows:</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860" w:type="dxa"/>
            <w:vAlign w:val="bottom"/>
          </w:tcPr>
          <w:p>
            <w:pPr>
              <w:jc w:val="center"/>
              <w:ind w:left="1950"/>
              <w:spacing w:after="0" w:line="202" w:lineRule="exact"/>
              <w:rPr>
                <w:sz w:val="20"/>
                <w:szCs w:val="20"/>
                <w:color w:val="auto"/>
              </w:rPr>
            </w:pPr>
            <w:r>
              <w:rPr>
                <w:rFonts w:ascii="Arial" w:cs="Arial" w:eastAsia="Arial" w:hAnsi="Arial"/>
                <w:sz w:val="18"/>
                <w:szCs w:val="18"/>
                <w:b w:val="1"/>
                <w:bCs w:val="1"/>
                <w:color w:val="auto"/>
              </w:rPr>
              <w:t>March 4,</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0090DA"/>
            </w:tcBorders>
            <w:vMerge w:val="continue"/>
          </w:tcPr>
          <w:p>
            <w:pPr>
              <w:spacing w:after="0"/>
              <w:rPr>
                <w:sz w:val="19"/>
                <w:szCs w:val="19"/>
                <w:color w:val="auto"/>
              </w:rPr>
            </w:pPr>
          </w:p>
        </w:tc>
        <w:tc>
          <w:tcPr>
            <w:tcW w:w="286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28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86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620" w:type="dxa"/>
            <w:vAlign w:val="bottom"/>
            <w:shd w:val="clear" w:color="auto" w:fill="D1D2D4"/>
          </w:tcPr>
          <w:p>
            <w:pPr>
              <w:ind w:left="14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2860" w:type="dxa"/>
            <w:vAlign w:val="bottom"/>
            <w:shd w:val="clear" w:color="auto" w:fill="D1D2D4"/>
          </w:tcPr>
          <w:p>
            <w:pPr>
              <w:spacing w:after="0"/>
              <w:rPr>
                <w:sz w:val="19"/>
                <w:szCs w:val="19"/>
                <w:color w:val="auto"/>
              </w:rPr>
            </w:pP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from financing leases</w:t>
            </w:r>
          </w:p>
        </w:tc>
        <w:tc>
          <w:tcPr>
            <w:tcW w:w="2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6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28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6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2860" w:type="dxa"/>
            <w:vAlign w:val="bottom"/>
            <w:shd w:val="clear" w:color="auto" w:fill="D1D2D4"/>
          </w:tcPr>
          <w:p>
            <w:pPr>
              <w:spacing w:after="0"/>
              <w:rPr>
                <w:sz w:val="19"/>
                <w:szCs w:val="19"/>
                <w:color w:val="auto"/>
              </w:rPr>
            </w:pP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$48 million of reimbursements received for tenant improvements for the six months ended February 27,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42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4,</w:t>
            </w:r>
          </w:p>
        </w:tc>
        <w:tc>
          <w:tcPr>
            <w:tcW w:w="400" w:type="dxa"/>
            <w:vAlign w:val="bottom"/>
          </w:tcPr>
          <w:p>
            <w:pPr>
              <w:spacing w:after="0"/>
              <w:rPr>
                <w:sz w:val="17"/>
                <w:szCs w:val="17"/>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0090DA"/>
            </w:tcBorders>
            <w:vMerge w:val="continue"/>
          </w:tcPr>
          <w:p>
            <w:pPr>
              <w:spacing w:after="0"/>
              <w:rPr>
                <w:sz w:val="19"/>
                <w:szCs w:val="19"/>
                <w:color w:val="auto"/>
              </w:rPr>
            </w:pPr>
          </w:p>
        </w:tc>
        <w:tc>
          <w:tcPr>
            <w:tcW w:w="420" w:type="dxa"/>
            <w:vAlign w:val="bottom"/>
            <w:tcBorders>
              <w:bottom w:val="single" w:sz="8" w:color="00A3E1"/>
            </w:tcBorders>
          </w:tcPr>
          <w:p>
            <w:pPr>
              <w:spacing w:after="0"/>
              <w:rPr>
                <w:sz w:val="19"/>
                <w:szCs w:val="19"/>
                <w:color w:val="auto"/>
              </w:rPr>
            </w:pPr>
          </w:p>
        </w:tc>
        <w:tc>
          <w:tcPr>
            <w:tcW w:w="160" w:type="dxa"/>
            <w:vAlign w:val="bottom"/>
            <w:tcBorders>
              <w:bottom w:val="single" w:sz="8" w:color="00A3E1"/>
            </w:tcBorders>
          </w:tcPr>
          <w:p>
            <w:pPr>
              <w:spacing w:after="0"/>
              <w:rPr>
                <w:sz w:val="19"/>
                <w:szCs w:val="19"/>
                <w:color w:val="auto"/>
              </w:rPr>
            </w:pPr>
          </w:p>
        </w:tc>
        <w:tc>
          <w:tcPr>
            <w:tcW w:w="880" w:type="dxa"/>
            <w:vAlign w:val="bottom"/>
            <w:tcBorders>
              <w:bottom w:val="single" w:sz="8" w:color="00A3E1"/>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00A3E1"/>
            </w:tcBorders>
          </w:tcPr>
          <w:p>
            <w:pPr>
              <w:spacing w:after="0"/>
              <w:rPr>
                <w:sz w:val="19"/>
                <w:szCs w:val="19"/>
                <w:color w:val="auto"/>
              </w:rPr>
            </w:pPr>
          </w:p>
        </w:tc>
        <w:tc>
          <w:tcPr>
            <w:tcW w:w="200" w:type="dxa"/>
            <w:vAlign w:val="bottom"/>
            <w:tcBorders>
              <w:bottom w:val="single" w:sz="8" w:color="00A3E1"/>
            </w:tcBorders>
          </w:tcPr>
          <w:p>
            <w:pPr>
              <w:spacing w:after="0"/>
              <w:rPr>
                <w:sz w:val="19"/>
                <w:szCs w:val="19"/>
                <w:color w:val="auto"/>
              </w:rPr>
            </w:pPr>
          </w:p>
        </w:tc>
        <w:tc>
          <w:tcPr>
            <w:tcW w:w="1240" w:type="dxa"/>
            <w:vAlign w:val="bottom"/>
            <w:tcBorders>
              <w:bottom w:val="single" w:sz="8" w:color="00A3E1"/>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94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42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880" w:type="dxa"/>
            <w:vAlign w:val="bottom"/>
            <w:shd w:val="clear" w:color="auto" w:fill="D1D2D4"/>
          </w:tcPr>
          <w:p>
            <w:pPr>
              <w:spacing w:after="0"/>
              <w:rPr>
                <w:sz w:val="16"/>
                <w:szCs w:val="16"/>
                <w:color w:val="auto"/>
              </w:rPr>
            </w:pPr>
          </w:p>
        </w:tc>
        <w:tc>
          <w:tcPr>
            <w:tcW w:w="400" w:type="dxa"/>
            <w:vAlign w:val="bottom"/>
            <w:shd w:val="clear" w:color="auto" w:fill="D1D2D4"/>
          </w:tcPr>
          <w:p>
            <w:pPr>
              <w:spacing w:after="0"/>
              <w:rPr>
                <w:sz w:val="16"/>
                <w:szCs w:val="16"/>
                <w:color w:val="auto"/>
              </w:rPr>
            </w:pPr>
          </w:p>
        </w:tc>
        <w:tc>
          <w:tcPr>
            <w:tcW w:w="200" w:type="dxa"/>
            <w:vAlign w:val="bottom"/>
            <w:shd w:val="clear" w:color="auto" w:fill="D1D2D4"/>
          </w:tcPr>
          <w:p>
            <w:pPr>
              <w:spacing w:after="0"/>
              <w:rPr>
                <w:sz w:val="16"/>
                <w:szCs w:val="16"/>
                <w:color w:val="auto"/>
              </w:rPr>
            </w:pPr>
          </w:p>
        </w:tc>
        <w:tc>
          <w:tcPr>
            <w:tcW w:w="12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sale)</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D1D2D4"/>
          </w:tcPr>
          <w:p>
            <w:pPr>
              <w:spacing w:after="0"/>
              <w:rPr>
                <w:sz w:val="18"/>
                <w:szCs w:val="18"/>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8"/>
                <w:szCs w:val="18"/>
                <w:color w:val="auto"/>
              </w:rPr>
            </w:pP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Finance leases</w:t>
            </w:r>
          </w:p>
        </w:tc>
        <w:tc>
          <w:tcPr>
            <w:tcW w:w="4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8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5</w:t>
            </w:r>
          </w:p>
        </w:tc>
        <w:tc>
          <w:tcPr>
            <w:tcW w:w="4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4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4.09 %</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29"/>
        </w:trPr>
        <w:tc>
          <w:tcPr>
            <w:tcW w:w="7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2.63 %</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567"/>
        </w:trPr>
        <w:tc>
          <w:tcPr>
            <w:tcW w:w="7940" w:type="dxa"/>
            <w:vAlign w:val="bottom"/>
          </w:tcPr>
          <w:p>
            <w:pPr>
              <w:spacing w:after="0"/>
              <w:rPr>
                <w:sz w:val="20"/>
                <w:szCs w:val="20"/>
                <w:color w:val="auto"/>
              </w:rPr>
            </w:pPr>
            <w:r>
              <w:rPr>
                <w:rFonts w:ascii="Arial" w:cs="Arial" w:eastAsia="Arial" w:hAnsi="Arial"/>
                <w:sz w:val="18"/>
                <w:szCs w:val="18"/>
                <w:color w:val="auto"/>
              </w:rPr>
              <w:t>Maturities of lease liabilities existing as of March 4, 2021 were as follows: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420" w:type="dxa"/>
            <w:vAlign w:val="bottom"/>
          </w:tcPr>
          <w:p>
            <w:pPr>
              <w:spacing w:after="0"/>
              <w:rPr>
                <w:sz w:val="17"/>
                <w:szCs w:val="17"/>
                <w:color w:val="auto"/>
              </w:rPr>
            </w:pPr>
          </w:p>
        </w:tc>
        <w:tc>
          <w:tcPr>
            <w:tcW w:w="14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0090DA"/>
            </w:tcBorders>
            <w:vMerge w:val="continue"/>
          </w:tcPr>
          <w:p>
            <w:pPr>
              <w:spacing w:after="0"/>
              <w:rPr>
                <w:sz w:val="19"/>
                <w:szCs w:val="19"/>
                <w:color w:val="auto"/>
              </w:rPr>
            </w:pPr>
          </w:p>
        </w:tc>
        <w:tc>
          <w:tcPr>
            <w:tcW w:w="420" w:type="dxa"/>
            <w:vAlign w:val="bottom"/>
            <w:tcBorders>
              <w:bottom w:val="single" w:sz="8" w:color="0090DA"/>
            </w:tcBorders>
          </w:tcPr>
          <w:p>
            <w:pPr>
              <w:spacing w:after="0"/>
              <w:rPr>
                <w:sz w:val="19"/>
                <w:szCs w:val="19"/>
                <w:color w:val="auto"/>
              </w:rPr>
            </w:pPr>
          </w:p>
        </w:tc>
        <w:tc>
          <w:tcPr>
            <w:tcW w:w="1440" w:type="dxa"/>
            <w:vAlign w:val="bottom"/>
            <w:tcBorders>
              <w:bottom w:val="single" w:sz="8" w:color="0090DA"/>
            </w:tcBorders>
            <w:gridSpan w:val="3"/>
            <w:vMerge w:val="continue"/>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2021</w:t>
            </w:r>
          </w:p>
        </w:tc>
        <w:tc>
          <w:tcPr>
            <w:tcW w:w="5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7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880" w:type="dxa"/>
            <w:vAlign w:val="bottom"/>
            <w:shd w:val="clear" w:color="auto" w:fill="D1D2D4"/>
          </w:tcPr>
          <w:p>
            <w:pPr>
              <w:spacing w:after="0"/>
              <w:rPr>
                <w:sz w:val="19"/>
                <w:szCs w:val="19"/>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286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7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table above excludes any lease liabilities for leases that have been executed but have not yet commenced. As of March 4, 2021, we had such lease liabilities relating to 1) operating lease payment obligations of $147 million for the initial 10-year lease term for a building, which may, at our election, be terminated after 3 years or extended for an additional 10 years, and 2) finance lease obligations of $807 million over a weighted -average period of 15 years for leases embedded in gas supply arrangements. We will recognize right-of-use assets and associated lease liabilities at the time such assets become available for our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6" w:name="page17"/>
    <w:bookmarkEnd w:id="16"/>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7"/>
                <w:szCs w:val="17"/>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4,</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1,884</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1020" w:type="dxa"/>
            <w:vAlign w:val="bottom"/>
            <w:tcBorders>
              <w:bottom w:val="single" w:sz="8" w:color="00A3E1"/>
            </w:tcBorders>
          </w:tcPr>
          <w:p>
            <w:pPr>
              <w:spacing w:after="0"/>
              <w:rPr>
                <w:sz w:val="20"/>
                <w:szCs w:val="20"/>
                <w:color w:val="auto"/>
              </w:rPr>
            </w:pPr>
          </w:p>
        </w:tc>
        <w:tc>
          <w:tcPr>
            <w:tcW w:w="2040" w:type="dxa"/>
            <w:vAlign w:val="bottom"/>
            <w:tcBorders>
              <w:bottom w:val="single" w:sz="8" w:color="00A3E1"/>
            </w:tcBorders>
            <w:gridSpan w:val="4"/>
          </w:tcPr>
          <w:p>
            <w:pPr>
              <w:jc w:val="right"/>
              <w:ind w:right="30"/>
              <w:spacing w:after="0"/>
              <w:rPr>
                <w:sz w:val="20"/>
                <w:szCs w:val="20"/>
                <w:color w:val="auto"/>
              </w:rPr>
            </w:pPr>
            <w:r>
              <w:rPr>
                <w:rFonts w:ascii="Arial" w:cs="Arial" w:eastAsia="Arial" w:hAnsi="Arial"/>
                <w:sz w:val="18"/>
                <w:szCs w:val="18"/>
                <w:b w:val="1"/>
                <w:bCs w:val="1"/>
                <w:color w:val="auto"/>
              </w:rPr>
              <w:t>March 4, 2021</w:t>
            </w:r>
          </w:p>
        </w:tc>
        <w:tc>
          <w:tcPr>
            <w:tcW w:w="700" w:type="dxa"/>
            <w:vAlign w:val="bottom"/>
            <w:tcBorders>
              <w:bottom w:val="single" w:sz="8" w:color="00A3E1"/>
            </w:tcBorders>
          </w:tcPr>
          <w:p>
            <w:pPr>
              <w:spacing w:after="0"/>
              <w:rPr>
                <w:sz w:val="20"/>
                <w:szCs w:val="20"/>
                <w:color w:val="auto"/>
              </w:rPr>
            </w:pPr>
          </w:p>
        </w:tc>
        <w:tc>
          <w:tcPr>
            <w:tcW w:w="220" w:type="dxa"/>
            <w:vAlign w:val="bottom"/>
            <w:tcBorders>
              <w:bottom w:val="single" w:sz="8" w:color="00A3E1"/>
            </w:tcBorders>
          </w:tcPr>
          <w:p>
            <w:pPr>
              <w:spacing w:after="0"/>
              <w:rPr>
                <w:sz w:val="20"/>
                <w:szCs w:val="20"/>
                <w:color w:val="auto"/>
              </w:rPr>
            </w:pPr>
          </w:p>
        </w:tc>
        <w:tc>
          <w:tcPr>
            <w:tcW w:w="720" w:type="dxa"/>
            <w:vAlign w:val="bottom"/>
            <w:tcBorders>
              <w:bottom w:val="single" w:sz="8" w:color="00A3E1"/>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00A3E1"/>
            </w:tcBorders>
          </w:tcPr>
          <w:p>
            <w:pPr>
              <w:spacing w:after="0"/>
              <w:rPr>
                <w:sz w:val="20"/>
                <w:szCs w:val="20"/>
                <w:color w:val="auto"/>
              </w:rPr>
            </w:pPr>
          </w:p>
        </w:tc>
        <w:tc>
          <w:tcPr>
            <w:tcW w:w="2600" w:type="dxa"/>
            <w:vAlign w:val="bottom"/>
            <w:tcBorders>
              <w:bottom w:val="single" w:sz="8" w:color="00A3E1"/>
            </w:tcBorders>
            <w:gridSpan w:val="5"/>
          </w:tcPr>
          <w:p>
            <w:pPr>
              <w:jc w:val="center"/>
              <w:ind w:right="10"/>
              <w:spacing w:after="0"/>
              <w:rPr>
                <w:sz w:val="20"/>
                <w:szCs w:val="20"/>
                <w:color w:val="auto"/>
              </w:rPr>
            </w:pPr>
            <w:r>
              <w:rPr>
                <w:rFonts w:ascii="Arial" w:cs="Arial" w:eastAsia="Arial" w:hAnsi="Arial"/>
                <w:sz w:val="18"/>
                <w:szCs w:val="18"/>
                <w:b w:val="1"/>
                <w:bCs w:val="1"/>
                <w:color w:val="auto"/>
                <w:w w:val="99"/>
              </w:rPr>
              <w:t>September 3, 2020</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8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rPr>
              <w:t>Net Carrying Amount</w:t>
            </w:r>
          </w:p>
        </w:tc>
        <w:tc>
          <w:tcPr>
            <w:tcW w:w="10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69"/>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720" w:type="dxa"/>
            <w:vAlign w:val="bottom"/>
            <w:vMerge w:val="continue"/>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72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4.09 % $</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2.497 %</w:t>
            </w:r>
          </w:p>
        </w:tc>
        <w:tc>
          <w:tcPr>
            <w:tcW w:w="98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9"/>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4.640 %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1.370 %</w:t>
            </w:r>
          </w:p>
        </w:tc>
        <w:tc>
          <w:tcPr>
            <w:tcW w:w="98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2027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9"/>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37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2032D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3.125 %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MMJ Creditor Payments</w:t>
            </w:r>
          </w:p>
        </w:tc>
        <w:tc>
          <w:tcPr>
            <w:tcW w:w="10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20" w:type="dxa"/>
            <w:vAlign w:val="bottom"/>
            <w:shd w:val="clear" w:color="auto" w:fill="D1D2D4"/>
          </w:tcPr>
          <w:p>
            <w:pPr>
              <w:spacing w:after="0"/>
              <w:rPr>
                <w:sz w:val="21"/>
                <w:szCs w:val="21"/>
                <w:color w:val="auto"/>
              </w:rPr>
            </w:pPr>
          </w:p>
        </w:tc>
        <w:tc>
          <w:tcPr>
            <w:tcW w:w="1020" w:type="dxa"/>
            <w:vAlign w:val="bottom"/>
            <w:shd w:val="clear" w:color="auto" w:fill="D1D2D4"/>
          </w:tcPr>
          <w:p>
            <w:pPr>
              <w:spacing w:after="0"/>
              <w:rPr>
                <w:sz w:val="21"/>
                <w:szCs w:val="21"/>
                <w:color w:val="auto"/>
              </w:rPr>
            </w:pP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D1D2D4"/>
          </w:tcPr>
          <w:p>
            <w:pPr>
              <w:spacing w:after="0"/>
              <w:rPr>
                <w:sz w:val="21"/>
                <w:szCs w:val="21"/>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0"/>
        </w:trPr>
        <w:tc>
          <w:tcPr>
            <w:tcW w:w="3720" w:type="dxa"/>
            <w:vAlign w:val="bottom"/>
            <w:tcBorders>
              <w:top w:val="single" w:sz="8" w:color="D1D2D4"/>
            </w:tcBorders>
          </w:tcPr>
          <w:p>
            <w:pPr>
              <w:spacing w:after="0" w:line="20" w:lineRule="exact"/>
              <w:rPr>
                <w:sz w:val="1"/>
                <w:szCs w:val="1"/>
                <w:color w:val="auto"/>
              </w:rPr>
            </w:pPr>
          </w:p>
        </w:tc>
        <w:tc>
          <w:tcPr>
            <w:tcW w:w="1020" w:type="dxa"/>
            <w:vAlign w:val="bottom"/>
            <w:tcBorders>
              <w:top w:val="single" w:sz="8" w:color="D1D2D4"/>
            </w:tcBorders>
          </w:tcPr>
          <w:p>
            <w:pPr>
              <w:spacing w:after="0" w:line="20" w:lineRule="exact"/>
              <w:rPr>
                <w:sz w:val="1"/>
                <w:szCs w:val="1"/>
                <w:color w:val="auto"/>
              </w:rPr>
            </w:pPr>
          </w:p>
        </w:tc>
        <w:tc>
          <w:tcPr>
            <w:tcW w:w="98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65"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As of March 4, 2021, no amounts were outstanding under the Revolving Credit Facility and $2.50 billion was available to us. Any amounts outstanding under the Revolving Credit Facility would mature in July 2023 and we may repay amounts borrowed any time without penalty. The Revolving Credit Facility bears interest at a rate equal to LIBOR plus 1.25% based on our current corporate credit rating and leverage ratio.</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2032D Convertible Senior Notes</w:t>
      </w:r>
    </w:p>
    <w:p>
      <w:pPr>
        <w:spacing w:after="0" w:line="2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closing price of our common stock exceeded 130% of the conversion price for the 2032D Notes for at least 20 trading days in the 30 consecutive trading days ended on March 31, 2021. As a result, the 2032D Notes are convertible by the holders through June 30, 2021. As of March 4, 2021, based on the $84.33 trading price of our common stock and the $9.98 conversion price, the aggregate conversion value of $1.13 billion exceeded the aggregate principal amount of $134 million by $995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7" w:name="page18"/>
    <w:bookmarkEnd w:id="17"/>
    <w:p>
      <w:pPr>
        <w:spacing w:after="0"/>
        <w:rPr>
          <w:sz w:val="20"/>
          <w:szCs w:val="20"/>
          <w:color w:val="auto"/>
        </w:rPr>
      </w:pPr>
      <w:r>
        <w:rPr>
          <w:rFonts w:ascii="Arial" w:cs="Arial" w:eastAsia="Arial" w:hAnsi="Arial"/>
          <w:sz w:val="40"/>
          <w:szCs w:val="40"/>
          <w:b w:val="1"/>
          <w:bCs w:val="1"/>
          <w:color w:val="auto"/>
        </w:rPr>
        <w:t>Contingencies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6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25"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On August 12, 2014, MLC Intellectual Property, LLC filed a patent infringement action against Micron in the U.S. District Court for the Northern District of California. The complaint alleges that Micron infringes a single U.S. patent and seeks damages, attorneys’ fees, and costs.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for each complaint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23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The affected products made up slightly more than 1% of our annualized revenue in 2018. We are complying with the ruling and have requested the Fuzhou Court to reconsider or stay its decision.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8" w:name="page19"/>
    <w:bookmarkEnd w:id="18"/>
    <w:p>
      <w:pPr>
        <w:jc w:val="both"/>
        <w:ind w:right="360"/>
        <w:spacing w:after="0" w:line="256"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w:t>
      </w:r>
    </w:p>
    <w:p>
      <w:pPr>
        <w:spacing w:after="0" w:line="22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6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32"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2" w:lineRule="exact"/>
        <w:rPr>
          <w:sz w:val="20"/>
          <w:szCs w:val="20"/>
          <w:color w:val="auto"/>
        </w:rPr>
      </w:pPr>
    </w:p>
    <w:p>
      <w:pPr>
        <w:ind w:right="60" w:firstLine="8"/>
        <w:spacing w:after="0" w:line="235"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On April 17, 2014, Micron and Micron B.V. filed a notice of appeal with the German Appeals Court challenging the District Court’s decision. After opening briefs, the Appeals Court held a hearing on the matter on July 9, 2015, and thereafter appointed an independent expert to perform an evaluation of Dr. Jaffé’s claims that the amount Micron paid for Qimonda was less than fair market value. On January 25, 2018, the court-appointed expert issued a report concluding that the amount paid by Micron was within an acceptable fair-value range. The Appeals Court held a subsequent hearing on April 30, 2019, and on May 28, 2019, the Appeals Court remanded the case to the expert for supplemental expert opinion. On March 31, 2020, the expert presented a revised opinion to the Appeals Court which reaffirmed the earlier view that the amount paid by Micron was still within an acceptable range of fair value. On March 4, 2021, the Appeals Court issued an order setting forth a new legal view that whether the 2008 sale of Inotera Shares is voidable depends on the question whether, in October 2008, Qimonda had a restructuring plan in place, and whether Micron was aware of and reasonably relied on that restructuring plan sufficient to form a belief that Qimonda was not imminently illiquid. The Appeals Court has scheduled a procedural hearing for June 29, 2021 to discuss next steps.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0090DA"/>
        </w:rPr>
        <w:t>Antitrust Matters</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w:t>
      </w:r>
    </w:p>
    <w:p>
      <w:pPr>
        <w:spacing w:after="0" w:line="2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w:t>
      </w:r>
    </w:p>
    <w:p>
      <w:pPr>
        <w:spacing w:after="0" w:line="2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6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23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w:t>
      </w:r>
    </w:p>
    <w:p>
      <w:pPr>
        <w:spacing w:after="0" w:line="26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0" w:name="page21"/>
    <w:bookmarkEnd w:id="20"/>
    <w:p>
      <w:pPr>
        <w:ind w:right="80"/>
        <w:spacing w:after="0" w:line="252" w:lineRule="auto"/>
        <w:rPr>
          <w:sz w:val="20"/>
          <w:szCs w:val="20"/>
          <w:color w:val="auto"/>
        </w:rPr>
      </w:pPr>
      <w:r>
        <w:rPr>
          <w:rFonts w:ascii="Arial" w:cs="Arial" w:eastAsia="Arial" w:hAnsi="Arial"/>
          <w:sz w:val="18"/>
          <w:szCs w:val="18"/>
          <w:color w:val="auto"/>
        </w:rPr>
        <w:t>On June 13, 2019, current Micron employee, Chris Manning, filed a putative class action lawsuit on behalf of Micron employees subject to the Idaho Wage Claim Act who earned a performance-based bonus after the conclusion of 2018 whose performance rating was calculated based upon a mandatory percentage distribution range of performance ratings. On July 12, 2019, Manning and three other Company employees filed an amended complaint as putative class action representatives. On behalf of themselves and the putative class, Manning and the three other plaintiffs assert claims for violation of the Idaho Wage Claim Act, breach of contract, breach of the covenant of good faith and fair dealing, and fraud. On June 24, 2020, the court entered judgment in favor of Micron based on the statute of limitations, and the plaintiffs filed a notice of appeal on July 23, 2020.</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31, 2020, Micron and Intel entered into a binding arbitration agreement under which the parties agreed to present to an arbitral panel various financial disputes related to the IMFT joint venture between Micron and Intel, which ended October 31, 2019, and to other agreements relating to the joint development, production, and sale of non-volatile memory products. Each party alleges that the other owes damages relating to allegations of breach of one or more agreements.</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July 13, 2015, Allied Telesis, Inc. and Allied Telesis International (Asia) Pte Ltd. filed a complaint against Micron in the Superior Court of California in Santa Clara alleging breach of implied and express warranties and fraudulent inducement to contract arising from plaintiffs’ purchase of certain allegedly defective DDR1 products between 2008 and 2010. Through subsequent amendments to the complaint, the plaintiffs substituted Allied Telesis K.K. as plaintiff, withdrew the warranty claims, and added claims of fraudulent concealment, negligent misrepresentation, negligence, and strict products liability. The plaintiff’s amended complaint seeks an unspecified award of damages, including punitive damages and lost profits. On September 3, 2020, the Superior Court granted summary judgment dismissing the claims for negligence and strict products liability and denied summary judgment as to the claims for negligent misrepresentation, fraudulent concealment, and fraudulent inducement to contract. No trial date has been set; however, trial is expected to occur in the second half of calendar 2021.</w:t>
      </w:r>
    </w:p>
    <w:p>
      <w:pPr>
        <w:spacing w:after="0" w:line="23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1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unable to predict the outcome of the patent matters, Qimonda matter, antitrust matters, securities matters, binding arbitration with Intel, or any other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are currently a party to legal actions other than those described in this note arising from the normal course of business, none of which are expected to have a material adverse effect on our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Micron Shareholders’ Equity</w:t>
      </w:r>
    </w:p>
    <w:p>
      <w:pPr>
        <w:spacing w:after="0" w:line="24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Accumulated Other Comprehensive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by component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4, 2021 were as follows:</w:t>
      </w: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Unrealized</w:t>
            </w:r>
          </w:p>
        </w:tc>
        <w:tc>
          <w:tcPr>
            <w:tcW w:w="14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Gains (Losses)</w:t>
            </w:r>
          </w:p>
        </w:tc>
        <w:tc>
          <w:tcPr>
            <w:tcW w:w="120" w:type="dxa"/>
            <w:vAlign w:val="bottom"/>
          </w:tcPr>
          <w:p>
            <w:pPr>
              <w:spacing w:after="0"/>
              <w:rPr>
                <w:sz w:val="15"/>
                <w:szCs w:val="15"/>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20" w:type="dxa"/>
            <w:vAlign w:val="bottom"/>
          </w:tcPr>
          <w:p>
            <w:pPr>
              <w:spacing w:after="0"/>
              <w:rPr>
                <w:sz w:val="15"/>
                <w:szCs w:val="15"/>
                <w:color w:val="auto"/>
              </w:rPr>
            </w:pPr>
          </w:p>
        </w:tc>
        <w:tc>
          <w:tcPr>
            <w:tcW w:w="12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4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Adjustments</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As of September 3, 2020</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center"/>
              <w:ind w:left="850"/>
              <w:spacing w:after="0"/>
              <w:rPr>
                <w:sz w:val="20"/>
                <w:szCs w:val="20"/>
                <w:color w:val="auto"/>
              </w:rPr>
            </w:pPr>
            <w:r>
              <w:rPr>
                <w:rFonts w:ascii="Arial" w:cs="Arial" w:eastAsia="Arial" w:hAnsi="Arial"/>
                <w:sz w:val="18"/>
                <w:szCs w:val="18"/>
                <w:color w:val="auto"/>
                <w:w w:val="99"/>
              </w:rPr>
              <w:t>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0" w:type="dxa"/>
            <w:vAlign w:val="bottom"/>
          </w:tcPr>
          <w:p>
            <w:pPr>
              <w:jc w:val="center"/>
              <w:ind w:left="850"/>
              <w:spacing w:after="0"/>
              <w:rPr>
                <w:sz w:val="20"/>
                <w:szCs w:val="20"/>
                <w:color w:val="auto"/>
              </w:rPr>
            </w:pPr>
            <w:r>
              <w:rPr>
                <w:rFonts w:ascii="Arial" w:cs="Arial" w:eastAsia="Arial" w:hAnsi="Arial"/>
                <w:sz w:val="18"/>
                <w:szCs w:val="18"/>
                <w:color w:val="auto"/>
                <w:w w:val="99"/>
              </w:rPr>
              <w:t>(4)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8"/>
        </w:trPr>
        <w:tc>
          <w:tcPr>
            <w:tcW w:w="4580" w:type="dxa"/>
            <w:vAlign w:val="bottom"/>
            <w:shd w:val="clear" w:color="auto" w:fill="D1D2D4"/>
          </w:tcPr>
          <w:p>
            <w:pPr>
              <w:ind w:left="240"/>
              <w:spacing w:after="0" w:line="189"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20" w:type="dxa"/>
            <w:vAlign w:val="bottom"/>
            <w:shd w:val="clear" w:color="auto" w:fill="D1D2D4"/>
          </w:tcPr>
          <w:p>
            <w:pPr>
              <w:spacing w:after="0"/>
              <w:rPr>
                <w:sz w:val="16"/>
                <w:szCs w:val="16"/>
                <w:color w:val="auto"/>
              </w:rPr>
            </w:pPr>
          </w:p>
        </w:tc>
        <w:tc>
          <w:tcPr>
            <w:tcW w:w="122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1200" w:type="dxa"/>
            <w:vAlign w:val="bottom"/>
            <w:shd w:val="clear" w:color="auto" w:fill="D1D2D4"/>
          </w:tcPr>
          <w:p>
            <w:pPr>
              <w:spacing w:after="0"/>
              <w:rPr>
                <w:sz w:val="16"/>
                <w:szCs w:val="16"/>
                <w:color w:val="auto"/>
              </w:rPr>
            </w:pPr>
          </w:p>
        </w:tc>
        <w:tc>
          <w:tcPr>
            <w:tcW w:w="28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D1D2D4"/>
          </w:tcPr>
          <w:p>
            <w:pPr>
              <w:spacing w:after="0"/>
              <w:rPr>
                <w:sz w:val="18"/>
                <w:szCs w:val="18"/>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8"/>
                <w:szCs w:val="18"/>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center"/>
              <w:ind w:left="850"/>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line="207" w:lineRule="exact"/>
              <w:rPr>
                <w:sz w:val="20"/>
                <w:szCs w:val="20"/>
                <w:color w:val="auto"/>
              </w:rPr>
            </w:pPr>
            <w:r>
              <w:rPr>
                <w:rFonts w:ascii="Arial" w:cs="Arial" w:eastAsia="Arial" w:hAnsi="Arial"/>
                <w:sz w:val="18"/>
                <w:szCs w:val="18"/>
                <w:color w:val="auto"/>
              </w:rPr>
              <w:t>As of March 4</w:t>
            </w:r>
            <w:r>
              <w:rPr>
                <w:rFonts w:ascii="MS PGothic" w:cs="MS PGothic" w:eastAsia="MS PGothic" w:hAnsi="MS PGothic"/>
                <w:sz w:val="18"/>
                <w:szCs w:val="18"/>
                <w:color w:val="auto"/>
              </w:rPr>
              <w:t>，</w:t>
            </w: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8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estimated fair values and carrying values of our outstanding debt instruments (excluding the carrying value of equity components of our convertible notes) were as follows:</w:t>
      </w:r>
    </w:p>
    <w:tbl>
      <w:tblPr>
        <w:tblLayout w:type="fixed"/>
        <w:tblInd w:w="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4"/>
          </w:tcPr>
          <w:p>
            <w:pPr>
              <w:ind w:left="460"/>
              <w:spacing w:after="0"/>
              <w:rPr>
                <w:sz w:val="20"/>
                <w:szCs w:val="20"/>
                <w:color w:val="auto"/>
              </w:rPr>
            </w:pPr>
            <w:r>
              <w:rPr>
                <w:rFonts w:ascii="Arial" w:cs="Arial" w:eastAsia="Arial" w:hAnsi="Arial"/>
                <w:sz w:val="18"/>
                <w:szCs w:val="18"/>
                <w:b w:val="1"/>
                <w:bCs w:val="1"/>
                <w:color w:val="auto"/>
              </w:rPr>
              <w:t>March 4, 2021</w:t>
            </w:r>
          </w:p>
        </w:tc>
        <w:tc>
          <w:tcPr>
            <w:tcW w:w="280" w:type="dxa"/>
            <w:vAlign w:val="bottom"/>
          </w:tcPr>
          <w:p>
            <w:pPr>
              <w:spacing w:after="0"/>
              <w:rPr>
                <w:sz w:val="20"/>
                <w:szCs w:val="20"/>
                <w:color w:val="auto"/>
              </w:rPr>
            </w:pPr>
          </w:p>
        </w:tc>
        <w:tc>
          <w:tcPr>
            <w:tcW w:w="24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 2020</w:t>
            </w:r>
          </w:p>
        </w:tc>
        <w:tc>
          <w:tcPr>
            <w:tcW w:w="0" w:type="dxa"/>
            <w:vAlign w:val="bottom"/>
          </w:tcPr>
          <w:p>
            <w:pPr>
              <w:spacing w:after="0"/>
              <w:rPr>
                <w:sz w:val="1"/>
                <w:szCs w:val="1"/>
                <w:color w:val="auto"/>
              </w:rPr>
            </w:pPr>
          </w:p>
        </w:tc>
      </w:tr>
      <w:tr>
        <w:trPr>
          <w:trHeight w:val="169"/>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80" w:type="dxa"/>
            <w:vAlign w:val="bottom"/>
            <w:tcBorders>
              <w:top w:val="single" w:sz="8" w:color="00A3E1"/>
            </w:tcBorders>
          </w:tcPr>
          <w:p>
            <w:pPr>
              <w:spacing w:after="0"/>
              <w:rPr>
                <w:sz w:val="14"/>
                <w:szCs w:val="14"/>
                <w:color w:val="auto"/>
              </w:rPr>
            </w:pPr>
          </w:p>
        </w:tc>
        <w:tc>
          <w:tcPr>
            <w:tcW w:w="1020" w:type="dxa"/>
            <w:vAlign w:val="bottom"/>
            <w:tcBorders>
              <w:top w:val="single" w:sz="8" w:color="00A3E1"/>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00A3E1"/>
            </w:tcBorders>
          </w:tcPr>
          <w:p>
            <w:pPr>
              <w:spacing w:after="0"/>
              <w:rPr>
                <w:sz w:val="14"/>
                <w:szCs w:val="14"/>
                <w:color w:val="auto"/>
              </w:rPr>
            </w:pPr>
          </w:p>
        </w:tc>
        <w:tc>
          <w:tcPr>
            <w:tcW w:w="1120" w:type="dxa"/>
            <w:vAlign w:val="bottom"/>
            <w:tcBorders>
              <w:top w:val="single" w:sz="8" w:color="00A3E1"/>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4"/>
                <w:szCs w:val="14"/>
                <w:color w:val="auto"/>
              </w:rPr>
            </w:pPr>
          </w:p>
        </w:tc>
        <w:tc>
          <w:tcPr>
            <w:tcW w:w="280" w:type="dxa"/>
            <w:vAlign w:val="bottom"/>
            <w:tcBorders>
              <w:top w:val="single" w:sz="8" w:color="00A3E1"/>
            </w:tcBorders>
          </w:tcPr>
          <w:p>
            <w:pPr>
              <w:spacing w:after="0"/>
              <w:rPr>
                <w:sz w:val="14"/>
                <w:szCs w:val="14"/>
                <w:color w:val="auto"/>
              </w:rPr>
            </w:pPr>
          </w:p>
        </w:tc>
        <w:tc>
          <w:tcPr>
            <w:tcW w:w="1040" w:type="dxa"/>
            <w:vAlign w:val="bottom"/>
            <w:tcBorders>
              <w:top w:val="single" w:sz="8" w:color="00A3E1"/>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240" w:type="dxa"/>
            <w:vAlign w:val="bottom"/>
            <w:tcBorders>
              <w:top w:val="single" w:sz="8" w:color="00A3E1"/>
            </w:tcBorders>
          </w:tcPr>
          <w:p>
            <w:pPr>
              <w:spacing w:after="0"/>
              <w:rPr>
                <w:sz w:val="14"/>
                <w:szCs w:val="14"/>
                <w:color w:val="auto"/>
              </w:rPr>
            </w:pPr>
          </w:p>
        </w:tc>
        <w:tc>
          <w:tcPr>
            <w:tcW w:w="1120" w:type="dxa"/>
            <w:vAlign w:val="bottom"/>
            <w:tcBorders>
              <w:top w:val="single" w:sz="8" w:color="00A3E1"/>
            </w:tcBorders>
          </w:tcPr>
          <w:p>
            <w:pPr>
              <w:jc w:val="right"/>
              <w:ind w:right="210"/>
              <w:spacing w:after="0" w:line="169" w:lineRule="exact"/>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29"/>
        </w:trPr>
        <w:tc>
          <w:tcPr>
            <w:tcW w:w="5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Value</w:t>
            </w:r>
          </w:p>
        </w:tc>
        <w:tc>
          <w:tcPr>
            <w:tcW w:w="28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5800" w:type="dxa"/>
            <w:vAlign w:val="bottom"/>
            <w:tcBorders>
              <w:top w:val="single" w:sz="8" w:color="0090DA"/>
            </w:tcBorders>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6,565</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D1D2D4"/>
          </w:tcPr>
          <w:p>
            <w:pPr>
              <w:spacing w:after="0"/>
              <w:rPr>
                <w:sz w:val="19"/>
                <w:szCs w:val="19"/>
                <w:color w:val="auto"/>
              </w:rPr>
            </w:pP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6,710</w:t>
            </w:r>
          </w:p>
        </w:tc>
        <w:tc>
          <w:tcPr>
            <w:tcW w:w="24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fair values of our convertible notes were determined based on Level 2 inputs, including the trading price of our convertible notes when available, our stock price, and interest rates based on similar debt issued by parties with credit ratings similar to ours. The fair values of our other debt instruments were estimated based on Level 2 inputs, including discounted cash flows, the trading price of our notes when available, and interest rates based on similar debt issued by parties with credit ratings similar to ours.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Assets classified as held for sale are carried at the lower of fair value less cost to sell or carrying value. Significant judgments and assumptions are required to estimate their fair values. Actual selling prices could vary significantly from our estimated fair value and we could recognize losses in the event that the sales prices of assets classified as held for sale are lower than their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2" w:name="page23"/>
    <w:bookmarkEnd w:id="22"/>
    <w:p>
      <w:pPr>
        <w:spacing w:after="0"/>
        <w:rPr>
          <w:sz w:val="20"/>
          <w:szCs w:val="20"/>
          <w:color w:val="auto"/>
        </w:rPr>
      </w:pPr>
      <w:r>
        <w:rPr>
          <w:rFonts w:ascii="Arial" w:cs="Arial" w:eastAsia="Arial" w:hAnsi="Arial"/>
          <w:sz w:val="40"/>
          <w:szCs w:val="40"/>
          <w:b w:val="1"/>
          <w:bCs w:val="1"/>
          <w:color w:val="auto"/>
        </w:rPr>
        <w:t>Derivative Instruments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00" w:type="dxa"/>
            <w:vAlign w:val="bottom"/>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Gross Notional</w:t>
            </w:r>
          </w:p>
        </w:tc>
        <w:tc>
          <w:tcPr>
            <w:tcW w:w="220" w:type="dxa"/>
            <w:vAlign w:val="bottom"/>
            <w:tcBorders>
              <w:bottom w:val="single" w:sz="8" w:color="0090DA"/>
            </w:tcBorders>
          </w:tcPr>
          <w:p>
            <w:pPr>
              <w:spacing w:after="0"/>
              <w:rPr>
                <w:sz w:val="20"/>
                <w:szCs w:val="20"/>
                <w:color w:val="auto"/>
              </w:rPr>
            </w:pPr>
          </w:p>
        </w:tc>
        <w:tc>
          <w:tcPr>
            <w:tcW w:w="2660" w:type="dxa"/>
            <w:vAlign w:val="bottom"/>
            <w:tcBorders>
              <w:bottom w:val="single" w:sz="8" w:color="0090DA"/>
            </w:tcBorders>
            <w:gridSpan w:val="3"/>
          </w:tcPr>
          <w:p>
            <w:pPr>
              <w:jc w:val="right"/>
              <w:ind w:right="810"/>
              <w:spacing w:after="0"/>
              <w:rPr>
                <w:sz w:val="20"/>
                <w:szCs w:val="20"/>
                <w:color w:val="auto"/>
              </w:rPr>
            </w:pPr>
            <w:r>
              <w:rPr>
                <w:rFonts w:ascii="Arial" w:cs="Arial" w:eastAsia="Arial" w:hAnsi="Arial"/>
                <w:sz w:val="18"/>
                <w:szCs w:val="18"/>
                <w:b w:val="1"/>
                <w:bCs w:val="1"/>
                <w:color w:val="auto"/>
              </w:rPr>
              <w:t>Fair Value of</w:t>
            </w:r>
          </w:p>
        </w:tc>
      </w:tr>
      <w:tr>
        <w:trPr>
          <w:trHeight w:val="237"/>
        </w:trPr>
        <w:tc>
          <w:tcPr>
            <w:tcW w:w="590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230"/>
              <w:spacing w:after="0" w:line="236"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jc w:val="right"/>
              <w:ind w:right="150"/>
              <w:spacing w:after="0" w:line="236" w:lineRule="exact"/>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r>
      <w:tr>
        <w:trPr>
          <w:trHeight w:val="34"/>
        </w:trPr>
        <w:tc>
          <w:tcPr>
            <w:tcW w:w="5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March 4, 2021</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3,086</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5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260" w:type="dxa"/>
            <w:vAlign w:val="bottom"/>
            <w:tcBorders>
              <w:bottom w:val="single" w:sz="8" w:color="D1D2D4"/>
            </w:tcBorders>
          </w:tcPr>
          <w:p>
            <w:pPr>
              <w:spacing w:after="0"/>
              <w:rPr>
                <w:sz w:val="19"/>
                <w:szCs w:val="19"/>
                <w:color w:val="auto"/>
              </w:rPr>
            </w:pPr>
          </w:p>
        </w:tc>
        <w:tc>
          <w:tcPr>
            <w:tcW w:w="12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2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260" w:type="dxa"/>
            <w:vAlign w:val="bottom"/>
            <w:tcBorders>
              <w:top w:val="single" w:sz="8" w:color="D1D2D4"/>
            </w:tcBorders>
          </w:tcPr>
          <w:p>
            <w:pPr>
              <w:spacing w:after="0" w:line="20" w:lineRule="exact"/>
              <w:rPr>
                <w:sz w:val="1"/>
                <w:szCs w:val="1"/>
                <w:color w:val="auto"/>
              </w:rPr>
            </w:pPr>
          </w:p>
        </w:tc>
        <w:tc>
          <w:tcPr>
            <w:tcW w:w="12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3, 2020</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1,845</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56"/>
        </w:trPr>
        <w:tc>
          <w:tcPr>
            <w:tcW w:w="5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26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260" w:type="dxa"/>
            <w:vAlign w:val="bottom"/>
            <w:tcBorders>
              <w:bottom w:val="single" w:sz="8" w:color="D1D2D4"/>
            </w:tcBorders>
          </w:tcPr>
          <w:p>
            <w:pPr>
              <w:spacing w:after="0"/>
              <w:rPr>
                <w:sz w:val="19"/>
                <w:szCs w:val="19"/>
                <w:color w:val="auto"/>
              </w:rPr>
            </w:pPr>
          </w:p>
        </w:tc>
        <w:tc>
          <w:tcPr>
            <w:tcW w:w="12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260" w:type="dxa"/>
            <w:vAlign w:val="bottom"/>
            <w:tcBorders>
              <w:bottom w:val="single" w:sz="8" w:color="D1D2D4"/>
            </w:tcBorders>
            <w:shd w:val="clear" w:color="auto" w:fill="D1D2D4"/>
          </w:tcPr>
          <w:p>
            <w:pPr>
              <w:spacing w:after="0"/>
              <w:rPr>
                <w:sz w:val="21"/>
                <w:szCs w:val="21"/>
                <w:color w:val="auto"/>
              </w:rPr>
            </w:pPr>
          </w:p>
        </w:tc>
        <w:tc>
          <w:tcPr>
            <w:tcW w:w="12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260" w:type="dxa"/>
            <w:vAlign w:val="bottom"/>
            <w:tcBorders>
              <w:top w:val="single" w:sz="8" w:color="D1D2D4"/>
            </w:tcBorders>
          </w:tcPr>
          <w:p>
            <w:pPr>
              <w:spacing w:after="0" w:line="20" w:lineRule="exact"/>
              <w:rPr>
                <w:sz w:val="1"/>
                <w:szCs w:val="1"/>
                <w:color w:val="auto"/>
              </w:rPr>
            </w:pPr>
          </w:p>
        </w:tc>
        <w:tc>
          <w:tcPr>
            <w:tcW w:w="12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ectPr>
          <w:pgSz w:w="11900" w:h="16838" w:orient="portrait"/>
          <w:cols w:equalWidth="0" w:num="1">
            <w:col w:w="11240"/>
          </w:cols>
          <w:pgMar w:left="320" w:top="919" w:right="339" w:bottom="1440" w:gutter="0" w:footer="0" w:header="0"/>
        </w:sectPr>
      </w:pPr>
    </w:p>
    <w:p>
      <w:pPr>
        <w:spacing w:after="0"/>
        <w:rPr>
          <w:sz w:val="20"/>
          <w:szCs w:val="20"/>
          <w:color w:val="auto"/>
        </w:rPr>
      </w:pPr>
      <w:r>
        <w:rPr>
          <w:rFonts w:ascii="Arial" w:cs="Arial" w:eastAsia="Arial" w:hAnsi="Arial"/>
          <w:sz w:val="12"/>
          <w:szCs w:val="12"/>
          <w:i w:val="1"/>
          <w:iCs w:val="1"/>
          <w:color w:val="auto"/>
        </w:rPr>
        <w:t>(1)</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Included in receivables – other and other noncurrent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Included in accounts payable and accrued expenses – other and other noncurrent liabilities.</w:t>
      </w:r>
    </w:p>
    <w:p>
      <w:pPr>
        <w:spacing w:after="0" w:line="200" w:lineRule="exact"/>
        <w:rPr>
          <w:sz w:val="20"/>
          <w:szCs w:val="20"/>
          <w:color w:val="auto"/>
        </w:rPr>
      </w:pPr>
    </w:p>
    <w:p>
      <w:pPr>
        <w:sectPr>
          <w:pgSz w:w="11900" w:h="16838" w:orient="portrait"/>
          <w:cols w:equalWidth="0" w:num="2">
            <w:col w:w="160" w:space="500"/>
            <w:col w:w="10580"/>
          </w:cols>
          <w:pgMar w:left="320" w:top="919"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utilize currency forward contracts that generally mature within two years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manufacturing costs. We recognized losses of $30 million and gains of $ 17 million for the second quarter and first six months of 2021, respectively, and losses of $17 million and $14 million for the second quarter and first six months of 2020, respectively, in accumulated other comprehensive income from cash flow hedges. Neither the amount excluded from hedge effectiveness nor the reclassifications from accumulated other comprehensive income to earnings was significant for the second quarters or first six months of 2021 or 2020. As of March 4, 2021, we expect to reclassify $45 million of pre-tax gains related to cash flow hedges from accumulated other comprehensive income into earnings in the next 12 months.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Gains and losses for derivative instruments without hedge accounting designation were not significant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40"/>
          <w:szCs w:val="40"/>
          <w:b w:val="1"/>
          <w:bCs w:val="1"/>
          <w:color w:val="auto"/>
        </w:rPr>
        <w:t>Equity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As of March 4, 2021, 70 million shares of our common stock were available for future awards under our equity plans.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6"/>
        </w:trPr>
        <w:tc>
          <w:tcPr>
            <w:tcW w:w="5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2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2"/>
                <w:szCs w:val="22"/>
                <w:color w:val="auto"/>
              </w:rPr>
            </w:pPr>
          </w:p>
        </w:tc>
        <w:tc>
          <w:tcPr>
            <w:tcW w:w="27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0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60" w:type="dxa"/>
            <w:vAlign w:val="bottom"/>
            <w:tcBorders>
              <w:top w:val="single" w:sz="8" w:color="0090DA"/>
            </w:tcBorders>
          </w:tcPr>
          <w:p>
            <w:pPr>
              <w:spacing w:after="0"/>
              <w:rPr>
                <w:sz w:val="14"/>
                <w:szCs w:val="14"/>
                <w:color w:val="auto"/>
              </w:rPr>
            </w:pPr>
          </w:p>
        </w:tc>
        <w:tc>
          <w:tcPr>
            <w:tcW w:w="1260" w:type="dxa"/>
            <w:vAlign w:val="bottom"/>
            <w:tcBorders>
              <w:top w:val="single" w:sz="8" w:color="0090DA"/>
            </w:tcBorders>
          </w:tcPr>
          <w:p>
            <w:pPr>
              <w:jc w:val="right"/>
              <w:ind w:right="70"/>
              <w:spacing w:after="0" w:line="169" w:lineRule="exact"/>
              <w:rPr>
                <w:sz w:val="20"/>
                <w:szCs w:val="20"/>
                <w:color w:val="auto"/>
              </w:rPr>
            </w:pPr>
            <w:r>
              <w:rPr>
                <w:rFonts w:ascii="Arial" w:cs="Arial" w:eastAsia="Arial" w:hAnsi="Arial"/>
                <w:sz w:val="18"/>
                <w:szCs w:val="18"/>
                <w:b w:val="1"/>
                <w:bCs w:val="1"/>
                <w:color w:val="auto"/>
              </w:rPr>
              <w:t>February 27,</w:t>
            </w:r>
          </w:p>
        </w:tc>
        <w:tc>
          <w:tcPr>
            <w:tcW w:w="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240" w:type="dxa"/>
            <w:vAlign w:val="bottom"/>
            <w:tcBorders>
              <w:top w:val="single" w:sz="8" w:color="0090DA"/>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March 4,</w:t>
            </w:r>
          </w:p>
        </w:tc>
        <w:tc>
          <w:tcPr>
            <w:tcW w:w="160" w:type="dxa"/>
            <w:vAlign w:val="bottom"/>
            <w:tcBorders>
              <w:top w:val="single" w:sz="8" w:color="0090DA"/>
            </w:tcBorders>
          </w:tcPr>
          <w:p>
            <w:pPr>
              <w:spacing w:after="0"/>
              <w:rPr>
                <w:sz w:val="14"/>
                <w:szCs w:val="14"/>
                <w:color w:val="auto"/>
              </w:rPr>
            </w:pPr>
          </w:p>
        </w:tc>
        <w:tc>
          <w:tcPr>
            <w:tcW w:w="132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5300" w:type="dxa"/>
            <w:vAlign w:val="bottom"/>
            <w:tcBorders>
              <w:bottom w:val="single" w:sz="8" w:color="0090DA"/>
            </w:tcBorders>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2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240" w:type="dxa"/>
            <w:vAlign w:val="bottom"/>
            <w:tcBorders>
              <w:bottom w:val="single" w:sz="8" w:color="00A3E1"/>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34"/>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5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34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2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8</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54.71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52.02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46.38</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For each six-month ESPP period ended January 2021 and January 2020, we issued 2 million shares at a per share price of $42.55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$38.16, respectively. Assumptions used in the Black-Scholes option valuation model for ESPP grants for the periods below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17"/>
                <w:szCs w:val="17"/>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7"/>
                <w:szCs w:val="17"/>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February 27,</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420" w:type="dxa"/>
            <w:vAlign w:val="bottom"/>
            <w:tcBorders>
              <w:bottom w:val="single" w:sz="8" w:color="00A3E1"/>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A3E1"/>
            </w:tcBorders>
          </w:tcPr>
          <w:p>
            <w:pPr>
              <w:spacing w:after="0"/>
              <w:rPr>
                <w:sz w:val="19"/>
                <w:szCs w:val="19"/>
                <w:color w:val="auto"/>
              </w:rPr>
            </w:pPr>
          </w:p>
        </w:tc>
        <w:tc>
          <w:tcPr>
            <w:tcW w:w="1500" w:type="dxa"/>
            <w:vAlign w:val="bottom"/>
            <w:tcBorders>
              <w:bottom w:val="single" w:sz="8" w:color="00A3E1"/>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22.40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220" w:type="dxa"/>
            <w:vAlign w:val="bottom"/>
          </w:tcPr>
          <w:p>
            <w:pPr>
              <w:spacing w:after="0"/>
              <w:rPr>
                <w:sz w:val="19"/>
                <w:szCs w:val="19"/>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w:t>
            </w:r>
          </w:p>
        </w:tc>
        <w:tc>
          <w:tcPr>
            <w:tcW w:w="220" w:type="dxa"/>
            <w:vAlign w:val="bottom"/>
            <w:shd w:val="clear" w:color="auto" w:fill="D1D2D4"/>
          </w:tcPr>
          <w:p>
            <w:pPr>
              <w:spacing w:after="0"/>
              <w:rPr>
                <w:sz w:val="19"/>
                <w:szCs w:val="19"/>
                <w:color w:val="auto"/>
              </w:rPr>
            </w:pP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48 %</w:t>
            </w:r>
          </w:p>
        </w:tc>
        <w:tc>
          <w:tcPr>
            <w:tcW w:w="140" w:type="dxa"/>
            <w:vAlign w:val="bottom"/>
            <w:shd w:val="clear" w:color="auto" w:fill="D1D2D4"/>
          </w:tcPr>
          <w:p>
            <w:pPr>
              <w:spacing w:after="0"/>
              <w:rPr>
                <w:sz w:val="19"/>
                <w:szCs w:val="19"/>
                <w:color w:val="auto"/>
              </w:rPr>
            </w:pP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D1D2D4"/>
          </w:tcPr>
          <w:p>
            <w:pPr>
              <w:spacing w:after="0"/>
              <w:rPr>
                <w:sz w:val="19"/>
                <w:szCs w:val="19"/>
                <w:color w:val="auto"/>
              </w:rPr>
            </w:pPr>
          </w:p>
        </w:tc>
        <w:tc>
          <w:tcPr>
            <w:tcW w:w="1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0 %</w:t>
            </w:r>
          </w:p>
        </w:tc>
        <w:tc>
          <w:tcPr>
            <w:tcW w:w="140" w:type="dxa"/>
            <w:vAlign w:val="bottom"/>
            <w:shd w:val="clear" w:color="auto" w:fill="D1D2D4"/>
          </w:tcPr>
          <w:p>
            <w:pPr>
              <w:spacing w:after="0"/>
              <w:rPr>
                <w:sz w:val="19"/>
                <w:szCs w:val="19"/>
                <w:color w:val="auto"/>
              </w:rPr>
            </w:pPr>
          </w:p>
        </w:tc>
        <w:tc>
          <w:tcPr>
            <w:tcW w:w="15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6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Stock based compensation expense recognized in our statements of operations is presented below. Stock-based compensation expense of $33 million and $42 million was capitalized and remained in inventory as of March 4, 2021 and September 3, 2020, respectively.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30"/>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Employee stock purchase plan</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4" w:name="page25"/>
    <w:bookmarkEnd w:id="24"/>
    <w:p>
      <w:pPr>
        <w:ind w:right="180"/>
        <w:spacing w:after="0" w:line="261" w:lineRule="auto"/>
        <w:rPr>
          <w:sz w:val="20"/>
          <w:szCs w:val="20"/>
          <w:color w:val="auto"/>
        </w:rPr>
      </w:pPr>
      <w:r>
        <w:rPr>
          <w:rFonts w:ascii="Arial" w:cs="Arial" w:eastAsia="Arial" w:hAnsi="Arial"/>
          <w:sz w:val="18"/>
          <w:szCs w:val="18"/>
          <w:color w:val="auto"/>
        </w:rPr>
        <w:t>As of March 4, 2021, $838 million of total unrecognized compensation costs for unvested awards, before the effect of any future forfeitures, was expected to be recognized through the second quarter of 2025, resulting in a weighted-average period of 1.4 years.</w:t>
      </w:r>
    </w:p>
    <w:p>
      <w:pPr>
        <w:spacing w:after="0" w:line="16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 and Customer Contract Liabilities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30"/>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4,444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NAND</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3,224</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2,936</w:t>
            </w: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24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453</w:t>
            </w:r>
          </w:p>
        </w:tc>
      </w:tr>
      <w:tr>
        <w:trPr>
          <w:trHeight w:val="223"/>
        </w:trPr>
        <w:tc>
          <w:tcPr>
            <w:tcW w:w="53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w:t>
            </w:r>
          </w:p>
        </w:tc>
      </w:tr>
      <w:tr>
        <w:trPr>
          <w:trHeight w:val="21"/>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Contract Liabilities</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contract liabilities from customer advances are for advance payments received from customers to secure product in future periods. Other contract liabilities consist of amounts received in advance of satisfying performance obligations. These balances are reported within other current liabilities and other noncurrent liabilities. The following table presents contract liabilities:</w:t>
      </w:r>
    </w:p>
    <w:tbl>
      <w:tblPr>
        <w:tblLayout w:type="fixed"/>
        <w:tblInd w:w="0" w:type="dxa"/>
        <w:tblCellMar>
          <w:top w:w="0" w:type="dxa"/>
          <w:left w:w="0" w:type="dxa"/>
          <w:bottom w:w="0" w:type="dxa"/>
          <w:right w:w="0" w:type="dxa"/>
        </w:tblCellMar>
      </w:tblPr>
      <w:tr>
        <w:trPr>
          <w:trHeight w:val="189"/>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1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March 4,</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0090DA"/>
            </w:tcBorders>
            <w:vMerge w:val="continue"/>
          </w:tcPr>
          <w:p>
            <w:pPr>
              <w:spacing w:after="0"/>
              <w:rPr>
                <w:sz w:val="19"/>
                <w:szCs w:val="19"/>
                <w:color w:val="auto"/>
              </w:rPr>
            </w:pPr>
          </w:p>
        </w:tc>
        <w:tc>
          <w:tcPr>
            <w:tcW w:w="1140" w:type="dxa"/>
            <w:vAlign w:val="bottom"/>
            <w:tcBorders>
              <w:bottom w:val="single" w:sz="8" w:color="00A3E1"/>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00A3E1"/>
            </w:tcBorders>
          </w:tcPr>
          <w:p>
            <w:pPr>
              <w:spacing w:after="0"/>
              <w:rPr>
                <w:sz w:val="19"/>
                <w:szCs w:val="19"/>
                <w:color w:val="auto"/>
              </w:rPr>
            </w:pPr>
          </w:p>
        </w:tc>
        <w:tc>
          <w:tcPr>
            <w:tcW w:w="160" w:type="dxa"/>
            <w:vAlign w:val="bottom"/>
            <w:tcBorders>
              <w:bottom w:val="single" w:sz="8" w:color="00A3E1"/>
            </w:tcBorders>
          </w:tcPr>
          <w:p>
            <w:pPr>
              <w:spacing w:after="0"/>
              <w:rPr>
                <w:sz w:val="19"/>
                <w:szCs w:val="19"/>
                <w:color w:val="auto"/>
              </w:rPr>
            </w:pPr>
          </w:p>
        </w:tc>
        <w:tc>
          <w:tcPr>
            <w:tcW w:w="13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Contract liabilities from customer advances</w:t>
            </w:r>
          </w:p>
        </w:tc>
        <w:tc>
          <w:tcPr>
            <w:tcW w:w="1140" w:type="dxa"/>
            <w:vAlign w:val="bottom"/>
            <w:shd w:val="clear" w:color="auto" w:fill="D1D2D4"/>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contract liabilities</w:t>
            </w: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320" w:type="dxa"/>
            <w:vAlign w:val="bottom"/>
            <w:tcBorders>
              <w:top w:val="single" w:sz="8" w:color="D1D2D4"/>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Revenue recognized during the first six months of 2021 from the ending balance of 2020 included $43 million from meeting performance obligations of other contract liabilities and shipments against customer advances.</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in some cases, beyond one year. As of March 4, 2021, we expect future revenue related to these longer-term contracts of approximately $291 million, of which approximately 92% relates to performance obligations and product shipments we expect to satisfy within the next 12 months and 8% beyond 12 months.</w:t>
      </w:r>
    </w:p>
    <w:p>
      <w:pPr>
        <w:spacing w:after="0" w:line="23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March 4, 2021 and September 3, 2020, other current liabilities included $485 million and $466 million, respectively, for estimates of consideration payable to customers, including estimates for pricing adjustments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4"/>
          </w:tcPr>
          <w:p>
            <w:pPr>
              <w:ind w:left="60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6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5360" w:type="dxa"/>
            <w:vAlign w:val="bottom"/>
            <w:tcBorders>
              <w:bottom w:val="single" w:sz="8" w:color="0090DA"/>
            </w:tcBorders>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536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36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980" w:type="dxa"/>
            <w:vAlign w:val="bottom"/>
            <w:gridSpan w:val="4"/>
          </w:tcPr>
          <w:p>
            <w:pPr>
              <w:ind w:left="82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1120" w:type="dxa"/>
            <w:vAlign w:val="bottom"/>
            <w:tcBorders>
              <w:top w:val="single" w:sz="8" w:color="0090DA"/>
            </w:tcBorders>
          </w:tcPr>
          <w:p>
            <w:pPr>
              <w:jc w:val="center"/>
              <w:ind w:left="230"/>
              <w:spacing w:after="0" w:line="169" w:lineRule="exact"/>
              <w:rPr>
                <w:sz w:val="20"/>
                <w:szCs w:val="20"/>
                <w:color w:val="auto"/>
              </w:rPr>
            </w:pPr>
            <w:r>
              <w:rPr>
                <w:rFonts w:ascii="Arial" w:cs="Arial" w:eastAsia="Arial" w:hAnsi="Arial"/>
                <w:sz w:val="18"/>
                <w:szCs w:val="18"/>
                <w:b w:val="1"/>
                <w:bCs w:val="1"/>
                <w:color w:val="auto"/>
                <w:w w:val="98"/>
              </w:rPr>
              <w:t>March 4,</w:t>
            </w:r>
          </w:p>
        </w:tc>
        <w:tc>
          <w:tcPr>
            <w:tcW w:w="46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8"/>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65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Borders>
              <w:top w:val="single" w:sz="8" w:color="0090DA"/>
            </w:tcBorders>
          </w:tcPr>
          <w:p>
            <w:pPr>
              <w:spacing w:after="0"/>
              <w:rPr>
                <w:sz w:val="2"/>
                <w:szCs w:val="2"/>
                <w:color w:val="auto"/>
              </w:rPr>
            </w:pPr>
          </w:p>
        </w:tc>
        <w:tc>
          <w:tcPr>
            <w:tcW w:w="1120" w:type="dxa"/>
            <w:vAlign w:val="bottom"/>
            <w:tcBorders>
              <w:top w:val="single" w:sz="8" w:color="00A3E1"/>
            </w:tcBorders>
          </w:tcPr>
          <w:p>
            <w:pPr>
              <w:spacing w:after="0"/>
              <w:rPr>
                <w:sz w:val="2"/>
                <w:szCs w:val="2"/>
                <w:color w:val="auto"/>
              </w:rPr>
            </w:pPr>
          </w:p>
        </w:tc>
        <w:tc>
          <w:tcPr>
            <w:tcW w:w="460" w:type="dxa"/>
            <w:vAlign w:val="bottom"/>
            <w:tcBorders>
              <w:top w:val="single" w:sz="8" w:color="00A3E1"/>
            </w:tcBorders>
          </w:tcPr>
          <w:p>
            <w:pPr>
              <w:spacing w:after="0"/>
              <w:rPr>
                <w:sz w:val="2"/>
                <w:szCs w:val="2"/>
                <w:color w:val="auto"/>
              </w:rPr>
            </w:pPr>
          </w:p>
        </w:tc>
        <w:tc>
          <w:tcPr>
            <w:tcW w:w="1300" w:type="dxa"/>
            <w:vAlign w:val="bottom"/>
            <w:tcBorders>
              <w:top w:val="single" w:sz="8" w:color="00A3E1"/>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00A3E1"/>
            </w:tcBorders>
          </w:tcPr>
          <w:p>
            <w:pPr>
              <w:spacing w:after="0"/>
              <w:rPr>
                <w:sz w:val="2"/>
                <w:szCs w:val="2"/>
                <w:color w:val="auto"/>
              </w:rPr>
            </w:pPr>
          </w:p>
        </w:tc>
        <w:tc>
          <w:tcPr>
            <w:tcW w:w="1180" w:type="dxa"/>
            <w:vAlign w:val="bottom"/>
            <w:tcBorders>
              <w:top w:val="single" w:sz="8" w:color="00A3E1"/>
            </w:tcBorders>
          </w:tcPr>
          <w:p>
            <w:pPr>
              <w:spacing w:after="0"/>
              <w:rPr>
                <w:sz w:val="2"/>
                <w:szCs w:val="2"/>
                <w:color w:val="auto"/>
              </w:rPr>
            </w:pPr>
          </w:p>
        </w:tc>
        <w:tc>
          <w:tcPr>
            <w:tcW w:w="180" w:type="dxa"/>
            <w:vAlign w:val="bottom"/>
            <w:tcBorders>
              <w:top w:val="single" w:sz="8" w:color="00A3E1"/>
            </w:tcBorders>
          </w:tcPr>
          <w:p>
            <w:pPr>
              <w:spacing w:after="0"/>
              <w:rPr>
                <w:sz w:val="2"/>
                <w:szCs w:val="2"/>
                <w:color w:val="auto"/>
              </w:rPr>
            </w:pPr>
          </w:p>
        </w:tc>
        <w:tc>
          <w:tcPr>
            <w:tcW w:w="1300" w:type="dxa"/>
            <w:vAlign w:val="bottom"/>
            <w:tcBorders>
              <w:top w:val="single" w:sz="8" w:color="00A3E1"/>
            </w:tcBorders>
          </w:tcPr>
          <w:p>
            <w:pPr>
              <w:spacing w:after="0"/>
              <w:rPr>
                <w:sz w:val="2"/>
                <w:szCs w:val="2"/>
                <w:color w:val="auto"/>
              </w:rPr>
            </w:pPr>
          </w:p>
        </w:tc>
      </w:tr>
      <w:tr>
        <w:trPr>
          <w:trHeight w:val="230"/>
        </w:trPr>
        <w:tc>
          <w:tcPr>
            <w:tcW w:w="65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Gain (loss) on debt prepayments, repurchases, and conversions   $</w:t>
            </w: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0" w:type="dxa"/>
            <w:vAlign w:val="bottom"/>
            <w:gridSpan w:val="2"/>
            <w:shd w:val="clear" w:color="auto" w:fill="D1D2D4"/>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500" w:type="dxa"/>
            <w:vAlign w:val="bottom"/>
            <w:gridSpan w:val="2"/>
            <w:shd w:val="clear" w:color="auto" w:fill="D1D2D4"/>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4 $</w:t>
            </w:r>
          </w:p>
        </w:tc>
        <w:tc>
          <w:tcPr>
            <w:tcW w:w="1300" w:type="dxa"/>
            <w:vAlign w:val="bottom"/>
            <w:shd w:val="clear" w:color="auto" w:fill="D1D2D4"/>
          </w:tcPr>
          <w:p>
            <w:pPr>
              <w:ind w:left="10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21"/>
                <w:szCs w:val="21"/>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6"/>
        </w:trPr>
        <w:tc>
          <w:tcPr>
            <w:tcW w:w="4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00" w:type="dxa"/>
            <w:vAlign w:val="bottom"/>
            <w:gridSpan w:val="4"/>
          </w:tcPr>
          <w:p>
            <w:pPr>
              <w:ind w:left="6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2"/>
                <w:szCs w:val="22"/>
                <w:color w:val="auto"/>
              </w:rPr>
            </w:pPr>
          </w:p>
        </w:tc>
        <w:tc>
          <w:tcPr>
            <w:tcW w:w="284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9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260" w:type="dxa"/>
            <w:vAlign w:val="bottom"/>
            <w:tcBorders>
              <w:top w:val="single" w:sz="8" w:color="0090DA"/>
            </w:tcBorders>
          </w:tcPr>
          <w:p>
            <w:pPr>
              <w:jc w:val="right"/>
              <w:ind w:right="29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80" w:type="dxa"/>
            <w:vAlign w:val="bottom"/>
            <w:tcBorders>
              <w:top w:val="single" w:sz="8" w:color="0090DA"/>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February 27,</w:t>
            </w:r>
          </w:p>
        </w:tc>
        <w:tc>
          <w:tcPr>
            <w:tcW w:w="80" w:type="dxa"/>
            <w:vAlign w:val="bottom"/>
          </w:tcPr>
          <w:p>
            <w:pPr>
              <w:spacing w:after="0"/>
              <w:rPr>
                <w:sz w:val="14"/>
                <w:szCs w:val="14"/>
                <w:color w:val="auto"/>
              </w:rPr>
            </w:pPr>
          </w:p>
        </w:tc>
        <w:tc>
          <w:tcPr>
            <w:tcW w:w="260" w:type="dxa"/>
            <w:vAlign w:val="bottom"/>
            <w:tcBorders>
              <w:top w:val="single" w:sz="8" w:color="0090DA"/>
            </w:tcBorders>
          </w:tcPr>
          <w:p>
            <w:pPr>
              <w:spacing w:after="0"/>
              <w:rPr>
                <w:sz w:val="14"/>
                <w:szCs w:val="14"/>
                <w:color w:val="auto"/>
              </w:rPr>
            </w:pPr>
          </w:p>
        </w:tc>
        <w:tc>
          <w:tcPr>
            <w:tcW w:w="1280" w:type="dxa"/>
            <w:vAlign w:val="bottom"/>
            <w:tcBorders>
              <w:top w:val="single" w:sz="8" w:color="0090DA"/>
            </w:tcBorders>
          </w:tcPr>
          <w:p>
            <w:pPr>
              <w:jc w:val="right"/>
              <w:ind w:right="31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80" w:type="dxa"/>
            <w:vAlign w:val="bottom"/>
            <w:tcBorders>
              <w:top w:val="single" w:sz="8" w:color="0090DA"/>
            </w:tcBorders>
          </w:tcPr>
          <w:p>
            <w:pPr>
              <w:jc w:val="right"/>
              <w:ind w:right="15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4980" w:type="dxa"/>
            <w:vAlign w:val="bottom"/>
            <w:tcBorders>
              <w:bottom w:val="single" w:sz="8" w:color="0090DA"/>
            </w:tcBorders>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260" w:type="dxa"/>
            <w:vAlign w:val="bottom"/>
            <w:tcBorders>
              <w:bottom w:val="single" w:sz="8" w:color="00A3E1"/>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80" w:type="dxa"/>
            <w:vAlign w:val="bottom"/>
            <w:tcBorders>
              <w:bottom w:val="single" w:sz="8" w:color="00A3E1"/>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60" w:type="dxa"/>
            <w:vAlign w:val="bottom"/>
            <w:tcBorders>
              <w:bottom w:val="single" w:sz="8" w:color="00A3E1"/>
            </w:tcBorders>
          </w:tcPr>
          <w:p>
            <w:pPr>
              <w:spacing w:after="0"/>
              <w:rPr>
                <w:sz w:val="19"/>
                <w:szCs w:val="19"/>
                <w:color w:val="auto"/>
              </w:rPr>
            </w:pPr>
          </w:p>
        </w:tc>
        <w:tc>
          <w:tcPr>
            <w:tcW w:w="1280" w:type="dxa"/>
            <w:vAlign w:val="bottom"/>
            <w:tcBorders>
              <w:bottom w:val="single" w:sz="8" w:color="00A3E1"/>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80" w:type="dxa"/>
            <w:vAlign w:val="bottom"/>
            <w:tcBorders>
              <w:bottom w:val="single" w:sz="8" w:color="00A3E1"/>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34"/>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D1D2D4"/>
          </w:tcPr>
          <w:p>
            <w:pPr>
              <w:spacing w:after="0"/>
              <w:rPr>
                <w:sz w:val="19"/>
                <w:szCs w:val="19"/>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988</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(76)</w:t>
            </w:r>
          </w:p>
        </w:tc>
      </w:tr>
      <w:tr>
        <w:trPr>
          <w:trHeight w:val="229"/>
        </w:trPr>
        <w:tc>
          <w:tcPr>
            <w:tcW w:w="4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7.6 %</w:t>
            </w:r>
          </w:p>
        </w:tc>
        <w:tc>
          <w:tcPr>
            <w:tcW w:w="18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18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7.7 %</w:t>
            </w:r>
          </w:p>
        </w:tc>
      </w:tr>
    </w:tbl>
    <w:p>
      <w:pPr>
        <w:spacing w:after="0" w:line="3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$45 million (benefiting our diluted earnings per share by $0.04) and $101 million ($0.09 per diluted share) for the second quarter and first six months of 2021, respectively, and were not significant to our tax provision for the second quarter or first six months of 2020.</w:t>
      </w:r>
    </w:p>
    <w:p>
      <w:pPr>
        <w:spacing w:after="0" w:line="23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of March 4, 2021, gross unrecognized tax benefits were $415 million, substantially all of which would affect our effective tax rate in the future, if recognized. Amounts accrued for interest and penalties related to uncertain tax positions were not significant for any period presented. During the second quarter of 2021, we received notice from the Internal Revenue Service that they intend to examine our 2018 and 2019 tax years. We believe that adequate amounts of taxes and related interest and penalties have been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6" w:name="page27"/>
    <w:bookmarkEnd w:id="26"/>
    <w:p>
      <w:pPr>
        <w:spacing w:after="0"/>
        <w:rPr>
          <w:sz w:val="20"/>
          <w:szCs w:val="20"/>
          <w:color w:val="auto"/>
        </w:rPr>
      </w:pPr>
      <w:r>
        <w:rPr>
          <w:rFonts w:ascii="Arial" w:cs="Arial" w:eastAsia="Arial" w:hAnsi="Arial"/>
          <w:sz w:val="40"/>
          <w:szCs w:val="40"/>
          <w:b w:val="1"/>
          <w:bCs w:val="1"/>
          <w:color w:val="auto"/>
        </w:rPr>
        <w:t>Earnings Per Share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30"/>
              <w:spacing w:after="0" w:line="169" w:lineRule="exact"/>
              <w:rPr>
                <w:sz w:val="20"/>
                <w:szCs w:val="20"/>
                <w:color w:val="auto"/>
              </w:rPr>
            </w:pPr>
            <w:r>
              <w:rPr>
                <w:rFonts w:ascii="Arial" w:cs="Arial" w:eastAsia="Arial" w:hAnsi="Arial"/>
                <w:sz w:val="18"/>
                <w:szCs w:val="18"/>
                <w:b w:val="1"/>
                <w:bCs w:val="1"/>
                <w:color w:val="auto"/>
              </w:rPr>
              <w:t>March 4,</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16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896</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Assumed conversion of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380" w:type="dxa"/>
            <w:vAlign w:val="bottom"/>
            <w:tcBorders>
              <w:top w:val="single" w:sz="8" w:color="D1D2D4"/>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D1D2D4"/>
              <w:bottom w:val="single" w:sz="8" w:color="D1D2D4"/>
            </w:tcBorders>
            <w:shd w:val="clear" w:color="auto" w:fill="D1D2D4"/>
          </w:tcPr>
          <w:p>
            <w:pPr>
              <w:spacing w:after="0"/>
              <w:rPr>
                <w:sz w:val="21"/>
                <w:szCs w:val="21"/>
                <w:color w:val="auto"/>
              </w:rPr>
            </w:pPr>
          </w:p>
        </w:tc>
        <w:tc>
          <w:tcPr>
            <w:tcW w:w="22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892</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1,109</w:t>
            </w:r>
          </w:p>
        </w:tc>
      </w:tr>
      <w:tr>
        <w:trPr>
          <w:trHeight w:val="229"/>
        </w:trPr>
        <w:tc>
          <w:tcPr>
            <w:tcW w:w="53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1,144</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1,139</w:t>
            </w:r>
          </w:p>
        </w:tc>
        <w:tc>
          <w:tcPr>
            <w:tcW w:w="18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30"/>
        </w:trPr>
        <w:tc>
          <w:tcPr>
            <w:tcW w:w="5380" w:type="dxa"/>
            <w:vAlign w:val="bottom"/>
          </w:tcPr>
          <w:p>
            <w:pPr>
              <w:ind w:left="3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29"/>
        </w:trPr>
        <w:tc>
          <w:tcPr>
            <w:tcW w:w="538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0.79</w:t>
            </w:r>
          </w:p>
        </w:tc>
      </w:tr>
    </w:tbl>
    <w:p>
      <w:pPr>
        <w:spacing w:after="0" w:line="3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2 million for the second quarter and first six months of 2021 and were 1 million and 4 million for the second quarter and first six months of 2020, respectively.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8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203"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ind w:left="34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ind w:left="58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Pr>
          <w:p>
            <w:pPr>
              <w:spacing w:after="0"/>
              <w:rPr>
                <w:sz w:val="20"/>
                <w:szCs w:val="20"/>
                <w:color w:val="auto"/>
              </w:rPr>
            </w:pPr>
          </w:p>
        </w:tc>
        <w:tc>
          <w:tcPr>
            <w:tcW w:w="26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38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80" w:type="dxa"/>
            <w:vAlign w:val="bottom"/>
            <w:tcBorders>
              <w:top w:val="single" w:sz="8" w:color="0090DA"/>
            </w:tcBorders>
          </w:tcPr>
          <w:p>
            <w:pPr>
              <w:jc w:val="right"/>
              <w:ind w:right="250"/>
              <w:spacing w:after="0" w:line="169" w:lineRule="exact"/>
              <w:rPr>
                <w:sz w:val="20"/>
                <w:szCs w:val="20"/>
                <w:color w:val="auto"/>
              </w:rPr>
            </w:pPr>
            <w:r>
              <w:rPr>
                <w:rFonts w:ascii="Arial" w:cs="Arial" w:eastAsia="Arial" w:hAnsi="Arial"/>
                <w:sz w:val="18"/>
                <w:szCs w:val="18"/>
                <w:b w:val="1"/>
                <w:bCs w:val="1"/>
                <w:color w:val="auto"/>
              </w:rPr>
              <w:t>March 4,</w:t>
            </w:r>
          </w:p>
        </w:tc>
        <w:tc>
          <w:tcPr>
            <w:tcW w:w="16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110"/>
              <w:spacing w:after="0" w:line="169" w:lineRule="exact"/>
              <w:rPr>
                <w:sz w:val="20"/>
                <w:szCs w:val="20"/>
                <w:color w:val="auto"/>
              </w:rPr>
            </w:pPr>
            <w:r>
              <w:rPr>
                <w:rFonts w:ascii="Arial" w:cs="Arial" w:eastAsia="Arial" w:hAnsi="Arial"/>
                <w:sz w:val="18"/>
                <w:szCs w:val="18"/>
                <w:b w:val="1"/>
                <w:bCs w:val="1"/>
                <w:color w:val="auto"/>
              </w:rPr>
              <w:t>February 27,</w:t>
            </w:r>
          </w:p>
        </w:tc>
        <w:tc>
          <w:tcPr>
            <w:tcW w:w="100" w:type="dxa"/>
            <w:vAlign w:val="bottom"/>
          </w:tcPr>
          <w:p>
            <w:pPr>
              <w:spacing w:after="0"/>
              <w:rPr>
                <w:sz w:val="14"/>
                <w:szCs w:val="14"/>
                <w:color w:val="auto"/>
              </w:rPr>
            </w:pPr>
          </w:p>
        </w:tc>
        <w:tc>
          <w:tcPr>
            <w:tcW w:w="220" w:type="dxa"/>
            <w:vAlign w:val="bottom"/>
            <w:tcBorders>
              <w:top w:val="single" w:sz="8" w:color="0090DA"/>
            </w:tcBorders>
          </w:tcPr>
          <w:p>
            <w:pPr>
              <w:spacing w:after="0"/>
              <w:rPr>
                <w:sz w:val="14"/>
                <w:szCs w:val="14"/>
                <w:color w:val="auto"/>
              </w:rPr>
            </w:pPr>
          </w:p>
        </w:tc>
        <w:tc>
          <w:tcPr>
            <w:tcW w:w="1220" w:type="dxa"/>
            <w:vAlign w:val="bottom"/>
            <w:tcBorders>
              <w:top w:val="single" w:sz="8" w:color="0090DA"/>
            </w:tcBorders>
          </w:tcPr>
          <w:p>
            <w:pPr>
              <w:jc w:val="right"/>
              <w:ind w:right="270"/>
              <w:spacing w:after="0" w:line="169" w:lineRule="exact"/>
              <w:rPr>
                <w:sz w:val="20"/>
                <w:szCs w:val="20"/>
                <w:color w:val="auto"/>
              </w:rPr>
            </w:pPr>
            <w:r>
              <w:rPr>
                <w:rFonts w:ascii="Arial" w:cs="Arial" w:eastAsia="Arial" w:hAnsi="Arial"/>
                <w:sz w:val="18"/>
                <w:szCs w:val="18"/>
                <w:b w:val="1"/>
                <w:bCs w:val="1"/>
                <w:color w:val="auto"/>
              </w:rPr>
              <w:t>March 4,</w:t>
            </w:r>
          </w:p>
        </w:tc>
        <w:tc>
          <w:tcPr>
            <w:tcW w:w="14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February 27,</w:t>
            </w:r>
          </w:p>
        </w:tc>
      </w:tr>
      <w:tr>
        <w:trPr>
          <w:trHeight w:val="230"/>
        </w:trPr>
        <w:tc>
          <w:tcPr>
            <w:tcW w:w="5380" w:type="dxa"/>
            <w:vAlign w:val="bottom"/>
            <w:tcBorders>
              <w:bottom w:val="single" w:sz="8" w:color="0090DA"/>
            </w:tcBorders>
          </w:tcPr>
          <w:p>
            <w:pPr>
              <w:spacing w:after="0"/>
              <w:rPr>
                <w:sz w:val="19"/>
                <w:szCs w:val="19"/>
                <w:color w:val="auto"/>
              </w:rPr>
            </w:pPr>
          </w:p>
        </w:tc>
        <w:tc>
          <w:tcPr>
            <w:tcW w:w="240" w:type="dxa"/>
            <w:vAlign w:val="bottom"/>
            <w:tcBorders>
              <w:bottom w:val="single" w:sz="8" w:color="00A3E1"/>
            </w:tcBorders>
          </w:tcPr>
          <w:p>
            <w:pPr>
              <w:spacing w:after="0"/>
              <w:rPr>
                <w:sz w:val="19"/>
                <w:szCs w:val="19"/>
                <w:color w:val="auto"/>
              </w:rPr>
            </w:pPr>
          </w:p>
        </w:tc>
        <w:tc>
          <w:tcPr>
            <w:tcW w:w="1180" w:type="dxa"/>
            <w:vAlign w:val="bottom"/>
            <w:tcBorders>
              <w:bottom w:val="single" w:sz="8" w:color="00A3E1"/>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20" w:type="dxa"/>
            <w:vAlign w:val="bottom"/>
            <w:tcBorders>
              <w:bottom w:val="single" w:sz="8" w:color="00A3E1"/>
            </w:tcBorders>
          </w:tcPr>
          <w:p>
            <w:pPr>
              <w:spacing w:after="0"/>
              <w:rPr>
                <w:sz w:val="19"/>
                <w:szCs w:val="19"/>
                <w:color w:val="auto"/>
              </w:rPr>
            </w:pPr>
          </w:p>
        </w:tc>
        <w:tc>
          <w:tcPr>
            <w:tcW w:w="122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A3E1"/>
            </w:tcBorders>
          </w:tcPr>
          <w:p>
            <w:pPr>
              <w:spacing w:after="0"/>
              <w:rPr>
                <w:sz w:val="19"/>
                <w:szCs w:val="19"/>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5,182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3,946</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1,811</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2,715</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1,838</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935</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1,430</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538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12,009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9,941</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r>
        <w:trPr>
          <w:trHeight w:val="204"/>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CNBU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SBU</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EBU</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38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1,136</w:t>
            </w:r>
          </w:p>
        </w:tc>
      </w:tr>
      <w:tr>
        <w:trPr>
          <w:trHeight w:val="237"/>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D1D2D4"/>
          </w:tcPr>
          <w:p>
            <w:pPr>
              <w:spacing w:after="0"/>
              <w:rPr>
                <w:sz w:val="19"/>
                <w:szCs w:val="19"/>
                <w:color w:val="auto"/>
              </w:rPr>
            </w:pPr>
          </w:p>
        </w:tc>
        <w:tc>
          <w:tcPr>
            <w:tcW w:w="140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Patent license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38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1D2D4"/>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380" w:type="dxa"/>
            <w:vAlign w:val="bottom"/>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w:t>
            </w:r>
          </w:p>
        </w:tc>
      </w:tr>
      <w:tr>
        <w:trPr>
          <w:trHeight w:val="236"/>
        </w:trPr>
        <w:tc>
          <w:tcPr>
            <w:tcW w:w="5380" w:type="dxa"/>
            <w:vAlign w:val="bottom"/>
            <w:tcBorders>
              <w:bottom w:val="single" w:sz="8" w:color="D1D2D4"/>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D1D2D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48"/>
        </w:trPr>
        <w:tc>
          <w:tcPr>
            <w:tcW w:w="5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1,529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Certain Concentrations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Revenue from WPG Holdings Limited was 12% of total revenue for the first six months of 2021.</w:t>
      </w:r>
    </w:p>
    <w:p>
      <w:pPr>
        <w:spacing w:after="0" w:line="200" w:lineRule="exact"/>
        <w:rPr>
          <w:sz w:val="20"/>
          <w:szCs w:val="20"/>
          <w:color w:val="auto"/>
        </w:rPr>
      </w:pPr>
    </w:p>
    <w:p>
      <w:pPr>
        <w:spacing w:after="0" w:line="265"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59"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3, 2020. All period references are to our fiscal periods unless otherwise indicated. Our fiscal year is the 52 or 53-week period ending on the Thursday closest to August 31. Fiscal 2021 contains 52 weeks and our fiscal 2020 contained 53 weeks. Our second quarters and first six months of 2020 and 2021 each contained 13 and 26 weeks, respectively. All tabular dollar amounts are in millions, except per share amounts.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85"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 xml:space="preserve">Micron Technology, Inc., including its consolidated subsidiaries, is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w:t>
      </w:r>
    </w:p>
    <w:p>
      <w:pPr>
        <w:sectPr>
          <w:pgSz w:w="11900" w:h="16838" w:orient="portrait"/>
          <w:cols w:equalWidth="0" w:num="1">
            <w:col w:w="11240"/>
          </w:cols>
          <w:pgMar w:left="320" w:top="96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28" w:name="page29"/>
    <w:bookmarkEnd w:id="28"/>
    <w:p>
      <w:pPr>
        <w:ind w:right="240"/>
        <w:spacing w:after="0" w:line="254" w:lineRule="auto"/>
        <w:rPr>
          <w:sz w:val="20"/>
          <w:szCs w:val="20"/>
          <w:color w:val="auto"/>
        </w:rPr>
      </w:pPr>
      <w:r>
        <w:rPr>
          <w:rFonts w:ascii="Arial" w:cs="Arial" w:eastAsia="Arial" w:hAnsi="Arial"/>
          <w:sz w:val="18"/>
          <w:szCs w:val="18"/>
          <w:color w:val="auto"/>
        </w:rPr>
        <w:t>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manufacture our products at wholly-owned facilities and also utilize subcontractors to perform certain manufacturing processes. In recent years, we have increased our manufacturing scale and product diversity through strategic acquisitions, expansion, and various partnering arrangements.</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make significant investments to develop proprietary product and process technology, which are implemented in our manufacturing facilities, and generally increase the density per wafer and reduce manufacturing costs of each generation of product through advancements in product and process technology, such as our leading-edge process technology and 3D NAND architecture. We continue to introduce new generations of products that offer improved performance characteristics, including higher data transfer rates, advanced packaging solutions, lower power consumption, improved read/write reliability, and increased memory density. A significant portion of our revenues are from sales of managed NAND and SSD products, which incorporate NAND, a controller, firmware, and in some cases, DRAM. An increasing portion of our SSDs incorporate proprietary controllers and firmware that we have developed. Development of advanced technologies enables us to diversify our product portfolio toward a richer mix of differentiated, high-value solutions and to target high-growth markets.</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Our success is largely dependent on obtaining returns on our research and development (“R&amp;D”) investments, efficient utilization of our manufacturing infrastructure, development and integration of advanced product and process technologies, market acceptance of our diversified portfolio of semiconductor-based memory and storage solutions, and return-driven capital spending.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Cessation of 3D XPoint Development and Planned Sale of Our Facility in Lehi, Utah</w:t>
      </w:r>
    </w:p>
    <w:p>
      <w:pPr>
        <w:spacing w:after="0" w:line="26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Effective as of the end of the second quarter of 2021, we ceased development of 3D XPoint technology and engaged in discussions with potential buyers for the sale of our Lehi facility that was dedicated to 3D XPoint production. As a result, we classified the property, plant, and equipment as held-for-sale and ceased depreciating the assets. We expect to reach an agreement for the sale of our Lehi facility within calendar year 2021. Our 3D XPoint technology development and Lehi facility operations are primarily included in our CNBU business unit.</w:t>
      </w:r>
    </w:p>
    <w:p>
      <w:pPr>
        <w:spacing w:after="0" w:line="2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Assets classified as held for sale are carried at the lower of fair value less cost to sell or carrying value. Significant judgments and assumptions are required to estimate their fair values. Actual selling prices could vary significantly from our estimated fair value and we could recognize losses in the event that the sales prices of assets classified as held for sale are lower than their carrying values.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Events surrounding the ongoing COVID-19 outbreak have resulted in a reduction in economic activity across the globe. The ultimate severity and duration of these economic repercussions, including any resulting impact on our business, remain largely unknown and ultimately will depend on many factors. As a result, we have experienced volatility in the markets that our products are sold into, driven by the move to a stay-at-home economy and fluctuations in consumer and business spending, which has affected demand for certain of our products. The ultimate extent to which COVID-19 will impact demand for our products depends on future developments, which are highly uncertain and very difficult to predict, including the effectiveness and utilization of vaccines for COVID-19 and its variants, new information that may emerge concerning the severity of COVID-19 and its variants, and actions to contain or limit their spread.</w:t>
      </w:r>
    </w:p>
    <w:p>
      <w:pPr>
        <w:spacing w:after="0" w:line="23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From the start of the COVID-19 outbreak, we proactively implemented preventative protocols, which we continuously assess and update for changes in conditions and emerging trends. These protocols are intended to safeguard our team members, contractors, suppliers, customers, distributors, and communities, and to ensure</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ind w:right="120"/>
        <w:spacing w:after="0" w:line="236" w:lineRule="auto"/>
        <w:rPr>
          <w:sz w:val="20"/>
          <w:szCs w:val="20"/>
          <w:color w:val="auto"/>
        </w:rPr>
      </w:pPr>
      <w:r>
        <w:rPr>
          <w:rFonts w:ascii="Arial" w:cs="Arial" w:eastAsia="Arial" w:hAnsi="Arial"/>
          <w:sz w:val="18"/>
          <w:szCs w:val="18"/>
          <w:color w:val="auto"/>
        </w:rPr>
        <w:t>business continuity in the event government restrictions or severe outbreaks impact our operations at certain sites. While all our global manufacturing sites are currently operating with close to full staff and at normal capacity levels, our facilities could be required to temporarily curtail production levels or temporarily cease operations based on government mandates. We may be required, or deem it to be in the best interest of our employees, customers, partners, suppliers, and stakeholders, to alter our business operations in order to maintain a healthy and safe environment. It is not clear what potential effects any such alterations or modifications may have on our business, including effects on our customers, employees, and prospects, or on our financial results. We are following government policies and recommendations designed to slow the spread of COVID-19 and remain committed to the health and safety of our team members, contractors, suppliers, customers, distributors, and communities.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continuously assess our efforts to respond to the COVID-19 outbreak, which have included the following:</w:t>
      </w:r>
    </w:p>
    <w:p>
      <w:pPr>
        <w:spacing w:after="0" w:line="252" w:lineRule="exact"/>
        <w:rPr>
          <w:sz w:val="20"/>
          <w:szCs w:val="20"/>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locations experiencing continued community COVID-19 infections, we prohibit onsite visitors and are generally requiring team members to work from home where possible. Where work from home is not possible, all on-site team members must complete health questionnaires, pass through thermal scanning equipment to ensure they do not have an elevated body temperature, wear a mask while on site, and adhere to physical distancing requirements and team member separation protocols. We have also enhanced our contact tracing, significantly decreased business travel, and where possible, made ventilation and other health and safety enhancements at our facilities and provided COVID-19 testing and vaccinations for our team members.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respond to changing market conditions, we shift supply from markets which have experienced declines in demand to markets that have experienced demand increases.</w:t>
      </w:r>
    </w:p>
    <w:p>
      <w:pPr>
        <w:jc w:val="both"/>
        <w:ind w:left="660" w:right="6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evaluate our supply chain and communicate with our suppliers to identify supply gaps and have taken steps to ensure continuity. In some cases, we have added alternative suppliers and increased our on-hand inventory of raw materials needed in our operations.</w:t>
      </w:r>
    </w:p>
    <w:p>
      <w:pPr>
        <w:ind w:left="660" w:right="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added assembly and test capacity to provide redundant manufacturing capability through our network of captive operations and external partners.</w:t>
      </w:r>
    </w:p>
    <w:p>
      <w:pPr>
        <w:ind w:left="660" w:right="24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evaluated all our construction projects across our global manufacturing operations and enacted protocols to enhance the safety of our team members, suppliers, and contractors.</w:t>
      </w:r>
    </w:p>
    <w:p>
      <w:pPr>
        <w:ind w:left="660" w:right="78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developed strategies and implemented measures to respond to a variety of potential economic scenarios, such as limitations on new hiring and business travel and reductions of discretionary spending.</w:t>
      </w:r>
    </w:p>
    <w:p>
      <w:pPr>
        <w:ind w:left="660" w:right="24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working with government authorities in the jurisdictions where we operate, and continuing to monitor our operations in an effort to ensure we follow government requirements, relevant regulations, industry standards, and best practices to help safeguard our team members, while safely continuing operations at our sites across the globe.</w:t>
      </w:r>
    </w:p>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believe these actions are appropriate and prudent to safeguard our team members, contractors, suppliers, customers, and communities, while allowing us to safely continue operations. We cannot predict how the steps we, our team members, government entities, suppliers, or customers take in response to the COVID-19 outbreak will ultimately impact our business, outlook,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NOR, and other technologies. We sell our products into various markets through our business units in numerous forms, including wafers, components, modules, SSDs, managed NAND, and MCP products. Our system-level solutions, including SSDs, managed NAND, and MCPs, typically include a controller and firmware and in some cases combine DRAM, NAND, and/or NOR.</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Low-power DRAM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0" w:name="page31"/>
    <w:bookmarkEnd w:id="30"/>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networking, and consumer applications.</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3D XPoint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3D XPoint is a class of non-volatile technology between DRAM and NAND in the memory and storage hierarchy. Effective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end of the second quarter of 2021, we ceased development of our 3D XPoint technology and products.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8"/>
              </w:rPr>
              <w:t>Second</w:t>
            </w:r>
          </w:p>
        </w:tc>
        <w:tc>
          <w:tcPr>
            <w:tcW w:w="240" w:type="dxa"/>
            <w:vAlign w:val="bottom"/>
          </w:tcPr>
          <w:p>
            <w:pPr>
              <w:spacing w:after="0"/>
              <w:rPr>
                <w:sz w:val="17"/>
                <w:szCs w:val="17"/>
                <w:color w:val="auto"/>
              </w:rPr>
            </w:pPr>
          </w:p>
        </w:tc>
        <w:tc>
          <w:tcPr>
            <w:tcW w:w="80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7"/>
              </w:rPr>
              <w:t>First</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8"/>
              </w:rPr>
              <w:t>Second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vMerge w:val="restart"/>
          </w:tcPr>
          <w:p>
            <w:pPr>
              <w:jc w:val="right"/>
              <w:ind w:right="560"/>
              <w:spacing w:after="0"/>
              <w:rPr>
                <w:sz w:val="20"/>
                <w:szCs w:val="20"/>
                <w:color w:val="auto"/>
              </w:rPr>
            </w:pPr>
            <w:r>
              <w:rPr>
                <w:rFonts w:ascii="Arial" w:cs="Arial" w:eastAsia="Arial" w:hAnsi="Arial"/>
                <w:sz w:val="18"/>
                <w:szCs w:val="18"/>
                <w:b w:val="1"/>
                <w:bCs w:val="1"/>
                <w:color w:val="auto"/>
              </w:rPr>
              <w:t>Six Months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19"/>
                <w:szCs w:val="19"/>
                <w:color w:val="auto"/>
              </w:rPr>
            </w:pPr>
          </w:p>
        </w:tc>
        <w:tc>
          <w:tcPr>
            <w:tcW w:w="142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rPr>
              <w:t>Quarter</w:t>
            </w:r>
          </w:p>
        </w:tc>
        <w:tc>
          <w:tcPr>
            <w:tcW w:w="240" w:type="dxa"/>
            <w:vAlign w:val="bottom"/>
          </w:tcPr>
          <w:p>
            <w:pPr>
              <w:spacing w:after="0"/>
              <w:rPr>
                <w:sz w:val="19"/>
                <w:szCs w:val="19"/>
                <w:color w:val="auto"/>
              </w:rPr>
            </w:pPr>
          </w:p>
        </w:tc>
        <w:tc>
          <w:tcPr>
            <w:tcW w:w="14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Borders>
              <w:bottom w:val="single" w:sz="8" w:color="0090DA"/>
            </w:tcBorders>
          </w:tcPr>
          <w:p>
            <w:pPr>
              <w:spacing w:after="0"/>
              <w:rPr>
                <w:sz w:val="19"/>
                <w:szCs w:val="19"/>
                <w:color w:val="auto"/>
              </w:rPr>
            </w:pPr>
          </w:p>
        </w:tc>
        <w:tc>
          <w:tcPr>
            <w:tcW w:w="70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660" w:type="dxa"/>
            <w:vAlign w:val="bottom"/>
            <w:tcBorders>
              <w:bottom w:val="single" w:sz="8" w:color="0090DA"/>
            </w:tcBorders>
            <w:gridSpan w:val="4"/>
            <w:vMerge w:val="continue"/>
          </w:tcPr>
          <w:p>
            <w:pPr>
              <w:spacing w:after="0"/>
              <w:rPr>
                <w:sz w:val="19"/>
                <w:szCs w:val="19"/>
                <w:color w:val="auto"/>
              </w:rPr>
            </w:pPr>
          </w:p>
        </w:tc>
        <w:tc>
          <w:tcPr>
            <w:tcW w:w="6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00" w:type="dxa"/>
            <w:vAlign w:val="bottom"/>
            <w:tcBorders>
              <w:bottom w:val="single" w:sz="8" w:color="0090DA"/>
            </w:tcBorders>
            <w:gridSpan w:val="2"/>
          </w:tcPr>
          <w:p>
            <w:pPr>
              <w:jc w:val="center"/>
              <w:ind w:left="270"/>
              <w:spacing w:after="0"/>
              <w:rPr>
                <w:sz w:val="20"/>
                <w:szCs w:val="20"/>
                <w:color w:val="auto"/>
              </w:rPr>
            </w:pPr>
            <w:r>
              <w:rPr>
                <w:rFonts w:ascii="Arial" w:cs="Arial" w:eastAsia="Arial" w:hAnsi="Arial"/>
                <w:sz w:val="18"/>
                <w:szCs w:val="18"/>
                <w:b w:val="1"/>
                <w:bCs w:val="1"/>
                <w:color w:val="auto"/>
                <w:w w:val="99"/>
              </w:rPr>
              <w:t>2021</w:t>
            </w:r>
          </w:p>
        </w:tc>
        <w:tc>
          <w:tcPr>
            <w:tcW w:w="6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00" w:type="dxa"/>
            <w:vAlign w:val="bottom"/>
            <w:tcBorders>
              <w:bottom w:val="single" w:sz="8" w:color="0090DA"/>
            </w:tcBorders>
            <w:gridSpan w:val="2"/>
          </w:tcPr>
          <w:p>
            <w:pPr>
              <w:jc w:val="center"/>
              <w:ind w:left="270"/>
              <w:spacing w:after="0"/>
              <w:rPr>
                <w:sz w:val="20"/>
                <w:szCs w:val="20"/>
                <w:color w:val="auto"/>
              </w:rPr>
            </w:pPr>
            <w:r>
              <w:rPr>
                <w:rFonts w:ascii="Arial" w:cs="Arial" w:eastAsia="Arial" w:hAnsi="Arial"/>
                <w:sz w:val="18"/>
                <w:szCs w:val="18"/>
                <w:b w:val="1"/>
                <w:bCs w:val="1"/>
                <w:color w:val="auto"/>
                <w:w w:val="99"/>
              </w:rPr>
              <w:t>2021</w:t>
            </w:r>
          </w:p>
        </w:tc>
        <w:tc>
          <w:tcPr>
            <w:tcW w:w="6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00" w:type="dxa"/>
            <w:vAlign w:val="bottom"/>
            <w:tcBorders>
              <w:bottom w:val="single" w:sz="8" w:color="0090DA"/>
            </w:tcBorders>
            <w:gridSpan w:val="2"/>
          </w:tcPr>
          <w:p>
            <w:pPr>
              <w:jc w:val="center"/>
              <w:ind w:left="270"/>
              <w:spacing w:after="0"/>
              <w:rPr>
                <w:sz w:val="20"/>
                <w:szCs w:val="20"/>
                <w:color w:val="auto"/>
              </w:rPr>
            </w:pPr>
            <w:r>
              <w:rPr>
                <w:rFonts w:ascii="Arial" w:cs="Arial" w:eastAsia="Arial" w:hAnsi="Arial"/>
                <w:sz w:val="18"/>
                <w:szCs w:val="18"/>
                <w:b w:val="1"/>
                <w:bCs w:val="1"/>
                <w:color w:val="auto"/>
                <w:w w:val="99"/>
              </w:rPr>
              <w:t>2020</w:t>
            </w:r>
          </w:p>
        </w:tc>
        <w:tc>
          <w:tcPr>
            <w:tcW w:w="6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2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100%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100%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4,797</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100%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12,009</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100%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ind w:right="30"/>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4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ind w:right="50"/>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ind w:right="30"/>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16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ind w:right="3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c>
          <w:tcPr>
            <w:tcW w:w="16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ind w:right="3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9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1,355</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3,385</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D1D2D4"/>
          </w:tcPr>
          <w:p>
            <w:pPr>
              <w:spacing w:after="0"/>
              <w:rPr>
                <w:sz w:val="19"/>
                <w:szCs w:val="19"/>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8"/>
        </w:trPr>
        <w:tc>
          <w:tcPr>
            <w:tcW w:w="2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Other operating (income) expense,</w:t>
            </w: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62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w:t>
            </w:r>
          </w:p>
        </w:tc>
        <w:tc>
          <w:tcPr>
            <w:tcW w:w="240" w:type="dxa"/>
            <w:vAlign w:val="bottom"/>
            <w:tcBorders>
              <w:bottom w:val="single" w:sz="8" w:color="auto"/>
            </w:tcBorders>
            <w:shd w:val="clear" w:color="auto" w:fill="D1D2D4"/>
          </w:tcPr>
          <w:p>
            <w:pPr>
              <w:spacing w:after="0"/>
              <w:rPr>
                <w:sz w:val="18"/>
                <w:szCs w:val="18"/>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D1D2D4"/>
          </w:tcPr>
          <w:p>
            <w:pPr>
              <w:spacing w:after="0"/>
              <w:rPr>
                <w:sz w:val="18"/>
                <w:szCs w:val="18"/>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8"/>
                <w:szCs w:val="18"/>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8"/>
                <w:szCs w:val="18"/>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D1D2D4"/>
          </w:tcPr>
          <w:p>
            <w:pPr>
              <w:spacing w:after="0"/>
              <w:rPr>
                <w:sz w:val="18"/>
                <w:szCs w:val="18"/>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29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6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6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64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7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66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62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Other non-operating income</w:t>
            </w: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62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(expense), net</w:t>
            </w:r>
          </w:p>
        </w:tc>
        <w:tc>
          <w:tcPr>
            <w:tcW w:w="24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1D2D4"/>
          </w:tcPr>
          <w:p>
            <w:pPr>
              <w:spacing w:after="0"/>
              <w:rPr>
                <w:sz w:val="18"/>
                <w:szCs w:val="18"/>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D1D2D4"/>
          </w:tcPr>
          <w:p>
            <w:pPr>
              <w:spacing w:after="0"/>
              <w:rPr>
                <w:sz w:val="18"/>
                <w:szCs w:val="18"/>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8"/>
        </w:trPr>
        <w:tc>
          <w:tcPr>
            <w:tcW w:w="2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Equity in net income (loss) of equity</w:t>
            </w: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40" w:type="dxa"/>
            <w:vAlign w:val="bottom"/>
            <w:shd w:val="clear" w:color="auto" w:fill="D1D2D4"/>
          </w:tcPr>
          <w:p>
            <w:pPr>
              <w:spacing w:after="0"/>
              <w:rPr>
                <w:sz w:val="16"/>
                <w:szCs w:val="16"/>
                <w:color w:val="auto"/>
              </w:rPr>
            </w:pPr>
          </w:p>
        </w:tc>
        <w:tc>
          <w:tcPr>
            <w:tcW w:w="62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4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180" w:type="dxa"/>
            <w:vAlign w:val="bottom"/>
            <w:shd w:val="clear" w:color="auto" w:fill="D1D2D4"/>
          </w:tcPr>
          <w:p>
            <w:pPr>
              <w:spacing w:after="0"/>
              <w:rPr>
                <w:sz w:val="16"/>
                <w:szCs w:val="16"/>
                <w:color w:val="auto"/>
              </w:rPr>
            </w:pPr>
          </w:p>
        </w:tc>
        <w:tc>
          <w:tcPr>
            <w:tcW w:w="70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00" w:type="dxa"/>
            <w:vAlign w:val="bottom"/>
            <w:shd w:val="clear" w:color="auto" w:fill="D1D2D4"/>
          </w:tcPr>
          <w:p>
            <w:pPr>
              <w:spacing w:after="0"/>
              <w:rPr>
                <w:sz w:val="16"/>
                <w:szCs w:val="16"/>
                <w:color w:val="auto"/>
              </w:rPr>
            </w:pPr>
          </w:p>
        </w:tc>
        <w:tc>
          <w:tcPr>
            <w:tcW w:w="240" w:type="dxa"/>
            <w:vAlign w:val="bottom"/>
            <w:shd w:val="clear" w:color="auto" w:fill="D1D2D4"/>
          </w:tcPr>
          <w:p>
            <w:pPr>
              <w:spacing w:after="0"/>
              <w:rPr>
                <w:sz w:val="16"/>
                <w:szCs w:val="16"/>
                <w:color w:val="auto"/>
              </w:rPr>
            </w:pPr>
          </w:p>
        </w:tc>
        <w:tc>
          <w:tcPr>
            <w:tcW w:w="660" w:type="dxa"/>
            <w:vAlign w:val="bottom"/>
            <w:shd w:val="clear" w:color="auto" w:fill="D1D2D4"/>
          </w:tcPr>
          <w:p>
            <w:pPr>
              <w:spacing w:after="0"/>
              <w:rPr>
                <w:sz w:val="16"/>
                <w:szCs w:val="16"/>
                <w:color w:val="auto"/>
              </w:rPr>
            </w:pPr>
          </w:p>
        </w:tc>
        <w:tc>
          <w:tcPr>
            <w:tcW w:w="160" w:type="dxa"/>
            <w:vAlign w:val="bottom"/>
            <w:shd w:val="clear" w:color="auto" w:fill="D1D2D4"/>
          </w:tcPr>
          <w:p>
            <w:pPr>
              <w:spacing w:after="0"/>
              <w:rPr>
                <w:sz w:val="16"/>
                <w:szCs w:val="16"/>
                <w:color w:val="auto"/>
              </w:rPr>
            </w:pPr>
          </w:p>
        </w:tc>
        <w:tc>
          <w:tcPr>
            <w:tcW w:w="6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method investees</w:t>
            </w:r>
          </w:p>
        </w:tc>
        <w:tc>
          <w:tcPr>
            <w:tcW w:w="24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1D2D4"/>
          </w:tcPr>
          <w:p>
            <w:pPr>
              <w:spacing w:after="0"/>
              <w:rPr>
                <w:sz w:val="18"/>
                <w:szCs w:val="18"/>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D1D2D4"/>
          </w:tcPr>
          <w:p>
            <w:pPr>
              <w:spacing w:after="0"/>
              <w:rPr>
                <w:sz w:val="18"/>
                <w:szCs w:val="18"/>
                <w:color w:val="auto"/>
              </w:rPr>
            </w:pPr>
          </w:p>
        </w:tc>
        <w:tc>
          <w:tcPr>
            <w:tcW w:w="6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D1D2D4"/>
          </w:tcPr>
          <w:p>
            <w:pPr>
              <w:spacing w:after="0"/>
              <w:rPr>
                <w:sz w:val="18"/>
                <w:szCs w:val="18"/>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line="189" w:lineRule="exact"/>
              <w:rPr>
                <w:sz w:val="20"/>
                <w:szCs w:val="20"/>
                <w:color w:val="auto"/>
              </w:rPr>
            </w:pPr>
            <w:r>
              <w:rPr>
                <w:rFonts w:ascii="Arial" w:cs="Arial" w:eastAsia="Arial" w:hAnsi="Arial"/>
                <w:sz w:val="18"/>
                <w:szCs w:val="18"/>
                <w:color w:val="auto"/>
              </w:rPr>
              <w:t>Net income attributable to</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980" w:type="dxa"/>
            <w:vAlign w:val="bottom"/>
            <w:tcBorders>
              <w:top w:val="single" w:sz="8" w:color="D1D2D4"/>
              <w:bottom w:val="single" w:sz="8" w:color="D1D2D4"/>
            </w:tcBorders>
            <w:shd w:val="clear" w:color="auto" w:fill="D1D2D4"/>
          </w:tcPr>
          <w:p>
            <w:pPr>
              <w:ind w:left="18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ind w:right="5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98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revenue for the second quarter of 2021 increased 8% as compared to the first quarter of 2021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increases in sales of DRAM and NAND products. Sales of DRAM products for the second quarter of 2021 increased 10% as compared to the first quarter of 2021 primarily due to an upper-single-digit percent increase in bit shipments driven by the mobile, server, automotive, and networking markets. Sales of NAND products for the second quarter of 2021 increased 5% as compared to the first quarter of 2021 primarily due to an upper-single-digit percent increase in bit shipments driven by managed NAND products sold in mobile markets and SSDs, partially offset by a lower-single-digit percent decline in average selling prices.</w:t>
      </w:r>
    </w:p>
    <w:p>
      <w:pPr>
        <w:spacing w:after="0" w:line="22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Total revenue for the second quarter and first six months of 2021 increased 30% and 21%, respectively, as compared to the corresponding periods of 2020 primarily due to increases in DRAM and NAND sales. Sales of DRAM products for the second quarter of 2021 increased 44% as compared to the second quarter of 2020 primarily</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ind w:right="60"/>
        <w:spacing w:after="0" w:line="252" w:lineRule="auto"/>
        <w:rPr>
          <w:sz w:val="20"/>
          <w:szCs w:val="20"/>
          <w:color w:val="auto"/>
        </w:rPr>
      </w:pPr>
      <w:r>
        <w:rPr>
          <w:rFonts w:ascii="Arial" w:cs="Arial" w:eastAsia="Arial" w:hAnsi="Arial"/>
          <w:sz w:val="18"/>
          <w:szCs w:val="18"/>
          <w:color w:val="auto"/>
        </w:rPr>
        <w:t>due to growth in bit shipments in the upper-40% range driven by the mobile, client, networking, and automotive markets. Sales of DRAM products for the first six months of 2021 increased 30% as compared to the first six months of 2020 primarily due to growth in bit shipments in the lower-30% range. Sales of NAND products for the second quarter of 2021 increased 9% as compared to the second quarter of 2020 primarily due to increases in bit shipments in the low-30% range driven by consumer and mobile markets, partially offset by an upper-teens percentage decline in average selling prices. Sales of NAND products for the first six months of 2021 increased 10% as compared to the first six months of 2020 primarily due to increases in bit shipments in the mid-20% range, partially offset by a low-teens percentage decline in average selling prices.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Overall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overall gross margin percentage decreased to 26% for the second quarter of 2021 from 30% for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2021, primarily due to one-time impacts of changes in our inventory costing method to FIFO and cost absorption processes in the second quarter of 2021, as detailed below. Our gross margins included the impact of underutilization costs at our Lehi facility of $111 million for the second quarter of 2021, $113 million for the first quarter of 2021, and $142 million for the second quarter of 2020. Effective as of the end of the second quarter of 2021, we ceased development of 3D XPoint technology and recognized a charge of $49 million to cost of goods sold in the second quarter of 2021 to write down 3D XPoint inventory due to our decision to cease further development of this technology. Our Lehi facility was dedicated to 3D XPoint production and we expect to reach an agreement for the sale of the facility within calendar 2021. As a result, we classified the property, plant, and equipment as held-for-sale and ceased depreciating the assets, which we expect to decrease depreciation expense by approximately $75 million in the third quarter of 2021.</w:t>
      </w:r>
    </w:p>
    <w:p>
      <w:pPr>
        <w:spacing w:after="0" w:line="2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overall gross margin percentage decreased to 26% for the second quarter of 2021 from 28% for the second quarter of 2020 primarily due to the impact of inventory accounting and costing changes and declines in average selling prices, partially offset by manufacturing cost reductions resulting from strong execution in delivering products featuring advanced technologies and from continuous improvement initiatives to reduce production costs. Our overall gross margin percentage increased to 28% for the first six months of 2021 from 27% for the first six months of 2020 primarily due to manufacturing cost reductions, partially offset by the effects of inventory accounting and costing changes and declines in average selling prices.</w:t>
      </w:r>
    </w:p>
    <w:p>
      <w:pPr>
        <w:spacing w:after="0" w:line="2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Concurrently, as of the beginning of the second quarter of 2021, we modified our inventory cost-absorption processes used to estimate inventory values, which affects the timing of when costs are recognized. These changes resulted in a one-time increase to cost of goods sold of approximately $293 million in the second quarter of 2021.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Second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First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8"/>
              </w:rPr>
              <w:t>Second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4"/>
            <w:vMerge w:val="restart"/>
          </w:tcPr>
          <w:p>
            <w:pPr>
              <w:jc w:val="right"/>
              <w:ind w:right="640"/>
              <w:spacing w:after="0"/>
              <w:rPr>
                <w:sz w:val="20"/>
                <w:szCs w:val="20"/>
                <w:color w:val="auto"/>
              </w:rPr>
            </w:pPr>
            <w:r>
              <w:rPr>
                <w:rFonts w:ascii="Arial" w:cs="Arial" w:eastAsia="Arial" w:hAnsi="Arial"/>
                <w:sz w:val="18"/>
                <w:szCs w:val="18"/>
                <w:b w:val="1"/>
                <w:bCs w:val="1"/>
                <w:color w:val="auto"/>
              </w:rPr>
              <w:t>Six Months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Quarter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8"/>
              </w:rPr>
              <w:t>Quarter</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8"/>
              </w:rPr>
              <w:t>Quarter</w:t>
            </w:r>
          </w:p>
        </w:tc>
        <w:tc>
          <w:tcPr>
            <w:tcW w:w="500" w:type="dxa"/>
            <w:vAlign w:val="bottom"/>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70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680" w:type="dxa"/>
            <w:vAlign w:val="bottom"/>
            <w:tcBorders>
              <w:bottom w:val="single" w:sz="8" w:color="0090DA"/>
            </w:tcBorders>
            <w:gridSpan w:val="4"/>
            <w:vMerge w:val="continue"/>
          </w:tcPr>
          <w:p>
            <w:pPr>
              <w:spacing w:after="0"/>
              <w:rPr>
                <w:sz w:val="19"/>
                <w:szCs w:val="19"/>
                <w:color w:val="auto"/>
              </w:rPr>
            </w:pPr>
          </w:p>
        </w:tc>
        <w:tc>
          <w:tcPr>
            <w:tcW w:w="56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center"/>
              <w:ind w:left="19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gridSpan w:val="2"/>
          </w:tcPr>
          <w:p>
            <w:pPr>
              <w:jc w:val="center"/>
              <w:ind w:left="17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gridSpan w:val="2"/>
          </w:tcPr>
          <w:p>
            <w:pPr>
              <w:jc w:val="center"/>
              <w:ind w:left="170"/>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8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2,636</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42%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2,546</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44%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30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4"/>
              </w:rPr>
              <w:t>41%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5,182</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3,946</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1,811</w:t>
            </w:r>
          </w:p>
        </w:tc>
        <w:tc>
          <w:tcPr>
            <w:tcW w:w="2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9"/>
              </w:rPr>
              <w:t>29%</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1,501</w:t>
            </w:r>
          </w:p>
        </w:tc>
        <w:tc>
          <w:tcPr>
            <w:tcW w:w="2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9"/>
              </w:rPr>
              <w:t>26%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1,258</w:t>
            </w:r>
          </w:p>
        </w:tc>
        <w:tc>
          <w:tcPr>
            <w:tcW w:w="3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w w:val="94"/>
              </w:rPr>
              <w:t>26%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3,312</w:t>
            </w:r>
          </w:p>
        </w:tc>
        <w:tc>
          <w:tcPr>
            <w:tcW w:w="2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2,715</w:t>
            </w:r>
          </w:p>
        </w:tc>
        <w:tc>
          <w:tcPr>
            <w:tcW w:w="2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14%</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16%</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4"/>
              </w:rPr>
              <w:t>18%</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1,838</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9"/>
              </w:rPr>
              <w:t>15%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809</w:t>
            </w:r>
          </w:p>
        </w:tc>
        <w:tc>
          <w:tcPr>
            <w:tcW w:w="28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9"/>
              </w:rPr>
              <w:t>14%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w w:val="94"/>
              </w:rPr>
              <w:t>15%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1,744</w:t>
            </w:r>
          </w:p>
        </w:tc>
        <w:tc>
          <w:tcPr>
            <w:tcW w:w="2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5,773</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second quarter of 2021 as compared to the first quarter of 2021 were as follows:</w:t>
      </w:r>
    </w:p>
    <w:p>
      <w:pPr>
        <w:spacing w:after="0" w:line="252" w:lineRule="exact"/>
        <w:rPr>
          <w:sz w:val="20"/>
          <w:szCs w:val="20"/>
          <w:color w:val="auto"/>
        </w:rPr>
      </w:pPr>
    </w:p>
    <w:p>
      <w:pPr>
        <w:ind w:left="660" w:right="2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CNBU revenue increased 4% primarily due to increases in volume and pricing across data center, networking, and client markets, partially offset by declines in sales to the graphics market.</w:t>
      </w:r>
    </w:p>
    <w:p>
      <w:pPr>
        <w:ind w:left="660" w:right="5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MBU revenue increased 21% primarily due to increases in bit shipments of high-value mobile MCP products driven by demand growth in smartphone markets as 5G momentum increases.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SBU revenue decreased 7% primarily due to price declines.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ind w:left="660" w:right="480" w:hanging="328"/>
        <w:spacing w:after="0" w:line="24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EBU revenue increased 16% primarily due to bit shipment increases driven by strong demand growth in automotive as demand recovered from pandemic-related shutdowns and growth in industrial markets.</w:t>
      </w:r>
    </w:p>
    <w:p>
      <w:pPr>
        <w:spacing w:after="0" w:line="2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Changes in revenue for each business unit for the second quarter and first six months of 2021 as compared to the corresponding periods of 2020 were as follows:</w:t>
      </w:r>
    </w:p>
    <w:p>
      <w:pPr>
        <w:spacing w:after="0" w:line="225" w:lineRule="exact"/>
        <w:rPr>
          <w:sz w:val="20"/>
          <w:szCs w:val="20"/>
          <w:color w:val="auto"/>
        </w:rPr>
      </w:pPr>
    </w:p>
    <w:p>
      <w:pPr>
        <w:ind w:left="660" w:right="4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CNBU revenue increased 34% and 31%, respectively, primarily due to increases in bit shipments to the client, cloud server, and graphics markets.</w:t>
      </w:r>
    </w:p>
    <w:p>
      <w:pPr>
        <w:ind w:left="660" w:right="10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MBU revenue increased 44% and 22%, respectively, primarily due to increases in bit shipments for high-value mobile MCP products partially offset by price declines.</w:t>
      </w:r>
    </w:p>
    <w:p>
      <w:pPr>
        <w:ind w:left="660" w:right="3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SBU revenue decreased 2% and 4%, respectively, primarily due to price declines partially offset by increases in bit shipments for NAND products driven by consumer markets.</w:t>
      </w:r>
    </w:p>
    <w:p>
      <w:pPr>
        <w:ind w:left="660" w:right="80" w:hanging="328"/>
        <w:spacing w:after="0" w:line="274"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EBU revenue increased 34% and 22%, respectively, primarily due to increases in bit shipments to the automotive, industrial, and consumer markets from transitions to an increasing mix of high-density DRAM and NAND products, partially offset by price declines.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Second</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rPr>
              <w:t>First</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Second</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4"/>
            <w:vMerge w:val="restart"/>
          </w:tcPr>
          <w:p>
            <w:pPr>
              <w:jc w:val="right"/>
              <w:ind w:right="580"/>
              <w:spacing w:after="0"/>
              <w:rPr>
                <w:sz w:val="20"/>
                <w:szCs w:val="20"/>
                <w:color w:val="auto"/>
              </w:rPr>
            </w:pPr>
            <w:r>
              <w:rPr>
                <w:rFonts w:ascii="Arial" w:cs="Arial" w:eastAsia="Arial" w:hAnsi="Arial"/>
                <w:sz w:val="18"/>
                <w:szCs w:val="18"/>
                <w:b w:val="1"/>
                <w:bCs w:val="1"/>
                <w:color w:val="auto"/>
              </w:rPr>
              <w:t>Six Months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Quarter</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8"/>
              </w:rPr>
              <w:t>Quarter</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Quarter</w:t>
            </w:r>
          </w:p>
        </w:tc>
        <w:tc>
          <w:tcPr>
            <w:tcW w:w="240" w:type="dxa"/>
            <w:vAlign w:val="bottom"/>
            <w:tcBorders>
              <w:bottom w:val="single" w:sz="8" w:color="0090DA"/>
            </w:tcBorders>
          </w:tcPr>
          <w:p>
            <w:pPr>
              <w:spacing w:after="0"/>
              <w:rPr>
                <w:sz w:val="19"/>
                <w:szCs w:val="19"/>
                <w:color w:val="auto"/>
              </w:rPr>
            </w:pPr>
          </w:p>
        </w:tc>
        <w:tc>
          <w:tcPr>
            <w:tcW w:w="64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620" w:type="dxa"/>
            <w:vAlign w:val="bottom"/>
            <w:tcBorders>
              <w:bottom w:val="single" w:sz="8" w:color="0090DA"/>
            </w:tcBorders>
            <w:gridSpan w:val="4"/>
            <w:vMerge w:val="continue"/>
          </w:tcPr>
          <w:p>
            <w:pPr>
              <w:spacing w:after="0"/>
              <w:rPr>
                <w:sz w:val="19"/>
                <w:szCs w:val="19"/>
                <w:color w:val="auto"/>
              </w:rPr>
            </w:pPr>
          </w:p>
        </w:tc>
        <w:tc>
          <w:tcPr>
            <w:tcW w:w="6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center"/>
              <w:ind w:left="190"/>
              <w:spacing w:after="0"/>
              <w:rPr>
                <w:sz w:val="20"/>
                <w:szCs w:val="20"/>
                <w:color w:val="auto"/>
              </w:rPr>
            </w:pPr>
            <w:r>
              <w:rPr>
                <w:rFonts w:ascii="Arial" w:cs="Arial" w:eastAsia="Arial" w:hAnsi="Arial"/>
                <w:sz w:val="18"/>
                <w:szCs w:val="18"/>
                <w:b w:val="1"/>
                <w:bCs w:val="1"/>
                <w:color w:val="auto"/>
                <w:w w:val="99"/>
              </w:rPr>
              <w:t>2021</w:t>
            </w:r>
          </w:p>
        </w:tc>
        <w:tc>
          <w:tcPr>
            <w:tcW w:w="520" w:type="dxa"/>
            <w:vAlign w:val="bottom"/>
            <w:tcBorders>
              <w:bottom w:val="single" w:sz="8" w:color="0090DA"/>
            </w:tcBorders>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center"/>
              <w:ind w:left="9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0090DA"/>
            </w:tcBorders>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740" w:type="dxa"/>
            <w:vAlign w:val="bottom"/>
            <w:tcBorders>
              <w:bottom w:val="single" w:sz="8" w:color="0090DA"/>
            </w:tcBorders>
            <w:gridSpan w:val="2"/>
          </w:tcPr>
          <w:p>
            <w:pPr>
              <w:ind w:left="320"/>
              <w:spacing w:after="0"/>
              <w:rPr>
                <w:sz w:val="20"/>
                <w:szCs w:val="20"/>
                <w:color w:val="auto"/>
              </w:rPr>
            </w:pPr>
            <w:r>
              <w:rPr>
                <w:rFonts w:ascii="Arial" w:cs="Arial" w:eastAsia="Arial" w:hAnsi="Arial"/>
                <w:sz w:val="18"/>
                <w:szCs w:val="18"/>
                <w:b w:val="1"/>
                <w:bCs w:val="1"/>
                <w:color w:val="auto"/>
                <w:w w:val="99"/>
              </w:rPr>
              <w:t>2020</w:t>
            </w:r>
          </w:p>
        </w:tc>
        <w:tc>
          <w:tcPr>
            <w:tcW w:w="62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0090DA"/>
            </w:tcBorders>
          </w:tcPr>
          <w:p>
            <w:pPr>
              <w:spacing w:after="0"/>
              <w:rPr>
                <w:sz w:val="19"/>
                <w:szCs w:val="19"/>
                <w:color w:val="auto"/>
              </w:rPr>
            </w:pPr>
          </w:p>
        </w:tc>
        <w:tc>
          <w:tcPr>
            <w:tcW w:w="240" w:type="dxa"/>
            <w:vAlign w:val="bottom"/>
            <w:tcBorders>
              <w:bottom w:val="single" w:sz="8" w:color="0090DA"/>
            </w:tcBorders>
          </w:tcPr>
          <w:p>
            <w:pPr>
              <w:spacing w:after="0"/>
              <w:rPr>
                <w:sz w:val="19"/>
                <w:szCs w:val="19"/>
                <w:color w:val="auto"/>
              </w:rPr>
            </w:pPr>
          </w:p>
        </w:tc>
        <w:tc>
          <w:tcPr>
            <w:tcW w:w="820" w:type="dxa"/>
            <w:vAlign w:val="bottom"/>
            <w:tcBorders>
              <w:bottom w:val="single" w:sz="8" w:color="0090DA"/>
            </w:tcBorders>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D1D2D4"/>
          </w:tcPr>
          <w:p>
            <w:pPr>
              <w:spacing w:after="0"/>
              <w:rPr>
                <w:sz w:val="19"/>
                <w:szCs w:val="19"/>
                <w:color w:val="auto"/>
              </w:rPr>
            </w:pPr>
          </w:p>
        </w:tc>
        <w:tc>
          <w:tcPr>
            <w:tcW w:w="5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27%</w:t>
            </w: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4"/>
              </w:rPr>
              <w:t>19%</w:t>
            </w: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99"/>
              </w:rPr>
              <w:t>26%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w w:val="94"/>
              </w:rPr>
              <w:t>25%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SBU</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D1D2D4"/>
          </w:tcPr>
          <w:p>
            <w:pPr>
              <w:spacing w:after="0"/>
              <w:rPr>
                <w:sz w:val="19"/>
                <w:szCs w:val="19"/>
                <w:color w:val="auto"/>
              </w:rPr>
            </w:pPr>
          </w:p>
        </w:tc>
        <w:tc>
          <w:tcPr>
            <w:tcW w:w="5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4"/>
              </w:rPr>
              <w:t>(7)%</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D1D2D4"/>
          </w:tcPr>
          <w:p>
            <w:pPr>
              <w:spacing w:after="0"/>
              <w:rPr>
                <w:sz w:val="19"/>
                <w:szCs w:val="19"/>
                <w:color w:val="auto"/>
              </w:rPr>
            </w:pPr>
          </w:p>
        </w:tc>
        <w:tc>
          <w:tcPr>
            <w:tcW w:w="5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ind w:left="320"/>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(3)%</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99"/>
              </w:rPr>
              <w:t>15%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w w:val="94"/>
              </w:rPr>
              <w:t>14%</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D1D2D4"/>
          </w:tcPr>
          <w:p>
            <w:pPr>
              <w:spacing w:after="0"/>
              <w:rPr>
                <w:sz w:val="19"/>
                <w:szCs w:val="19"/>
                <w:color w:val="auto"/>
              </w:rPr>
            </w:pPr>
          </w:p>
        </w:tc>
        <w:tc>
          <w:tcPr>
            <w:tcW w:w="5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50%</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1D2D4"/>
          </w:tcPr>
          <w:p>
            <w:pPr>
              <w:spacing w:after="0"/>
              <w:rPr>
                <w:sz w:val="19"/>
                <w:szCs w:val="19"/>
                <w:color w:val="auto"/>
              </w:rPr>
            </w:pPr>
          </w:p>
        </w:tc>
        <w:tc>
          <w:tcPr>
            <w:tcW w:w="560" w:type="dxa"/>
            <w:vAlign w:val="bottom"/>
            <w:shd w:val="clear" w:color="auto" w:fill="D1D2D4"/>
          </w:tcPr>
          <w:p>
            <w:pPr>
              <w:ind w:left="320"/>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5"/>
              </w:rPr>
              <w:t>(17)%</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D1D2D4"/>
          </w:tcPr>
          <w:p>
            <w:pPr>
              <w:spacing w:after="0"/>
              <w:rPr>
                <w:sz w:val="19"/>
                <w:szCs w:val="19"/>
                <w:color w:val="auto"/>
              </w:rPr>
            </w:pPr>
          </w:p>
        </w:tc>
        <w:tc>
          <w:tcPr>
            <w:tcW w:w="5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6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Changes in operating income or loss for each business unit for the second quarter of 2021 as compared to the first quarter of 2021 were as follows:</w:t>
      </w:r>
    </w:p>
    <w:p>
      <w:pPr>
        <w:spacing w:after="0" w:line="225" w:lineRule="exact"/>
        <w:rPr>
          <w:sz w:val="20"/>
          <w:szCs w:val="20"/>
          <w:color w:val="auto"/>
        </w:rPr>
      </w:pPr>
    </w:p>
    <w:p>
      <w:pPr>
        <w:ind w:left="660" w:right="50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CNBU operating income increased primarily due to manufacturing cost reductions, increases in bit shipments, and increases in DRAM pricing.</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bit shipments and manufacturing cost reductions.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SBU operating margin declined primarily due to declines in NAND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EBU operating income increased primarily due to increases in bit shipments.</w:t>
      </w:r>
    </w:p>
    <w:p>
      <w:pPr>
        <w:spacing w:after="0" w:line="252"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Changes in operating income or loss for each business unit for the second quarter and first six months of 2021 as compared to the corresponding periods of 2020 were as follows:</w:t>
      </w:r>
    </w:p>
    <w:p>
      <w:pPr>
        <w:spacing w:after="0" w:line="225" w:lineRule="exact"/>
        <w:rPr>
          <w:sz w:val="20"/>
          <w:szCs w:val="20"/>
          <w:color w:val="auto"/>
        </w:rPr>
      </w:pP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bit shipments, manufacturing cost reductions, and higher selling prices, partially offset by higher R&amp;D costs.</w:t>
      </w:r>
    </w:p>
    <w:p>
      <w:pPr>
        <w:ind w:left="660" w:right="14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sales of high-value MCP products, manufacturing cost reductions for low-power DRAM, and lower R&amp;D costs, partially offset by declines in low-power DRAM and NAND pricing.</w:t>
      </w:r>
    </w:p>
    <w:p>
      <w:pPr>
        <w:ind w:left="660" w:right="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operating margin for the second quarter of 2021 declined from the second quarter of 2020 primarily due to decreases in selling prices, partially offset by manufacturing cost reductions and increases in bit shipments. SBU operating margin for the first six months of 2021 improved from the first six months of 2020 primarily due to lower manufacturing costs and increases in bit shipments, partially offset by decreases in selling prices.</w:t>
      </w:r>
    </w:p>
    <w:p>
      <w:pPr>
        <w:spacing w:after="0" w:line="1"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operating income increased primarily due to increases in bit shipments and lower R&amp;D costs, partially offset by lower selling prices.</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980"/>
        <w:spacing w:after="0"/>
        <w:rPr>
          <w:sz w:val="20"/>
          <w:szCs w:val="20"/>
          <w:color w:val="auto"/>
        </w:rPr>
      </w:pPr>
      <w:r>
        <w:rPr>
          <w:sz w:val="1"/>
          <w:szCs w:val="1"/>
          <w:color w:val="auto"/>
        </w:rPr>
        <w:drawing>
          <wp:inline distT="0" distB="0" distL="0" distR="0">
            <wp:extent cx="643255" cy="1797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R&amp;D expenses for the second quarter of 2021 were relatively unchanged as compared to the first quarter of 2021.</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R&amp;D expenses for the second quarter and first six months of 2021 were 6% and 2% lower, respectively, as compared to the corresponding periods of 2020, primarily due to decreases in volumes of development and pre-qualification wafers, partially offset by increases in employee compensation and depreciation expense resulting from higher capital spending.</w:t>
      </w:r>
    </w:p>
    <w:p>
      <w:pPr>
        <w:spacing w:after="0" w:line="2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expenses for the second quarter of 2021 were relatively unchanged as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2021. SG&amp;A expenses for the second quarter and first six months of 2021 were relatively unchanged as compared to the corresponding periods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income tax (provision) benefit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7"/>
                <w:szCs w:val="17"/>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First</w:t>
            </w:r>
          </w:p>
        </w:tc>
        <w:tc>
          <w:tcPr>
            <w:tcW w:w="280" w:type="dxa"/>
            <w:vAlign w:val="bottom"/>
          </w:tcPr>
          <w:p>
            <w:pPr>
              <w:spacing w:after="0"/>
              <w:rPr>
                <w:sz w:val="17"/>
                <w:szCs w:val="17"/>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Second</w:t>
            </w:r>
          </w:p>
        </w:tc>
        <w:tc>
          <w:tcPr>
            <w:tcW w:w="340" w:type="dxa"/>
            <w:vAlign w:val="bottom"/>
          </w:tcPr>
          <w:p>
            <w:pPr>
              <w:spacing w:after="0"/>
              <w:rPr>
                <w:sz w:val="17"/>
                <w:szCs w:val="17"/>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Six Months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9"/>
                <w:szCs w:val="19"/>
                <w:color w:val="auto"/>
              </w:rPr>
            </w:pPr>
          </w:p>
        </w:tc>
        <w:tc>
          <w:tcPr>
            <w:tcW w:w="1260" w:type="dxa"/>
            <w:vAlign w:val="bottom"/>
          </w:tcPr>
          <w:p>
            <w:pPr>
              <w:jc w:val="center"/>
              <w:ind w:right="19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19"/>
                <w:szCs w:val="19"/>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Quarter</w:t>
            </w:r>
          </w:p>
        </w:tc>
        <w:tc>
          <w:tcPr>
            <w:tcW w:w="340" w:type="dxa"/>
            <w:vAlign w:val="bottom"/>
            <w:tcBorders>
              <w:bottom w:val="single" w:sz="8" w:color="0090DA"/>
            </w:tcBorders>
          </w:tcPr>
          <w:p>
            <w:pPr>
              <w:spacing w:after="0"/>
              <w:rPr>
                <w:sz w:val="19"/>
                <w:szCs w:val="19"/>
                <w:color w:val="auto"/>
              </w:rPr>
            </w:pPr>
          </w:p>
        </w:tc>
        <w:tc>
          <w:tcPr>
            <w:tcW w:w="1680" w:type="dxa"/>
            <w:vAlign w:val="bottom"/>
            <w:tcBorders>
              <w:bottom w:val="single" w:sz="8" w:color="0090DA"/>
            </w:tcBorders>
            <w:gridSpan w:val="2"/>
            <w:vMerge w:val="continue"/>
          </w:tcPr>
          <w:p>
            <w:pPr>
              <w:spacing w:after="0"/>
              <w:rPr>
                <w:sz w:val="19"/>
                <w:szCs w:val="19"/>
                <w:color w:val="auto"/>
              </w:rPr>
            </w:pPr>
          </w:p>
        </w:tc>
        <w:tc>
          <w:tcPr>
            <w:tcW w:w="980" w:type="dxa"/>
            <w:vAlign w:val="bottom"/>
            <w:tcBorders>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0090DA"/>
            </w:tcBorders>
          </w:tcPr>
          <w:p>
            <w:pPr>
              <w:spacing w:after="0"/>
              <w:rPr>
                <w:sz w:val="19"/>
                <w:szCs w:val="19"/>
                <w:color w:val="auto"/>
              </w:rPr>
            </w:pPr>
          </w:p>
        </w:tc>
        <w:tc>
          <w:tcPr>
            <w:tcW w:w="90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center"/>
              <w:ind w:right="21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center"/>
              <w:ind w:right="17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9"/>
              </w:rPr>
              <w:t>2020</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0090DA"/>
            </w:tcBorders>
          </w:tcPr>
          <w:p>
            <w:pPr>
              <w:spacing w:after="0"/>
              <w:rPr>
                <w:sz w:val="19"/>
                <w:szCs w:val="19"/>
                <w:color w:val="auto"/>
              </w:rPr>
            </w:pPr>
          </w:p>
        </w:tc>
        <w:tc>
          <w:tcPr>
            <w:tcW w:w="98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3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9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427</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1,476</w:t>
            </w:r>
          </w:p>
        </w:tc>
        <w:tc>
          <w:tcPr>
            <w:tcW w:w="50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90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9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7.6 %</w:t>
            </w:r>
          </w:p>
        </w:tc>
        <w:tc>
          <w:tcPr>
            <w:tcW w:w="26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6.1 %</w:t>
            </w:r>
          </w:p>
        </w:tc>
        <w:tc>
          <w:tcPr>
            <w:tcW w:w="28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6.7 %</w:t>
            </w:r>
          </w:p>
        </w:tc>
        <w:tc>
          <w:tcPr>
            <w:tcW w:w="50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Changes to our effective tax rate in the periods presented were primarily due to the geographic mix of our earnings.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incentives expire, in whole or in part, at various dates through 2034 and are conditional, in part, upon meeting certain business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employment thresholds. The effect of tax incentive arrangements reduced our tax provision by $45 million (benefiting our 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by $0.04) for the second quarter of 2021, by $56 million ($0.05 per diluted share) for the first quarter of 2021,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million ($0.09 per diluted share) for the first six months of 2021, and were not significant to our tax provision for the second quarter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Income Taxes.”</w:t>
      </w:r>
    </w:p>
    <w:p>
      <w:pPr>
        <w:spacing w:after="0" w:line="23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expense for the second quarter of 2021 decreased 13% as compared to the first quarter of 2021 primarily due to decreases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obligations and an increase in capitalized interest from higher levels of capital projects in process. Interest income for the second quarter of 2021 was relatively unchanged as compared to the first quarter of 2021.</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Interest expense for the second quarter of 2021 decreased 9% as compared to the second quarter of 2020 primarily due to a decrease in interest rates and an increase in capitalized interest from higher levels of capital projects in process, partially offset by an increase in debt obligations. Interest expense for the first six months of 2021 was relatively unchanged as compared to the first six months of 2020. Interest income for the second quarter and first six months of 2021 decreased 71% and 74%, respectively, as compared to the corresponding periods of 2020 as a result of decreases in interest rates, partially offset by higher cash and investment balances.</w:t>
      </w:r>
    </w:p>
    <w:p>
      <w:pPr>
        <w:spacing w:after="0" w:line="23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Further discussion of other operating and non-operating income and expenses can be found in “Item 1. Financial Statements – Notes to Consolidated Financial Statements – Equity Plans,” “– Other Operating (Income) Expense, Net” and “– Other Non-Operating Income (Expense), Net.”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20"/>
          <w:szCs w:val="20"/>
          <w:b w:val="1"/>
          <w:bCs w:val="1"/>
          <w:color w:val="0090DA"/>
        </w:rPr>
        <w:t>|</w:t>
      </w:r>
      <w:r>
        <w:rPr>
          <w:rFonts w:ascii="Arial" w:cs="Arial" w:eastAsia="Arial" w:hAnsi="Arial"/>
          <w:sz w:val="17"/>
          <w:szCs w:val="17"/>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22"/>
          <w:szCs w:val="22"/>
          <w:b w:val="1"/>
          <w:bCs w:val="1"/>
          <w:color w:val="0090DA"/>
        </w:rPr>
        <w:t>Liquidity and Capital Resources</w:t>
      </w:r>
    </w:p>
    <w:p>
      <w:pPr>
        <w:spacing w:after="0" w:line="26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As of March 4, 2021, $2.50 billion was available to draw under our Revolving Credit Facility. We expect that our cash and investments, cash flows from operations, and available financing will be sufficient to meet our requirements at least through the next 12 months and thereafter for the foreseeable future.</w:t>
      </w:r>
    </w:p>
    <w:p>
      <w:pPr>
        <w:spacing w:after="0" w:line="23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2021 for property, plant, and equipment, net of partner contributions, to be approximately $9 billion, focused on technology transitions and product enablement. Actual amounts for 2021 will vary depending on market conditions. As of March 4, 2021, we had purchase obligations of approximately $2.02 billion for the acquisition of property, plant, and equipment, of which approximately $1.82 billion is expected to be paid within one year.</w:t>
      </w:r>
    </w:p>
    <w:p>
      <w:pPr>
        <w:spacing w:after="0" w:line="21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May 2018, our Board of Directors authorized the discretionary repurchase of up to $10 billion of our outstanding common stock through open-market purchases, block trades, privately-negotiated transactions, derivative transactions, and/or pursuant to a Rule 10b5-1 trading plan. The repurchase authorization has no expiration date, does not obligate us to acquire any common stock, and is subject to market conditions and our ongoing determination of the best use of available cash. Since the authorization in May 2018, through March 4, 2021, we had repurchased an aggregate of $2.84 billion of the authorized amount.</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marketable investments totaled $8.50 billion as of March 4, 2021 and $9.19 billion as of September 3, 2020. Our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March 4, 2021, $2.45 billion of our cash and marketable investments was held by our foreign subsidiaries.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360" w:type="dxa"/>
            <w:vAlign w:val="bottom"/>
          </w:tcPr>
          <w:p>
            <w:pPr>
              <w:spacing w:after="0"/>
              <w:rPr>
                <w:sz w:val="22"/>
                <w:szCs w:val="22"/>
                <w:color w:val="auto"/>
              </w:rPr>
            </w:pPr>
          </w:p>
        </w:tc>
        <w:tc>
          <w:tcPr>
            <w:tcW w:w="320" w:type="dxa"/>
            <w:vAlign w:val="bottom"/>
            <w:tcBorders>
              <w:bottom w:val="single" w:sz="8" w:color="0090DA"/>
            </w:tcBorders>
          </w:tcPr>
          <w:p>
            <w:pPr>
              <w:spacing w:after="0"/>
              <w:rPr>
                <w:sz w:val="22"/>
                <w:szCs w:val="22"/>
                <w:color w:val="auto"/>
              </w:rPr>
            </w:pPr>
          </w:p>
        </w:tc>
        <w:tc>
          <w:tcPr>
            <w:tcW w:w="16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Six Months</w:t>
            </w:r>
          </w:p>
        </w:tc>
        <w:tc>
          <w:tcPr>
            <w:tcW w:w="940" w:type="dxa"/>
            <w:vAlign w:val="bottom"/>
            <w:tcBorders>
              <w:bottom w:val="single" w:sz="8" w:color="0090DA"/>
            </w:tcBorders>
          </w:tcPr>
          <w:p>
            <w:pPr>
              <w:spacing w:after="0"/>
              <w:rPr>
                <w:sz w:val="22"/>
                <w:szCs w:val="22"/>
                <w:color w:val="auto"/>
              </w:rPr>
            </w:pPr>
          </w:p>
        </w:tc>
      </w:tr>
      <w:tr>
        <w:trPr>
          <w:trHeight w:val="223"/>
        </w:trPr>
        <w:tc>
          <w:tcPr>
            <w:tcW w:w="8360" w:type="dxa"/>
            <w:vAlign w:val="bottom"/>
            <w:tcBorders>
              <w:bottom w:val="single" w:sz="8" w:color="0090DA"/>
            </w:tcBorders>
          </w:tcPr>
          <w:p>
            <w:pPr>
              <w:spacing w:after="0"/>
              <w:rPr>
                <w:sz w:val="19"/>
                <w:szCs w:val="19"/>
                <w:color w:val="auto"/>
              </w:rPr>
            </w:pPr>
          </w:p>
        </w:tc>
        <w:tc>
          <w:tcPr>
            <w:tcW w:w="3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5,024</w:t>
            </w:r>
          </w:p>
        </w:tc>
        <w:tc>
          <w:tcPr>
            <w:tcW w:w="50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4,012</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(2,899)</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500" w:type="dxa"/>
            <w:vAlign w:val="bottom"/>
            <w:shd w:val="clear" w:color="auto" w:fill="D1D2D4"/>
          </w:tcPr>
          <w:p>
            <w:pPr>
              <w:spacing w:after="0"/>
              <w:rPr>
                <w:sz w:val="19"/>
                <w:szCs w:val="19"/>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(1,207)</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(1,116)</w:t>
            </w:r>
          </w:p>
        </w:tc>
        <w:tc>
          <w:tcPr>
            <w:tcW w:w="500" w:type="dxa"/>
            <w:vAlign w:val="bottom"/>
            <w:tcBorders>
              <w:bottom w:val="single" w:sz="8" w:color="auto"/>
            </w:tcBorders>
            <w:shd w:val="clear" w:color="auto" w:fill="D1D2D4"/>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500" w:type="dxa"/>
            <w:vAlign w:val="bottom"/>
            <w:tcBorders>
              <w:top w:val="single" w:sz="8" w:color="D1D2D4"/>
              <w:bottom w:val="single" w:sz="8" w:color="auto"/>
            </w:tcBorders>
          </w:tcPr>
          <w:p>
            <w:pPr>
              <w:spacing w:after="0" w:line="20" w:lineRule="exact"/>
              <w:rPr>
                <w:sz w:val="1"/>
                <w:szCs w:val="1"/>
                <w:color w:val="auto"/>
              </w:rPr>
            </w:pPr>
          </w:p>
        </w:tc>
        <w:tc>
          <w:tcPr>
            <w:tcW w:w="940" w:type="dxa"/>
            <w:vAlign w:val="bottom"/>
            <w:tcBorders>
              <w:top w:val="single" w:sz="8" w:color="D1D2D4"/>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amortization of intangible assets, and stock-based compensation, and the effects of changes in operating assets and liabilities. The increase in cash provided by operating activities for the first six months of 2021 as compared to the first six months of 2020 was primarily due to higher net income compared with the prior period and changes in working capital.</w:t>
      </w:r>
    </w:p>
    <w:p>
      <w:pPr>
        <w:spacing w:after="0" w:line="20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the first six months of 2021, net cash used for investing activities consisted primarily of $ 5.54 billion of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property, plant, and equipment (net of partner contributions) and $425 million of net outflows from purchases, sales, and maturities of available-for-sale securities.</w:t>
      </w:r>
    </w:p>
    <w:p>
      <w:pPr>
        <w:spacing w:after="0" w:line="22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For the first six months of 2020, net cash used for investing activities consisted primarily of $3.86 billion of expenditures for property, plant, and equipment (net of partner contributions) partially offset by $1.02 billion of net inflows from sales, maturities, and purchases of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right="40"/>
        <w:spacing w:after="0" w:line="282"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the first six months of 2021, net cash used for financing activities consisted primarily of $123 million for payments on</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purchase contracts and $103 million for repayments of debt.</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six months of 2020, net cash used for financing activities consisted primarily of $1.68 billion of cash payments to reduce our debt, including $621 million for IMFT member debt repayments, $534 million to prepay the 2025 Notes, $198 million to settle conversions of notes, and $129 million for scheduled repayment of finance leases; $ 744 million for the acquisition of noncontrolling interest in IMFT; and $94 million for the acquisition of 1.9 million shares of treasury stock under our $10 billion share repurchase authorization. Cash used for financing activities was partially offset by net proceeds of $1.25 billion from borrowing the 2024 Term Loan 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Debt.”</w:t>
      </w:r>
    </w:p>
    <w:p>
      <w:pPr>
        <w:spacing w:after="0" w:line="23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Potential Settlement Obligations of Convertible Notes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1. Financial Statements – Notes to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Debt – 2032D Convertible Senior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“Item 1. Financial Statements – Notes to Consolidated Financial Statements – Leases” and – Debt.”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Critical Accounting Estimates</w:t>
      </w:r>
    </w:p>
    <w:p>
      <w:pPr>
        <w:spacing w:after="0" w:line="2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a discussion of our significant accounting estimates, see “Part II – Item 7. Management’s Discussion and Analysis of Financial Condition and Results of Operations – Significant Accounting Estimates” of our Annual Report on Form 10-K for the year ended September 3, 2020. Except for the significant accounting estimate associated with inventories as discussed below, there have been no changes to our significant accounting estimates since our Annual Report on Form 10-K for the year ended September 3, 2020.</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FIFO basis. Effective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beginning of the second quarter of 2021, we changed our method of inventory costing from average cost to FIFO. Cost includes depreciation, labor, material, and overhead costs, including product and process technology costs. Determining net realizable value of inventories involves significant judgments, including projecting future average selling prices and future sales volumes. To project average selling prices and sales volumes, we review recent sales volumes, existing customer orders, current contract prices, industry analyses of supply and demand, seasonal factors, general economic trends, and other information. Actual selling prices and volumes may vary significantly from projected prices and volumes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significantly.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$371 million as of March 4, 2021. Due to the volatile nature of the semiconductor memory and storage markets, actual selling prices and volumes often vary significantly from projected prices and volumes, which could significantly impact cost of goods sold.</w:t>
      </w:r>
    </w:p>
    <w:p>
      <w:pPr>
        <w:spacing w:after="0" w:line="23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Recently Issued Accounting Standards.”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in our Annual Report on Form 10-K for the year ended September 3, 2020.</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 regarding disclosure.</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second quarter of 2021, we implemented new internal controls and modified existing internal controls related to our inventories as a result of changing from average cost to the FIFO inventory accounting method and our implementation of a standard cost inventory management system. Other than the foregoing, there were no other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 2020 and “Part I. Financial Information – Item 1. Financial Statements – Notes to Consolidated Financial Statements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“Item 1A. Risk Factors” herein.</w:t>
      </w:r>
    </w:p>
    <w:p>
      <w:pPr>
        <w:spacing w:after="0" w:line="25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rPr>
          <w:sz w:val="20"/>
          <w:szCs w:val="20"/>
          <w:color w:val="auto"/>
        </w:rPr>
      </w:pPr>
      <w:r>
        <w:rPr>
          <w:rFonts w:ascii="Arial" w:cs="Arial" w:eastAsia="Arial" w:hAnsi="Arial"/>
          <w:sz w:val="40"/>
          <w:szCs w:val="40"/>
          <w:b w:val="1"/>
          <w:bCs w:val="1"/>
          <w:color w:val="auto"/>
        </w:rPr>
        <w:t>Risk Factor Summary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the COVID-19 outbreak;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produce new memory and storage technologies, products, and markets;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breaches of our security systems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proceedings and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allegations of anticompetitive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our former IMFT joint venture with Intel;</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alleged patent infringement complaints in Chinese courts.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regulations, or industry standards.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resulting impacts.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2" w:right="399" w:bottom="1440" w:gutter="0" w:footer="0" w:header="0"/>
        </w:sectPr>
      </w:pPr>
    </w:p>
    <w:bookmarkStart w:id="38" w:name="page39"/>
    <w:bookmarkEnd w:id="38"/>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outbreak could adversely affect our business, results of operations, and financial condition.</w:t>
      </w:r>
    </w:p>
    <w:p>
      <w:pPr>
        <w:spacing w:after="0" w:line="27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effects of the public health crisis caused by the COVID-19 outbreak and the measures being taken to limit COVID-19’s spread are uncertain and difficult to predict, but may include, and in some cases, have included and may continue to include:</w:t>
      </w:r>
    </w:p>
    <w:p>
      <w:pPr>
        <w:spacing w:after="0" w:line="225" w:lineRule="exact"/>
        <w:rPr>
          <w:sz w:val="20"/>
          <w:szCs w:val="20"/>
          <w:color w:val="auto"/>
        </w:rPr>
      </w:pPr>
    </w:p>
    <w:p>
      <w:pPr>
        <w:ind w:left="660" w:right="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short-term and/or long-term demand and/or pricing for our products and a global economic recession that could further reduce demand and/or pricing for our products, resulting from actions taken by governments, businesses, and/or the general public in an effort to limit exposure to and the spreading of COVID-19, such as travel restrictions, quarantines, and business shutdowns or slowdowns;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impacts to our operations, including:</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reductions in production levels, R&amp;D activities, product development, technology transitions, yield enhancement activities, and qualification activities with our customers, resulting from our efforts to mitigate the impact of COVID-19 through measures we have enacted at our locations around the world in an effort to protect our employees’ and contractors’ health and well-being, including working from home, limiting the number of meeting attendees, reducing the number of people in certain of our sites at any one time, quarantines of team members, contractors, or vendors who are at risk of contracting, or have contracted, COVID-19, and limiting employee travel;</w:t>
      </w:r>
    </w:p>
    <w:p>
      <w:pPr>
        <w:spacing w:after="0" w:line="2" w:lineRule="exact"/>
        <w:rPr>
          <w:rFonts w:ascii="Arial" w:cs="Arial" w:eastAsia="Arial" w:hAnsi="Arial"/>
          <w:sz w:val="18"/>
          <w:szCs w:val="18"/>
          <w:color w:val="auto"/>
        </w:rPr>
      </w:pPr>
    </w:p>
    <w:p>
      <w:pPr>
        <w:ind w:left="1300" w:right="60" w:hanging="320"/>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increased costs resulting from our efforts to mitigate the impact of COVID-19 through physical-distancing measures, working from home, upgrades to our sites, COVID-19 testing, enhanced cleaning measures, and the increased use of personal protective equipment at our sites;</w:t>
      </w:r>
    </w:p>
    <w:p>
      <w:pPr>
        <w:spacing w:after="0" w:line="1" w:lineRule="exact"/>
        <w:rPr>
          <w:rFonts w:ascii="Arial" w:cs="Arial" w:eastAsia="Arial" w:hAnsi="Arial"/>
          <w:sz w:val="18"/>
          <w:szCs w:val="18"/>
          <w:color w:val="auto"/>
        </w:rPr>
      </w:pPr>
    </w:p>
    <w:p>
      <w:pPr>
        <w:ind w:left="1300" w:right="540" w:hanging="320"/>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or other inputs necessary for the operation of our business;</w:t>
      </w:r>
    </w:p>
    <w:p>
      <w:pPr>
        <w:ind w:left="1300" w:right="40" w:hanging="320"/>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reductions in, or cessation of operations at any site or in any jurisdiction resulting from government restrictions on movement and/or business operations or our failure to prevent and/or adequately mitigate spread of COVID-19 at one or more of our sites;</w:t>
      </w:r>
    </w:p>
    <w:p>
      <w:pPr>
        <w:spacing w:after="0" w:line="1" w:lineRule="exact"/>
        <w:rPr>
          <w:rFonts w:ascii="Arial" w:cs="Arial" w:eastAsia="Arial" w:hAnsi="Arial"/>
          <w:sz w:val="18"/>
          <w:szCs w:val="18"/>
          <w:color w:val="auto"/>
        </w:rPr>
      </w:pPr>
    </w:p>
    <w:p>
      <w:pPr>
        <w:ind w:left="1300" w:right="240" w:hanging="320"/>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inability to continue, or increased costs of, construction projects due to delays in obtaining materials, equipment, labor, engineering services, government permits, or any other essential aspect of projects, which could impact our ability to introduce new technologies, reduce costs, or meet customer demand;</w:t>
      </w:r>
    </w:p>
    <w:p>
      <w:pPr>
        <w:spacing w:after="0" w:line="1" w:lineRule="exact"/>
        <w:rPr>
          <w:rFonts w:ascii="Arial" w:cs="Arial" w:eastAsia="Arial" w:hAnsi="Arial"/>
          <w:sz w:val="18"/>
          <w:szCs w:val="18"/>
          <w:color w:val="auto"/>
        </w:rPr>
      </w:pPr>
    </w:p>
    <w:p>
      <w:pPr>
        <w:ind w:left="1300" w:right="240" w:hanging="320"/>
        <w:spacing w:after="0" w:line="250"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disruptions to our supply chain in connection with the sourcing and transportation of materials, equipment and engineering support, and services from or in geographic areas that have been impacted by COVID-19 and by efforts to contain the spread of COVID-19; and</w:t>
      </w:r>
    </w:p>
    <w:p>
      <w:pPr>
        <w:spacing w:after="0" w:line="1" w:lineRule="exact"/>
        <w:rPr>
          <w:rFonts w:ascii="Arial" w:cs="Arial" w:eastAsia="Arial" w:hAnsi="Arial"/>
          <w:sz w:val="18"/>
          <w:szCs w:val="18"/>
          <w:color w:val="auto"/>
        </w:rPr>
      </w:pPr>
    </w:p>
    <w:p>
      <w:pPr>
        <w:ind w:left="660" w:right="20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worldwide credit and financial markets that could: limit our ability to obtain external financing to fund our operations and capital expenditures; result in losses on our holdings of cash and investments due to failures of financial institutions and other parties; or result in a higher rate of losses on our accounts receivables due to credit defaults.</w:t>
      </w:r>
    </w:p>
    <w:p>
      <w:pPr>
        <w:spacing w:after="0" w:line="22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While certain COVID-19 vaccines have been approved and become available for use in the United States and certain other countries in recent months, we are unable to predict how widely utilized the vaccines will be, whether they will be effective in preventing the spread of COVID-19 (including its variant strains), and when or if normal economic activity and business operations will resume.</w:t>
      </w:r>
    </w:p>
    <w:p>
      <w:pPr>
        <w:spacing w:after="0" w:line="230"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These effects, alone or taken together, could have a material adverse effect on our business, results of operations, legal exposure, or financial condition. A sustained, prolonged, or recurring outbreak could exacerbate the adverse impact of such measures.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7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9" w:name="page40"/>
    <w:bookmarkEnd w:id="39"/>
    <w:p>
      <w:pPr>
        <w:ind w:right="340"/>
        <w:spacing w:after="0" w:line="261" w:lineRule="auto"/>
        <w:rPr>
          <w:sz w:val="20"/>
          <w:szCs w:val="20"/>
          <w:color w:val="auto"/>
        </w:rPr>
      </w:pPr>
      <w:r>
        <w:rPr>
          <w:rFonts w:ascii="Arial" w:cs="Arial" w:eastAsia="Arial" w:hAnsi="Arial"/>
          <w:sz w:val="18"/>
          <w:szCs w:val="18"/>
          <w:color w:val="auto"/>
        </w:rPr>
        <w:t>the future. Average selling prices for our products that decline faster than our costs could have a material adverse effect on our business, results of operations, or financial condition.</w:t>
      </w:r>
    </w:p>
    <w:tbl>
      <w:tblPr>
        <w:tblLayout w:type="fixed"/>
        <w:tblInd w:w="0" w:type="dxa"/>
        <w:tblCellMar>
          <w:top w:w="0" w:type="dxa"/>
          <w:left w:w="0" w:type="dxa"/>
          <w:bottom w:w="0" w:type="dxa"/>
          <w:right w:w="0" w:type="dxa"/>
        </w:tblCellMar>
      </w:tblPr>
      <w:tr>
        <w:trPr>
          <w:trHeight w:val="239"/>
        </w:trPr>
        <w:tc>
          <w:tcPr>
            <w:tcW w:w="7100" w:type="dxa"/>
            <w:vAlign w:val="bottom"/>
          </w:tcPr>
          <w:p>
            <w:pPr>
              <w:spacing w:after="0"/>
              <w:rPr>
                <w:sz w:val="20"/>
                <w:szCs w:val="20"/>
                <w:color w:val="auto"/>
              </w:rPr>
            </w:pPr>
          </w:p>
        </w:tc>
        <w:tc>
          <w:tcPr>
            <w:tcW w:w="1420" w:type="dxa"/>
            <w:vAlign w:val="bottom"/>
            <w:tcBorders>
              <w:bottom w:val="single" w:sz="8" w:color="0090DA"/>
            </w:tcBorders>
          </w:tcPr>
          <w:p>
            <w:pPr>
              <w:ind w:left="760"/>
              <w:spacing w:after="0"/>
              <w:rPr>
                <w:sz w:val="20"/>
                <w:szCs w:val="20"/>
                <w:color w:val="auto"/>
              </w:rPr>
            </w:pPr>
            <w:r>
              <w:rPr>
                <w:rFonts w:ascii="Arial" w:cs="Arial" w:eastAsia="Arial" w:hAnsi="Arial"/>
                <w:sz w:val="18"/>
                <w:szCs w:val="18"/>
                <w:b w:val="1"/>
                <w:bCs w:val="1"/>
                <w:color w:val="auto"/>
              </w:rPr>
              <w:t>DRAM</w:t>
            </w:r>
          </w:p>
        </w:tc>
        <w:tc>
          <w:tcPr>
            <w:tcW w:w="1020" w:type="dxa"/>
            <w:vAlign w:val="bottom"/>
            <w:tcBorders>
              <w:bottom w:val="single" w:sz="8" w:color="0090DA"/>
            </w:tcBorders>
          </w:tcPr>
          <w:p>
            <w:pPr>
              <w:spacing w:after="0"/>
              <w:rPr>
                <w:sz w:val="20"/>
                <w:szCs w:val="20"/>
                <w:color w:val="auto"/>
              </w:rPr>
            </w:pPr>
          </w:p>
        </w:tc>
        <w:tc>
          <w:tcPr>
            <w:tcW w:w="1700" w:type="dxa"/>
            <w:vAlign w:val="bottom"/>
            <w:tcBorders>
              <w:bottom w:val="single" w:sz="8" w:color="0090DA"/>
            </w:tcBorders>
          </w:tcPr>
          <w:p>
            <w:pPr>
              <w:jc w:val="right"/>
              <w:ind w:right="690"/>
              <w:spacing w:after="0"/>
              <w:rPr>
                <w:sz w:val="20"/>
                <w:szCs w:val="20"/>
                <w:color w:val="auto"/>
              </w:rPr>
            </w:pPr>
            <w:r>
              <w:rPr>
                <w:rFonts w:ascii="Arial" w:cs="Arial" w:eastAsia="Arial" w:hAnsi="Arial"/>
                <w:sz w:val="18"/>
                <w:szCs w:val="18"/>
                <w:b w:val="1"/>
                <w:bCs w:val="1"/>
                <w:color w:val="auto"/>
              </w:rPr>
              <w:t>NAND</w:t>
            </w:r>
          </w:p>
        </w:tc>
      </w:tr>
      <w:tr>
        <w:trPr>
          <w:trHeight w:val="223"/>
        </w:trPr>
        <w:tc>
          <w:tcPr>
            <w:tcW w:w="7100" w:type="dxa"/>
            <w:vAlign w:val="bottom"/>
            <w:tcBorders>
              <w:bottom w:val="single" w:sz="8" w:color="0090DA"/>
            </w:tcBorders>
          </w:tcPr>
          <w:p>
            <w:pPr>
              <w:spacing w:after="0"/>
              <w:rPr>
                <w:sz w:val="19"/>
                <w:szCs w:val="19"/>
                <w:color w:val="auto"/>
              </w:rPr>
            </w:pPr>
          </w:p>
        </w:tc>
        <w:tc>
          <w:tcPr>
            <w:tcW w:w="4140" w:type="dxa"/>
            <w:vAlign w:val="bottom"/>
            <w:tcBorders>
              <w:bottom w:val="single" w:sz="8" w:color="0090DA"/>
            </w:tcBorders>
            <w:gridSpan w:val="3"/>
          </w:tcPr>
          <w:p>
            <w:pPr>
              <w:jc w:val="right"/>
              <w:ind w:right="170"/>
              <w:spacing w:after="0"/>
              <w:rPr>
                <w:sz w:val="20"/>
                <w:szCs w:val="20"/>
                <w:color w:val="auto"/>
              </w:rPr>
            </w:pPr>
            <w:r>
              <w:rPr>
                <w:rFonts w:ascii="Arial" w:cs="Arial" w:eastAsia="Arial" w:hAnsi="Arial"/>
                <w:sz w:val="18"/>
                <w:szCs w:val="18"/>
                <w:color w:val="auto"/>
              </w:rPr>
              <w:t>(percentage change in average selling prices)</w:t>
            </w:r>
          </w:p>
        </w:tc>
      </w:tr>
      <w:tr>
        <w:trPr>
          <w:trHeight w:val="34"/>
        </w:trPr>
        <w:tc>
          <w:tcPr>
            <w:tcW w:w="7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2020 from 2019</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2019 from 2018</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(30)%</w:t>
            </w: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2018 from 2017</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36 %</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2017 from 2016</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18 %</w:t>
            </w: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2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2016 from 2015</w:t>
            </w:r>
          </w:p>
        </w:tc>
        <w:tc>
          <w:tcPr>
            <w:tcW w:w="102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(34)%</w:t>
            </w:r>
          </w:p>
        </w:tc>
        <w:tc>
          <w:tcPr>
            <w:tcW w:w="1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maintain or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w:t>
      </w:r>
    </w:p>
    <w:p>
      <w:pPr>
        <w:spacing w:after="0" w:line="23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declining selling prices, and changes in supply agreements.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per gigabit manufacturing costs may also be affected by a broader product portfolio, which may have smaller production quantities and shorter product lifecycles. Our business and the markets we serve are subject to rapid technological changes and material fluctuations in demand based on end-user preferences. As a result, we may have work in process or finished goods inventories that could become obsolete or in amounts that are in excess of our customers’ demand. Consequently, we may incur charges in connection with obsolete or excess inventories.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 Our inability to maintain or improve gross margins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74"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Samsung Electronics Co., Ltd.; SK Hynix Inc.; Kioxia Holdings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 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 Some of our competitors may use aggressive pricing to obtain market share or take business of our key customers.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0" w:name="page41"/>
    <w:bookmarkEnd w:id="40"/>
    <w:p>
      <w:pPr>
        <w:ind w:right="100"/>
        <w:spacing w:after="0" w:line="251" w:lineRule="auto"/>
        <w:rPr>
          <w:sz w:val="20"/>
          <w:szCs w:val="20"/>
          <w:color w:val="auto"/>
        </w:rPr>
      </w:pPr>
      <w:r>
        <w:rPr>
          <w:rFonts w:ascii="Arial" w:cs="Arial" w:eastAsia="Arial" w:hAnsi="Arial"/>
          <w:sz w:val="18"/>
          <w:szCs w:val="18"/>
          <w:color w:val="auto"/>
        </w:rPr>
        <w:t>Our competitors generally seek to increase wafer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further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future success depends on our ability to develop and produce competitive new memory and storage technologies.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23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5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develop and produce advanced memory technologies and there can be no assurance that our efforts to develop and market new product technologies will be successful. Unsuccessful efforts to develop new memory and storage technologies could have a material adverse effect on our business, results of operations,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Meaningful change in the inventory strategy of our customers, particularly those in China, could impact our industry bit demand growth outlook. The loss of, or restrictions on our ability to sell to, one or more of our major customers, such as those relating to Huawei described herein, or any significant reduction in orders from, or a shift in product mix by, customers could have a material adverse effect on our business, results of operations, or financial condition.</w:t>
      </w:r>
    </w:p>
    <w:p>
      <w:pPr>
        <w:spacing w:after="0" w:line="2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0090DA"/>
        </w:rPr>
        <w:t>We face geopolitical and other risks associated with our international sales and operations that could materially adversely affect our business, results of operations, or financial condition.</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2020, 52% of our revenue was from sales to customers who have headquarters located outside the United States. We ship our products to the locations specified by our customers. Customers with global supply chains and operations may request we deliver products to countries where they own or operate production facilities or to</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1" w:name="page42"/>
    <w:bookmarkEnd w:id="41"/>
    <w:p>
      <w:pPr>
        <w:ind w:right="80"/>
        <w:spacing w:after="0" w:line="261" w:lineRule="auto"/>
        <w:rPr>
          <w:sz w:val="20"/>
          <w:szCs w:val="20"/>
          <w:color w:val="auto"/>
        </w:rPr>
      </w:pPr>
      <w:r>
        <w:rPr>
          <w:rFonts w:ascii="Arial" w:cs="Arial" w:eastAsia="Arial" w:hAnsi="Arial"/>
          <w:sz w:val="18"/>
          <w:szCs w:val="18"/>
          <w:color w:val="auto"/>
        </w:rPr>
        <w:t>countries where they utilize third-party subcontractors or warehouses. As a result, 88% of our revenue in 2020 was from products shipped to customer locations outside the United States.</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substantial portion of our operations are conducted in Taiwan, Singapore, Japan, China, Malaysia, and India, and many of our customers, suppliers, and vendors also operate internationally. Our operations, and the global supply chain of the technology industry, are subject to a number of risks, including the effects of actions and policies of various governments across our global operations and supply chain. For example, political, economic, or other actions from China could impact Taiwan and its economy, and may adversely affect our operations in Taiwan, our customers, and the technology industry supply chain. In addition, the U.S. government has in the past restricted American firms from selling products and software to certain of our customers and may in the future impose similar bans or other restrictions on sales to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while complying with such restrictions.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sales and operations are subject to a variety of risks, including:</w:t>
      </w:r>
    </w:p>
    <w:p>
      <w:pPr>
        <w:spacing w:after="0" w:line="252" w:lineRule="exact"/>
        <w:rPr>
          <w:sz w:val="20"/>
          <w:szCs w:val="20"/>
          <w:color w:val="auto"/>
        </w:rPr>
      </w:pPr>
    </w:p>
    <w:p>
      <w:pPr>
        <w:ind w:left="660" w:right="1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health issues (for example, an outbreak of a contagious disease such as COVID-19, Severe Acute Respiratory Syndrome (“SARS-CoV”), avian and swine influenza, measles, or Ebola);</w:t>
      </w:r>
    </w:p>
    <w:p>
      <w:pPr>
        <w:ind w:left="660" w:right="22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including delays in shipping and obtaining products, cancellation of orders, or loss or damage of products;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5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3" w:lineRule="exact"/>
        <w:rPr>
          <w:sz w:val="20"/>
          <w:szCs w:val="20"/>
          <w:color w:val="auto"/>
        </w:rPr>
      </w:pPr>
    </w:p>
    <w:p>
      <w:pPr>
        <w:ind w:right="260"/>
        <w:spacing w:after="0" w:line="318" w:lineRule="auto"/>
        <w:rPr>
          <w:sz w:val="20"/>
          <w:szCs w:val="20"/>
          <w:color w:val="auto"/>
        </w:rPr>
      </w:pPr>
      <w:r>
        <w:rPr>
          <w:rFonts w:ascii="Arial" w:cs="Arial" w:eastAsia="Arial" w:hAnsi="Arial"/>
          <w:sz w:val="17"/>
          <w:szCs w:val="17"/>
          <w:b w:val="1"/>
          <w:bCs w:val="1"/>
          <w:color w:val="0090DA"/>
        </w:rPr>
        <w:t>Our business, results of operations, or financial condition could be adversely affected by the limited availability and quality of materials, supplies, and capital equipment, or the dependency on third-party service providers for ourselves and our customers.</w:t>
      </w:r>
    </w:p>
    <w:p>
      <w:pPr>
        <w:spacing w:after="0" w:line="17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and services that meet our standards and, in some cases, materials, components, or services are provided by a single supplier. Various factors could reduce the availability of materials or components such as chemicals, silicon wafers, gases, photoresist, controllers, substrates, lead frames, printed circuit boards, targets, and reticle glass blanks. Shortages or increases in lead times have occurred in the past and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Although we have certain long-term contracts with some of our third-party service providers, most of these contracts do not provide for long-term capacity commitments. To the extent we do not have firm commitments from our third-party service providers over a specific</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2" w:name="page43"/>
    <w:bookmarkEnd w:id="42"/>
    <w:p>
      <w:pPr>
        <w:ind w:right="380"/>
        <w:spacing w:after="0" w:line="246" w:lineRule="auto"/>
        <w:rPr>
          <w:sz w:val="20"/>
          <w:szCs w:val="20"/>
          <w:color w:val="auto"/>
        </w:rPr>
      </w:pPr>
      <w:r>
        <w:rPr>
          <w:rFonts w:ascii="Arial" w:cs="Arial" w:eastAsia="Arial" w:hAnsi="Arial"/>
          <w:sz w:val="18"/>
          <w:szCs w:val="18"/>
          <w:color w:val="auto"/>
        </w:rPr>
        <w:t>time period or for any specific quantity, our service providers may allocate capacity to their other customers. Accordingly, capacity for our products may not be available when we need it or at reasonable prices.</w:t>
      </w:r>
    </w:p>
    <w:p>
      <w:pPr>
        <w:spacing w:after="0" w:line="2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available primarily from China. Trade disputes or other political conditions, economic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 advanced semiconductor manufacturing equipment in a timely manner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New product and market development may be unsuccessful.</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w:t>
      </w:r>
    </w:p>
    <w:p>
      <w:pPr>
        <w:spacing w:after="0" w:line="23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 certain of our markets, 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and performance, often well in advance of a planned ramp of production, in order to secure design wins with our customers. The effects of the public health crisis caused by the COVID-19 outbreak and the measures being taken to limit COVID-19’s spread could negatively impact our ability to meet anticipated timelines and/or expected or required quality standards with respect to the development of certain of our products. In addition, some of our components have long lead-times, requiring us to place orders several months in advance of anticipated demand.</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Such long lead-times increase the risk of excess inventory or loss of sales in the event our forecasts vary substantially from actual demand.</w:t>
      </w:r>
    </w:p>
    <w:p>
      <w:pPr>
        <w:spacing w:after="0"/>
        <w:rPr>
          <w:sz w:val="20"/>
          <w:szCs w:val="20"/>
          <w:color w:val="auto"/>
        </w:rPr>
      </w:pPr>
      <w:r>
        <w:rPr>
          <w:rFonts w:ascii="Arial" w:cs="Arial" w:eastAsia="Arial" w:hAnsi="Arial"/>
          <w:sz w:val="18"/>
          <w:szCs w:val="18"/>
          <w:color w:val="auto"/>
        </w:rPr>
        <w:t>There can be no assurance that:</w:t>
      </w:r>
    </w:p>
    <w:p>
      <w:pPr>
        <w:spacing w:after="0" w:line="23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development efforts will be successful;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successfully market these products;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25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20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and qualify our system solutions.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If we fail to identify or develop products on a timely basis, or at all, that comply with our customers’ specifications or achieve design wins with our customers, we may experience a significant adverse impact on our revenue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3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firmware in a timely manner may result in reduced demand for our system-level products and could have a material adverse effect on our business, results of operations, or financial condition.</w:t>
      </w:r>
    </w:p>
    <w:p>
      <w:pPr>
        <w:spacing w:after="0" w:line="2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0090DA"/>
        </w:rPr>
        <w:t>Products that fail to meet specifications, are defective, or that are otherwise incompatible with end uses could impose significant costs on us.</w:t>
      </w:r>
    </w:p>
    <w:p>
      <w:pPr>
        <w:spacing w:after="0" w:line="202"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44" w:name="page45"/>
    <w:bookmarkEnd w:id="44"/>
    <w:p>
      <w:pPr>
        <w:ind w:right="400"/>
        <w:spacing w:after="0" w:line="246" w:lineRule="auto"/>
        <w:rPr>
          <w:sz w:val="20"/>
          <w:szCs w:val="20"/>
          <w:color w:val="auto"/>
        </w:rPr>
      </w:pPr>
      <w:r>
        <w:rPr>
          <w:rFonts w:ascii="Arial" w:cs="Arial" w:eastAsia="Arial" w:hAnsi="Arial"/>
          <w:sz w:val="18"/>
          <w:szCs w:val="18"/>
          <w:color w:val="auto"/>
        </w:rPr>
        <w:t>equipment, or wearables for child and elderly safety, our potential liability may increase. We could be adversely affected in several ways, including the following:</w:t>
      </w:r>
    </w:p>
    <w:p>
      <w:pPr>
        <w:spacing w:after="0" w:line="224" w:lineRule="exact"/>
        <w:rPr>
          <w:sz w:val="20"/>
          <w:szCs w:val="20"/>
          <w:color w:val="auto"/>
        </w:rPr>
      </w:pPr>
    </w:p>
    <w:p>
      <w:pPr>
        <w:ind w:left="660" w:right="1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3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3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there have been disruptions in the manufacturing process as a result of power outages, improperly functioning equipment, disruptions in supply of raw materials or components, or equipment failures. We have manufacturing and other operations in locations subject to natural occurrences such as severe weather and geological events, including earthquakes or tsunamis, or drought such as is occurring in central Taiwan, that could disrupt operations, resulting in increased costs, or disruptions to our or our suppliers’ or customers’ manufacturing operations. In addition, our suppliers and customers also have operations in such locations. Additionally, other events including political or public health crises, such as an outbreak of contagious diseases like COVID-19, SARS-CoV, avian and swine influenza, measles, or Ebola, may affect our production capabilities or that of our suppliers, including as a result of quarantines, closures of production facilities, lack of supplies, or delays caused by restrictions on travel or shipping. For example, in 2020, the government of Malaysia announced measures to restrict movement in that country in an effort to suppress the number of COVID-19 cases. Those restrictions temporarily limited our ability to fully operate our manufacturing facilities in that country. The events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3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Breaches of our security systems, or those of our customers, suppliers, or business partners, could expose us to losses.</w:t>
      </w:r>
    </w:p>
    <w:p>
      <w:pPr>
        <w:spacing w:after="0" w:line="2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including through cyberattacks. These parties may also be able to develop and deploy viruses, worms, and other malicious software programs that disrupt our operations and create security vulnerabilities. Breaches of our physical security and attacks on our network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5" w:name="page46"/>
    <w:bookmarkEnd w:id="45"/>
    <w:p>
      <w:pPr>
        <w:ind w:right="560"/>
        <w:spacing w:after="0" w:line="246" w:lineRule="auto"/>
        <w:rPr>
          <w:sz w:val="20"/>
          <w:szCs w:val="20"/>
          <w:color w:val="auto"/>
        </w:rPr>
      </w:pPr>
      <w:r>
        <w:rPr>
          <w:rFonts w:ascii="Arial" w:cs="Arial" w:eastAsia="Arial" w:hAnsi="Arial"/>
          <w:sz w:val="18"/>
          <w:szCs w:val="18"/>
          <w:color w:val="auto"/>
        </w:rPr>
        <w:t>litigation if the confidential information of our customers, suppliers, or employees is compromised. The foregoing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remain competitive, we must attract, retain, and motivate executives and other highly skilled employees, as well as effectively manage or plan for succession for key employees. Competition for experienced employees in our industry can be intense. Hiring and retaining qualified executives, engineers, technical staff, and sales representatives is critical to our business. Our inability to attract, retain, or effectively manage or plan for succession of key employees may inhibit our ability to maintain or expand our business operations. Additionally, changes to immigration policies in the numerous countries in which we operate, including the United States, as well as restrictions on global travel as a result of local or global public health crises requiring quarantines or other precautions to limit exposure to infectious diseases, may limit our ability to hire and/or retain talent in, or transfer talent to,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1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20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make future acquisitions and/or alliances, which involve numerous risks.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70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6" w:name="page47"/>
    <w:bookmarkEnd w:id="46"/>
    <w:p>
      <w:pPr>
        <w:ind w:right="140"/>
        <w:spacing w:after="0" w:line="252"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restructure charges in future periods.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From time to time, we have, and in the future we may,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such as our cessation of 3D XPoint development and the planned sale of our Lehi facility.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Compliance with customer responsible sourcing requirements and related regulations could limit the supply and increase the cost of certain materials, supplies, and services used in manufacturing our products.</w:t>
      </w:r>
    </w:p>
    <w:p>
      <w:pPr>
        <w:spacing w:after="0" w:line="20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Many of our customers have adopted responsible sourcing programs that require us to periodically report on our supply chain and responsible sourcing efforts to ensure we source the materials, supplies, and services we use and incorporate into the products we sell in a manner that is consistent with their programs. Some of our customers may elect to disqualify us as a supplier or reduce purchases from us if we are unable to verify that our products meet the specifications of their responsible sourcing programs. Meeting customer requirements may limit the sourcing and availability of some of the materials, supplies, and services we use, particularly when the availability of such materials, supplies, and services is concentrated to a limited number of suppliers. This may affect our ability and/or the cost to obtain sufficient quantities of materials, supplies, and services necessary for the manufacture of our products.</w:t>
      </w:r>
    </w:p>
    <w:p>
      <w:pPr>
        <w:spacing w:after="0" w:line="23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Section 1502 of the Dodd-Frank Wall Street Reform and Consumer Protection Act of 2010 and its implementing SEC regulations impose supply chain due diligence and disclosure requirements for certain manufacturers of products containing specific minerals that may originate in or near the Democratic Republic of the Congo and finance or benefit local armed groups. These conflict minerals are commonly found in materials used in the manufacture of semiconductors.</w:t>
      </w:r>
    </w:p>
    <w:p>
      <w:pPr>
        <w:spacing w:after="0" w:line="2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inability to comply with customers’ requirements for responsible sourcing or with related regulations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health crisis caused by COVID-19 has adversely affected economic conditions and caused a downturn in the worldwide economy. Downturns in the worldwide economy have harmed our business in the past and the current downturn has adversely affected our business. As a result, demand for certain of our products, such as those used in smartphones, consumer electronics, and automotive, has been volatile. Reduced demand for these or other products could result in significant decreases in our average selling prices and product sales. If these adverse conditions persist or worsen, we could experience reduction in demand for our products and/or devices that incorporate our products. Future downturns could also adversely affect our business. In addition, to the extent our customers or distributors have elevated inventory levels, we may experience a decrease in short-term and/or long-term demand and/or pricing for our products.</w:t>
      </w:r>
    </w:p>
    <w:p>
      <w:pPr>
        <w:spacing w:after="0" w:line="2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7" w:name="page48"/>
    <w:bookmarkEnd w:id="47"/>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3"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2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See “Part II. Other Information – Item 1. Legal Proceedings.” Any claim, with or without merit, could result in significant legal fees that could negatively impact our financial results, disrupt our operations, and require significant attention from our 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vendors, subcontractors, or business partners. We may also be subject to litigation or claims as a result of our indemnification obligations, including obligations to defend our customers against third-party claims asserting infringement of certain intellectual property rights, which may include patents, trademarks, copyrights, or trade secrets. We may also be subject to claims or litigation arising from the terms of our product warranties or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90DA"/>
        </w:rPr>
        <w:t>We are subject to allegations of anticompetitive conduct.</w:t>
      </w:r>
    </w:p>
    <w:p>
      <w:pPr>
        <w:spacing w:after="0" w:line="2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September 3, 2019, the District Court granted Micron’s motion to dismiss and allowed the plaintiffs the opportunity to file a consolidated, amended complaint.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On January 19, 2021, the plaintiffs filed a notice of appeal to the U.S. Court of Appeals for the Ninth Circuit.</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December 21, 2020, the District Court granted Micron’s motion to dismiss and granted the plaintiffs permission to file a further amended complaint. On January 11, 2021, the plaintiffs filed a further amended complaint asserting substantially the same claims and seeking the same relief.</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Additionally, six cases have been filed in the following Canadian courts: Superior Court of Quebec, the Federal Court of Canada, the Ontario Superior Court of Justice, and the Supreme Court of British Columbia. The substantive allegations in these cases are similar to those asserted in the cases filed in the United States.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31"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We are unable to predict the outcome of these matters and cannot make a reasonable estimate of the potential loss or range of possible losses. The final resolution of these matters could result in significant liability and could have a material adverse effect on our business, results of operations, or financial condition. See “Part I. Financial Information – Item 1. Financial Statements – Notes to Consolidated Financial Statements – Contingencies.”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face risks associated with our former IMFT joint venture with Intel.</w:t>
      </w:r>
    </w:p>
    <w:p>
      <w:pPr>
        <w:spacing w:after="0" w:line="2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Effective as of the end of the second quarter of 2021, we ceased development of 3D XPoint technology and engaged in discussions with potential buyers for the sale of our Lehi, Utah, facility (our former IMFT joint venture with Intel) that was dedicated to 3D XPoint production. The value we may receive upon the disposition of our Lehi facility could be affected by a number of factors. As such, our valuation requires significant estimates and judgments and the actual amounts received could be materially different from our estimates. If the value we receive upon disposition of the Lehi facility is below net book value, our business, results of operations, or financial condition could be materially adversely affected. We also face risks from our arbitration proceeding with Intel in connection with our former IMFT joint venture, in which we and Intel have made claims against each other for damages relating to the joint venture. For information regarding the arbitration proceeding, see “Part I. Financial Information – Item 1. Financial Statements – Notes to Consolidated Financial Statements – Contingencies.”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ind w:right="220"/>
        <w:spacing w:after="0" w:line="268"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3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25"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have been served with complaints in Chinese courts alleging patent infringement.</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unable to predict the outcome of these assertions of infringement made against us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21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0090DA"/>
        </w:rPr>
        <w:t>The acquisition of our ownership interest in Inotera from Qimonda AG (“Qimonda”) has been challenged by the administrator of the insolvency proceedings for Qimonda.</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January 2011, Dr. Michael Jaffé, administrator for Qimonda’s insolvency proceedings, filed suit against Micron and Micron Semiconductor B.V. (“Micron B.V.”), in the District Court of Munich, Civil Chamber. The complaint seeks to void a share purchase agreement between Micron B.V. and Qimonda signed in 2008, pursuant to which Micron B.V. purchased substantially all of Qimonda’s shares of Inotera,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a patent cross-license between us and Qimonda entered into at the same time as the share purchase agreement. See “Part I. Financial Information – Item 1. Financial Statements – Notes to Consolidated Financial Statements – Contingencies” for further information regarding the matter.</w:t>
      </w:r>
    </w:p>
    <w:p>
      <w:pPr>
        <w:spacing w:after="0" w:line="23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are unable to predict the outcome of the matter and cannot make a reasonable estimate of the potential loss or range of possible losses. The final resolution of this lawsuit could result in the loss of the Inotera shares or monetary</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0" w:name="page51"/>
    <w:bookmarkEnd w:id="50"/>
    <w:p>
      <w:pPr>
        <w:ind w:right="680"/>
        <w:spacing w:after="0"/>
        <w:rPr>
          <w:sz w:val="20"/>
          <w:szCs w:val="20"/>
          <w:color w:val="auto"/>
        </w:rPr>
      </w:pPr>
      <w:r>
        <w:rPr>
          <w:rFonts w:ascii="Arial" w:cs="Arial" w:eastAsia="Arial" w:hAnsi="Arial"/>
          <w:sz w:val="18"/>
          <w:szCs w:val="18"/>
          <w:color w:val="auto"/>
        </w:rPr>
        <w:t>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0090DA"/>
        </w:rPr>
        <w:t>Increases in tariffs or other trade restrictions or taxes on our or our customers’ products or equipment and supplies could have an adverse impact on our operations.</w:t>
      </w:r>
    </w:p>
    <w:p>
      <w:pPr>
        <w:spacing w:after="0" w:line="202"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2020, 88% of our revenue was from products shipped to customer locations outside the United States. We also purchase a significant portion of equipment and supplies from suppliers outside the United States. Additionally, a significant portion of our facilities are located outside the United States, including in Taiwan, Singapore, Japan, Malaysia, and China.</w:t>
      </w:r>
    </w:p>
    <w:p>
      <w:pPr>
        <w:spacing w:after="0" w:line="22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United States and other countries have levied tariffs and taxes on certain goods. General trade tensions between the United States and China have been escalating since 2018, with U.S. tariffs on Chinese goods and retaliatory Chinese tariffs on U.S. goods. Some of our products are included in these tariffs. Higher duties on existing tariffs and further rounds of tariffs have been announced or threatened by U.S. and Chinese leaders. Additionally, the United States has threatened to impose tariffs on goods imported from other countries, which could also impact certain of our customers’ or our operations. If the United States were to impose current or additional tariffs on components that we or our suppliers source, our cost for such components would increase. We may also incur increases in manufacturing costs and supply chain risks due to our efforts to mitigate the impact of tariffs on our customers and our operations. Additionally, tariffs on our customers’ products could impact their sales of such end products, resulting in lower demand for our products.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cannot predict what further actions may ultimately be taken with respect to tariffs or trade relations between the United States and other countries, what products may be subject to such actions, or what actions may be taken by other countries in retaliation.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0090DA"/>
        </w:rPr>
        <w:t>Trade regulations have restricted our ability to sell our products to several customers, could restrict our ability to sell our products to other customers or in certain markets, or could otherwise restrict our ability to conduct operations.</w:t>
      </w:r>
    </w:p>
    <w:p>
      <w:pPr>
        <w:spacing w:after="0" w:line="20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International trade disputes have led, and may continue to lead, to new and increasing trade barriers and other protectionist measures that can increase our manufacturing costs, make our products less competitive, reduce demand for our products, limit our ability to sell to certain customers or markets, limit our ability to procure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20"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Escalating tensions between the United States and China have led to increased trade restrictions and have affected customer ordering patterns. For example, the U.S. Bureau of Industry and Security (“BIS”) has recently enacted increasingly broad trade restrictions with respect to Huawei (which represented approximately 10% of our revenue in the fourth quarter of 2020 and 12% in 2019), culminating with restrictions that took effect on September 15, 2020 and that currently prevent us and many other companies from shipping products to Huawei. We cannot predict the duration these restrictions will remain in place, whether the BIS will grant us or others licenses to ship products to Huawei, or whether the BIS or other U.S. or foreign government entities will enact similar restrictions with respect to other customers, markets, or products. We may not be able to replace the lost revenue opportunities associated with such restrictions.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1" w:name="page52"/>
    <w:bookmarkEnd w:id="51"/>
    <w:p>
      <w:pPr>
        <w:spacing w:after="0" w:line="252" w:lineRule="auto"/>
        <w:rPr>
          <w:sz w:val="20"/>
          <w:szCs w:val="20"/>
          <w:color w:val="auto"/>
        </w:rPr>
      </w:pPr>
      <w:r>
        <w:rPr>
          <w:rFonts w:ascii="Arial" w:cs="Arial" w:eastAsia="Arial" w:hAnsi="Arial"/>
          <w:sz w:val="18"/>
          <w:szCs w:val="18"/>
          <w:color w:val="auto"/>
        </w:rPr>
        <w:t>The United States has also imposed other restrictions on the export of U.S. regulated products and technology to certain Chinese technology companies, including certain of our customers. These restrictions have reduced our sales, and continuing or future restrictions could adversely affect our financial results, result in reputational harm to us due to our relationship with such companies, or lead such companies to develop or adopt technologies that compete with our products. It is difficult to predict what further trade-related actions governments may take, and we may be unable to quickly and effectively react to such actions. For example, U.S. legislation has expanded the power of the U.S. Department of Commerce to restrict the export of “emerging and foundational technologies” yet to be identified, which could impact our current or future products.</w:t>
      </w:r>
    </w:p>
    <w:p>
      <w:pPr>
        <w:spacing w:after="0" w:line="23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trade tensions could lead to long-term changes in global trade and technology supply chains, which could adversely affect our business and growth prospects. Trade restrictions that may be imposed by the United States, China, or other countries may impact our business in ways we cannot reasonably quantify, including that some of our customers’ products which incorporate our solutions may also be impacted. Restrictions on our ability to sell and ship our products to Huawei have had an adverse effect on our business, results of operations, or financial condition. In addition, further increases in trade restrictions or barriers may negatively impact our revenue, and any licenses we have received or could receive in the future could be rendered ineffective. Any such changes may have a further adverse effect on our business, results of operations, or financial condition.</w:t>
      </w:r>
    </w:p>
    <w:p>
      <w:pPr>
        <w:spacing w:after="0" w:line="2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incur additional tax expense or become subject to additional tax exposure.</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 authorities to our tax positions and intercompany transfer pricing arrangements, failure to meet performance obligations with respect to tax incentive agreements, expanding our operations in various countries,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change in tax laws in key jurisdictions could materially increase our tax expense.</w:t>
      </w:r>
    </w:p>
    <w:p>
      <w:pPr>
        <w:spacing w:after="0" w:line="27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We are subject to income taxes in the United States and many foreign jurisdictions. 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For example, our effective tax rate increased from 1.2% for 2018 to 9.8% for 2019 primarily as a result of the Tax Cuts and Jobs Act enacted in December 2017 by the United States. Additionally, various levels of government are increasingly focused on tax reform and other legislative actions to increase tax revenue. President Biden has indicated that he supports increasing the U.S. federal corporate income tax rate from its current 21%. Further changes in the tax laws of foreign jurisdictions could arise as a result of the base erosion and profit shifting project undertaken by the Organisation for Economic Co-operation and Development, which represents a coalition of member countries and recommended changes to numerous long-standing tax principles. If implemented by taxing authorities,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2" w:name="page53"/>
    <w:bookmarkEnd w:id="52"/>
    <w:p>
      <w:pPr>
        <w:ind w:right="320"/>
        <w:spacing w:after="0" w:line="287"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climate change, that may have a material adverse effect on our business, results of operations, or financial condition.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Climate change concerns and the potential resulting environmental impact may result in new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 In addition, climate change may pose physical risks to our manufacturing facilities or our suppliers’ facilities, including increased extreme weather events that could result in supply delays or disruptions.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and make adequate capital investments.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2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estimate capital expenditures in 2021 for property, plant, and equipment, net of partner contributions, will be approximately $9 billion, focused on technology transitions and product enablement. Investments in capital expenditures may not generate expected returns or cash flows. Delays in completion and ramping of new production facilities could significantly impact our ability to realize expected returns on our capital expenditures, which could have a material adverse effect on our business, results of operations, or financial condition.</w:t>
      </w:r>
    </w:p>
    <w:p>
      <w:pPr>
        <w:spacing w:after="0" w:line="23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3" w:name="page54"/>
    <w:bookmarkEnd w:id="53"/>
    <w:p>
      <w:pPr>
        <w:ind w:right="120"/>
        <w:spacing w:after="0" w:line="237" w:lineRule="auto"/>
        <w:rPr>
          <w:sz w:val="20"/>
          <w:szCs w:val="20"/>
          <w:color w:val="auto"/>
        </w:rPr>
      </w:pPr>
      <w:r>
        <w:rPr>
          <w:rFonts w:ascii="Arial" w:cs="Arial" w:eastAsia="Arial" w:hAnsi="Arial"/>
          <w:sz w:val="18"/>
          <w:szCs w:val="18"/>
          <w:color w:val="auto"/>
        </w:rPr>
        <w:t>make it difficult for us to obtain financing on terms acceptable to us or at all. In addition, if our credit rating declines below a certain level, our credit facility will be required to become secured by certain of our assets, which may limit the amount or increase the cost of future financings. There can be no assurance that we will be able to generate sufficient cash flows, access capital or credit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7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restructure our capital structure, including the refinancing of existing debt. As of March 4, 2021:</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had debt with a carrying value of $6.62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$2.50 billion of our Revolving Credit Facility was available to us;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conversion value in excess of principal of our convertible notes was $995 million, based on the trading price of our common stock of $84.33 per share on such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52" w:lineRule="exact"/>
        <w:rPr>
          <w:sz w:val="20"/>
          <w:szCs w:val="20"/>
          <w:color w:val="auto"/>
        </w:rPr>
      </w:pPr>
    </w:p>
    <w:p>
      <w:pPr>
        <w:ind w:left="660" w:right="42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2019, we suspended the security interest in the collateral under our credit facility; however, if our corporate credit rating were to decline below a certain level, the security interest would be automatically reinstated, which may limit the amount or increase the cost of future financings.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4" w:name="page55"/>
    <w:bookmarkEnd w:id="54"/>
    <w:p>
      <w:pPr>
        <w:ind w:right="500"/>
        <w:spacing w:after="0" w:line="287"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estimates by us or financial estimates and ratings by securities analysts, changes in our capital structure, including issuance of additional debt or equity to the public, interest rate changes, regulatory changes, news regarding our products or products of our competitors, and broad market and industry fluctuations. 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16"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For example, we repurchased 66.4 million shares for $2.66 billion in 2019, 3.6 million shares for $176 million in 2020, and did not repurchase any shares in the first six months of 2021.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8"/>
          <w:szCs w:val="18"/>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March 4, 2021, we did not repurchase common stock under the authorization and as of March 4, 2021, $7.16 billion of the authorization remained available for the repurchase of common stock.</w:t>
      </w: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5" w:right="51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ITEM 6. 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5500" w:type="dxa"/>
            <w:vAlign w:val="bottom"/>
            <w:gridSpan w:val="10"/>
            <w:vMerge w:val="restart"/>
          </w:tcPr>
          <w:p>
            <w:pPr>
              <w:ind w:left="1820"/>
              <w:spacing w:after="0"/>
              <w:rPr>
                <w:sz w:val="20"/>
                <w:szCs w:val="20"/>
                <w:color w:val="auto"/>
              </w:rPr>
            </w:pPr>
            <w:r>
              <w:rPr>
                <w:rFonts w:ascii="Arial" w:cs="Arial" w:eastAsia="Arial" w:hAnsi="Arial"/>
                <w:sz w:val="18"/>
                <w:szCs w:val="18"/>
                <w:b w:val="1"/>
                <w:bCs w:val="1"/>
                <w:color w:val="auto"/>
              </w:rPr>
              <w:t>Description of Exhibit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8"/>
              </w:rPr>
              <w:t>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9"/>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5500" w:type="dxa"/>
            <w:vAlign w:val="bottom"/>
            <w:tcBorders>
              <w:bottom w:val="single" w:sz="8" w:color="auto"/>
            </w:tcBorders>
            <w:gridSpan w:val="10"/>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4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Appendix</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3.2</w:t>
            </w:r>
          </w:p>
        </w:tc>
        <w:tc>
          <w:tcPr>
            <w:tcW w:w="3940" w:type="dxa"/>
            <w:vAlign w:val="bottom"/>
            <w:tcBorders>
              <w:bottom w:val="single" w:sz="8" w:color="0000FF"/>
            </w:tcBorders>
            <w:gridSpan w:val="3"/>
            <w:shd w:val="clear" w:color="auto" w:fill="D1D2D4"/>
          </w:tcPr>
          <w:p>
            <w:pPr>
              <w:spacing w:after="0" w:line="182" w:lineRule="exact"/>
              <w:rPr>
                <w:rFonts w:ascii="Arial" w:cs="Arial" w:eastAsia="Arial" w:hAnsi="Arial"/>
                <w:sz w:val="18"/>
                <w:szCs w:val="18"/>
                <w:color w:val="0000FF"/>
                <w:w w:val="99"/>
              </w:rPr>
            </w:pPr>
            <w:hyperlink r:id="rId100">
              <w:r>
                <w:rPr>
                  <w:rFonts w:ascii="Arial" w:cs="Arial" w:eastAsia="Arial" w:hAnsi="Arial"/>
                  <w:sz w:val="18"/>
                  <w:szCs w:val="18"/>
                  <w:color w:val="0000FF"/>
                  <w:w w:val="99"/>
                </w:rPr>
                <w:t>Bylaws of the Registrant, Amended and Restated</w:t>
              </w:r>
            </w:hyperlink>
          </w:p>
        </w:tc>
        <w:tc>
          <w:tcPr>
            <w:tcW w:w="1560" w:type="dxa"/>
            <w:vAlign w:val="bottom"/>
            <w:tcBorders>
              <w:bottom w:val="single" w:sz="8" w:color="D1D2D4"/>
            </w:tcBorders>
            <w:gridSpan w:val="7"/>
            <w:shd w:val="clear" w:color="auto" w:fill="D1D2D4"/>
          </w:tcPr>
          <w:p>
            <w:pPr>
              <w:spacing w:after="0"/>
              <w:rPr>
                <w:sz w:val="17"/>
                <w:szCs w:val="17"/>
                <w:color w:val="auto"/>
              </w:rPr>
            </w:pPr>
          </w:p>
        </w:tc>
        <w:tc>
          <w:tcPr>
            <w:tcW w:w="980" w:type="dxa"/>
            <w:vAlign w:val="bottom"/>
            <w:tcBorders>
              <w:bottom w:val="single" w:sz="8" w:color="D1D2D4"/>
            </w:tcBorders>
            <w:shd w:val="clear" w:color="auto" w:fill="D1D2D4"/>
          </w:tcPr>
          <w:p>
            <w:pPr>
              <w:spacing w:after="0"/>
              <w:rPr>
                <w:sz w:val="17"/>
                <w:szCs w:val="17"/>
                <w:color w:val="auto"/>
              </w:rPr>
            </w:pPr>
          </w:p>
        </w:tc>
        <w:tc>
          <w:tcPr>
            <w:tcW w:w="94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w w:val="99"/>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w w:val="95"/>
              </w:rPr>
              <w:t>3.1</w:t>
            </w:r>
          </w:p>
        </w:tc>
        <w:tc>
          <w:tcPr>
            <w:tcW w:w="900" w:type="dxa"/>
            <w:vAlign w:val="bottom"/>
            <w:tcBorders>
              <w:bottom w:val="single" w:sz="8" w:color="D1D2D4"/>
            </w:tcBorders>
            <w:shd w:val="clear" w:color="auto" w:fill="D1D2D4"/>
          </w:tcPr>
          <w:p>
            <w:pPr>
              <w:jc w:val="center"/>
              <w:spacing w:after="0" w:line="182" w:lineRule="exact"/>
              <w:rPr>
                <w:sz w:val="20"/>
                <w:szCs w:val="20"/>
                <w:color w:val="auto"/>
              </w:rPr>
            </w:pPr>
            <w:r>
              <w:rPr>
                <w:rFonts w:ascii="Arial" w:cs="Arial" w:eastAsia="Arial" w:hAnsi="Arial"/>
                <w:sz w:val="18"/>
                <w:szCs w:val="18"/>
                <w:color w:val="auto"/>
                <w:w w:val="99"/>
              </w:rPr>
              <w:t>2/16/21</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00" w:type="dxa"/>
            <w:vAlign w:val="bottom"/>
            <w:gridSpan w:val="10"/>
          </w:tcPr>
          <w:p>
            <w:pPr>
              <w:spacing w:after="0" w:line="189" w:lineRule="exact"/>
              <w:rPr>
                <w:rFonts w:ascii="Arial" w:cs="Arial" w:eastAsia="Arial" w:hAnsi="Arial"/>
                <w:sz w:val="18"/>
                <w:szCs w:val="18"/>
                <w:color w:val="0000FF"/>
              </w:rPr>
            </w:pPr>
            <w:hyperlink r:id="rId101">
              <w:r>
                <w:rPr>
                  <w:rFonts w:ascii="Arial" w:cs="Arial" w:eastAsia="Arial" w:hAnsi="Arial"/>
                  <w:sz w:val="18"/>
                  <w:szCs w:val="18"/>
                  <w:color w:val="0000FF"/>
                </w:rPr>
                <w:t>Amended and Restated 2007 Equity Incentive Plan</w:t>
              </w:r>
            </w:hyperlink>
          </w:p>
        </w:tc>
        <w:tc>
          <w:tcPr>
            <w:tcW w:w="98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8"/>
              </w:rPr>
              <w:t>DEF 14A</w:t>
            </w:r>
          </w:p>
        </w:tc>
        <w:tc>
          <w:tcPr>
            <w:tcW w:w="86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9"/>
              </w:rPr>
              <w:t>A</w:t>
            </w: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9"/>
              </w:rPr>
              <w:t>12/1/20</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10.15</w:t>
            </w:r>
          </w:p>
        </w:tc>
        <w:tc>
          <w:tcPr>
            <w:tcW w:w="3420" w:type="dxa"/>
            <w:vAlign w:val="bottom"/>
            <w:tcBorders>
              <w:bottom w:val="single" w:sz="8" w:color="0000FF"/>
            </w:tcBorders>
            <w:gridSpan w:val="2"/>
            <w:shd w:val="clear" w:color="auto" w:fill="D1D2D4"/>
          </w:tcPr>
          <w:p>
            <w:pPr>
              <w:spacing w:after="0" w:line="189" w:lineRule="exact"/>
              <w:rPr>
                <w:rFonts w:ascii="Arial" w:cs="Arial" w:eastAsia="Arial" w:hAnsi="Arial"/>
                <w:sz w:val="18"/>
                <w:szCs w:val="18"/>
                <w:color w:val="0000FF"/>
                <w:w w:val="99"/>
              </w:rPr>
            </w:pPr>
            <w:hyperlink w:anchor="page59">
              <w:r>
                <w:rPr>
                  <w:rFonts w:ascii="Arial" w:cs="Arial" w:eastAsia="Arial" w:hAnsi="Arial"/>
                  <w:sz w:val="18"/>
                  <w:szCs w:val="18"/>
                  <w:color w:val="0000FF"/>
                  <w:w w:val="99"/>
                </w:rPr>
                <w:t>Deferred Compensation Plan, as amended</w:t>
              </w:r>
            </w:hyperlink>
          </w:p>
        </w:tc>
        <w:tc>
          <w:tcPr>
            <w:tcW w:w="2080" w:type="dxa"/>
            <w:vAlign w:val="bottom"/>
            <w:tcBorders>
              <w:bottom w:val="single" w:sz="8" w:color="D1D2D4"/>
            </w:tcBorders>
            <w:gridSpan w:val="8"/>
            <w:shd w:val="clear" w:color="auto" w:fill="D1D2D4"/>
          </w:tcPr>
          <w:p>
            <w:pPr>
              <w:spacing w:after="0"/>
              <w:rPr>
                <w:sz w:val="18"/>
                <w:szCs w:val="18"/>
                <w:color w:val="auto"/>
              </w:rPr>
            </w:pPr>
          </w:p>
        </w:tc>
        <w:tc>
          <w:tcPr>
            <w:tcW w:w="980" w:type="dxa"/>
            <w:vAlign w:val="bottom"/>
            <w:tcBorders>
              <w:bottom w:val="single" w:sz="8" w:color="D1D2D4"/>
            </w:tcBorders>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tcBorders>
              <w:bottom w:val="single" w:sz="8" w:color="D1D2D4"/>
            </w:tcBorders>
            <w:shd w:val="clear" w:color="auto" w:fill="D1D2D4"/>
          </w:tcPr>
          <w:p>
            <w:pPr>
              <w:spacing w:after="0"/>
              <w:rPr>
                <w:sz w:val="18"/>
                <w:szCs w:val="18"/>
                <w:color w:val="auto"/>
              </w:rPr>
            </w:pPr>
          </w:p>
        </w:tc>
        <w:tc>
          <w:tcPr>
            <w:tcW w:w="86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0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18</w:t>
            </w:r>
          </w:p>
        </w:tc>
        <w:tc>
          <w:tcPr>
            <w:tcW w:w="5500" w:type="dxa"/>
            <w:vAlign w:val="bottom"/>
            <w:gridSpan w:val="10"/>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Preferability Letter of PricewaterhouseCoopers LLP, Independent</w:t>
              </w:r>
            </w:hyperlink>
          </w:p>
        </w:tc>
        <w:tc>
          <w:tcPr>
            <w:tcW w:w="9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1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82">
              <w:r>
                <w:rPr>
                  <w:rFonts w:ascii="Arial" w:cs="Arial" w:eastAsia="Arial" w:hAnsi="Arial"/>
                  <w:sz w:val="18"/>
                  <w:szCs w:val="18"/>
                  <w:color w:val="0000FF"/>
                </w:rPr>
                <w:t>Registered Public Accounting Firm</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500" w:type="dxa"/>
            <w:vAlign w:val="bottom"/>
            <w:gridSpan w:val="10"/>
            <w:shd w:val="clear" w:color="auto" w:fill="D1D2D4"/>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Rule 13a-14(a) Certification of Chief Executive Officer</w:t>
              </w:r>
            </w:hyperlink>
          </w:p>
        </w:tc>
        <w:tc>
          <w:tcPr>
            <w:tcW w:w="98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0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0000FF"/>
            </w:tcBorders>
            <w:gridSpan w:val="6"/>
          </w:tcPr>
          <w:p>
            <w:pPr>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Rule 13a-14(a) Certification of Chief Financial Officer</w:t>
              </w:r>
            </w:hyperlink>
          </w:p>
        </w:tc>
        <w:tc>
          <w:tcPr>
            <w:tcW w:w="1220" w:type="dxa"/>
            <w:vAlign w:val="bottom"/>
            <w:tcBorders>
              <w:top w:val="single" w:sz="8" w:color="D1D2D4"/>
            </w:tcBorders>
            <w:gridSpan w:val="4"/>
          </w:tcPr>
          <w:p>
            <w:pPr>
              <w:spacing w:after="0"/>
              <w:rPr>
                <w:sz w:val="16"/>
                <w:szCs w:val="16"/>
                <w:color w:val="auto"/>
              </w:rPr>
            </w:pPr>
          </w:p>
        </w:tc>
        <w:tc>
          <w:tcPr>
            <w:tcW w:w="980" w:type="dxa"/>
            <w:vAlign w:val="bottom"/>
            <w:tcBorders>
              <w:top w:val="single" w:sz="8" w:color="D1D2D4"/>
            </w:tcBorders>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D1D2D4"/>
            </w:tcBorders>
          </w:tcPr>
          <w:p>
            <w:pPr>
              <w:spacing w:after="0"/>
              <w:rPr>
                <w:sz w:val="16"/>
                <w:szCs w:val="16"/>
                <w:color w:val="auto"/>
              </w:rPr>
            </w:pPr>
          </w:p>
        </w:tc>
        <w:tc>
          <w:tcPr>
            <w:tcW w:w="86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0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500" w:type="dxa"/>
            <w:vAlign w:val="bottom"/>
            <w:gridSpan w:val="10"/>
            <w:shd w:val="clear" w:color="auto" w:fill="D1D2D4"/>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Certification of Chief Executive Officer Pursuant to 18 U.S.C. 1350</w:t>
              </w:r>
            </w:hyperlink>
          </w:p>
        </w:tc>
        <w:tc>
          <w:tcPr>
            <w:tcW w:w="98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0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0000FF"/>
            </w:tcBorders>
            <w:gridSpan w:val="9"/>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Certification of Chief Financial Officer Pursuant to 18 U.S.C. 1350</w:t>
              </w:r>
            </w:hyperlink>
          </w:p>
        </w:tc>
        <w:tc>
          <w:tcPr>
            <w:tcW w:w="220" w:type="dxa"/>
            <w:vAlign w:val="bottom"/>
            <w:tcBorders>
              <w:top w:val="single" w:sz="8" w:color="D1D2D4"/>
            </w:tcBorders>
          </w:tcPr>
          <w:p>
            <w:pPr>
              <w:spacing w:after="0"/>
              <w:rPr>
                <w:sz w:val="16"/>
                <w:szCs w:val="16"/>
                <w:color w:val="auto"/>
              </w:rPr>
            </w:pPr>
          </w:p>
        </w:tc>
        <w:tc>
          <w:tcPr>
            <w:tcW w:w="980" w:type="dxa"/>
            <w:vAlign w:val="bottom"/>
            <w:tcBorders>
              <w:top w:val="single" w:sz="8" w:color="D1D2D4"/>
            </w:tcBorders>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D1D2D4"/>
            </w:tcBorders>
          </w:tcPr>
          <w:p>
            <w:pPr>
              <w:spacing w:after="0"/>
              <w:rPr>
                <w:sz w:val="16"/>
                <w:szCs w:val="16"/>
                <w:color w:val="auto"/>
              </w:rPr>
            </w:pPr>
          </w:p>
        </w:tc>
        <w:tc>
          <w:tcPr>
            <w:tcW w:w="86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0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101.INS</w:t>
            </w:r>
          </w:p>
        </w:tc>
        <w:tc>
          <w:tcPr>
            <w:tcW w:w="5500" w:type="dxa"/>
            <w:vAlign w:val="bottom"/>
            <w:gridSpan w:val="10"/>
            <w:shd w:val="clear" w:color="auto" w:fill="D1D2D4"/>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w:t>
            </w:r>
          </w:p>
        </w:tc>
        <w:tc>
          <w:tcPr>
            <w:tcW w:w="98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shd w:val="clear" w:color="auto" w:fill="D1D2D4"/>
          </w:tcPr>
          <w:p>
            <w:pPr>
              <w:spacing w:after="0"/>
              <w:rPr>
                <w:sz w:val="16"/>
                <w:szCs w:val="16"/>
                <w:color w:val="auto"/>
              </w:rPr>
            </w:pP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80" w:type="dxa"/>
            <w:vAlign w:val="bottom"/>
            <w:shd w:val="clear" w:color="auto" w:fill="D1D2D4"/>
          </w:tcPr>
          <w:p>
            <w:pPr>
              <w:spacing w:after="0"/>
              <w:rPr>
                <w:sz w:val="15"/>
                <w:szCs w:val="15"/>
                <w:color w:val="auto"/>
              </w:rPr>
            </w:pPr>
          </w:p>
        </w:tc>
        <w:tc>
          <w:tcPr>
            <w:tcW w:w="5500" w:type="dxa"/>
            <w:vAlign w:val="bottom"/>
            <w:gridSpan w:val="10"/>
            <w:shd w:val="clear" w:color="auto" w:fill="D1D2D4"/>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98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86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0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D1D2D4"/>
          </w:tcPr>
          <w:p>
            <w:pPr>
              <w:spacing w:after="0"/>
              <w:rPr>
                <w:sz w:val="18"/>
                <w:szCs w:val="18"/>
                <w:color w:val="auto"/>
              </w:rPr>
            </w:pPr>
          </w:p>
        </w:tc>
        <w:tc>
          <w:tcPr>
            <w:tcW w:w="5500" w:type="dxa"/>
            <w:vAlign w:val="bottom"/>
            <w:gridSpan w:val="10"/>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98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0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500" w:type="dxa"/>
            <w:vAlign w:val="bottom"/>
            <w:gridSpan w:val="10"/>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X</w:t>
            </w:r>
          </w:p>
        </w:tc>
        <w:tc>
          <w:tcPr>
            <w:tcW w:w="94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500" w:type="dxa"/>
            <w:vAlign w:val="bottom"/>
            <w:gridSpan w:val="10"/>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X</w:t>
            </w:r>
          </w:p>
        </w:tc>
        <w:tc>
          <w:tcPr>
            <w:tcW w:w="940" w:type="dxa"/>
            <w:vAlign w:val="bottom"/>
            <w:shd w:val="clear" w:color="auto" w:fill="D1D2D4"/>
          </w:tcPr>
          <w:p>
            <w:pPr>
              <w:spacing w:after="0"/>
              <w:rPr>
                <w:sz w:val="19"/>
                <w:szCs w:val="19"/>
                <w:color w:val="auto"/>
              </w:rPr>
            </w:pPr>
          </w:p>
        </w:tc>
        <w:tc>
          <w:tcPr>
            <w:tcW w:w="8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50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104</w:t>
            </w:r>
          </w:p>
        </w:tc>
        <w:tc>
          <w:tcPr>
            <w:tcW w:w="5500" w:type="dxa"/>
            <w:vAlign w:val="bottom"/>
            <w:gridSpan w:val="10"/>
            <w:shd w:val="clear" w:color="auto" w:fill="D1D2D4"/>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980" w:type="dxa"/>
            <w:vAlign w:val="bottom"/>
            <w:shd w:val="clear" w:color="auto" w:fill="D1D2D4"/>
          </w:tcPr>
          <w:p>
            <w:pPr>
              <w:jc w:val="center"/>
              <w:spacing w:after="0" w:line="189" w:lineRule="exact"/>
              <w:rPr>
                <w:sz w:val="20"/>
                <w:szCs w:val="20"/>
                <w:color w:val="auto"/>
              </w:rPr>
            </w:pPr>
            <w:r>
              <w:rPr>
                <w:rFonts w:ascii="Arial" w:cs="Arial" w:eastAsia="Arial" w:hAnsi="Arial"/>
                <w:sz w:val="18"/>
                <w:szCs w:val="18"/>
                <w:color w:val="auto"/>
                <w:w w:val="99"/>
              </w:rPr>
              <w:t>X</w:t>
            </w:r>
          </w:p>
        </w:tc>
        <w:tc>
          <w:tcPr>
            <w:tcW w:w="940" w:type="dxa"/>
            <w:vAlign w:val="bottom"/>
            <w:shd w:val="clear" w:color="auto" w:fill="D1D2D4"/>
          </w:tcPr>
          <w:p>
            <w:pPr>
              <w:spacing w:after="0"/>
              <w:rPr>
                <w:sz w:val="16"/>
                <w:szCs w:val="16"/>
                <w:color w:val="auto"/>
              </w:rPr>
            </w:pP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0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80" w:type="dxa"/>
            <w:vAlign w:val="bottom"/>
            <w:shd w:val="clear" w:color="auto" w:fill="D1D2D4"/>
          </w:tcPr>
          <w:p>
            <w:pPr>
              <w:spacing w:after="0"/>
              <w:rPr>
                <w:sz w:val="18"/>
                <w:szCs w:val="18"/>
                <w:color w:val="auto"/>
              </w:rPr>
            </w:pPr>
          </w:p>
        </w:tc>
        <w:tc>
          <w:tcPr>
            <w:tcW w:w="5500" w:type="dxa"/>
            <w:vAlign w:val="bottom"/>
            <w:gridSpan w:val="10"/>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98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8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0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8"/>
          <w:szCs w:val="18"/>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SIGNATURES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(Registrant)</w:t>
            </w:r>
          </w:p>
        </w:tc>
      </w:tr>
      <w:tr>
        <w:trPr>
          <w:trHeight w:val="743"/>
        </w:trPr>
        <w:tc>
          <w:tcPr>
            <w:tcW w:w="3360" w:type="dxa"/>
            <w:vAlign w:val="bottom"/>
          </w:tcPr>
          <w:p>
            <w:pPr>
              <w:spacing w:after="0"/>
              <w:rPr>
                <w:sz w:val="20"/>
                <w:szCs w:val="20"/>
                <w:color w:val="auto"/>
              </w:rPr>
            </w:pPr>
            <w:r>
              <w:rPr>
                <w:rFonts w:ascii="Arial" w:cs="Arial" w:eastAsia="Arial" w:hAnsi="Arial"/>
                <w:sz w:val="18"/>
                <w:szCs w:val="18"/>
                <w:color w:val="auto"/>
              </w:rPr>
              <w:t>Date:  April 1, 2021</w:t>
            </w:r>
          </w:p>
        </w:tc>
        <w:tc>
          <w:tcPr>
            <w:tcW w:w="7860" w:type="dxa"/>
            <w:vAlign w:val="bottom"/>
            <w:gridSpan w:val="2"/>
          </w:tcPr>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Zinsner</w:t>
            </w:r>
          </w:p>
        </w:tc>
      </w:tr>
      <w:tr>
        <w:trPr>
          <w:trHeight w:val="223"/>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A. Zinsner</w:t>
            </w:r>
          </w:p>
        </w:tc>
      </w:tr>
      <w:tr>
        <w:trPr>
          <w:trHeight w:val="229"/>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Scott Allen</w:t>
            </w:r>
          </w:p>
        </w:tc>
      </w:tr>
      <w:tr>
        <w:trPr>
          <w:trHeight w:val="223"/>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Scott Allen</w:t>
            </w:r>
          </w:p>
        </w:tc>
      </w:tr>
      <w:tr>
        <w:trPr>
          <w:trHeight w:val="229"/>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Corporate Vice President and Chief Accounting Officer</w:t>
            </w:r>
          </w:p>
        </w:tc>
      </w:tr>
      <w:tr>
        <w:trPr>
          <w:trHeight w:val="230"/>
        </w:trPr>
        <w:tc>
          <w:tcPr>
            <w:tcW w:w="3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21"/>
          <w:szCs w:val="21"/>
          <w:b w:val="1"/>
          <w:bCs w:val="1"/>
          <w:color w:val="0090DA"/>
        </w:rPr>
        <w:t>|</w:t>
      </w:r>
      <w:r>
        <w:rPr>
          <w:rFonts w:ascii="Arial" w:cs="Arial" w:eastAsia="Arial" w:hAnsi="Arial"/>
          <w:sz w:val="18"/>
          <w:szCs w:val="18"/>
          <w:color w:val="auto"/>
        </w:rPr>
        <w:t xml:space="preserve"> 2021 Q2 10-Q</w:t>
      </w:r>
    </w:p>
    <w:p>
      <w:pPr>
        <w:sectPr>
          <w:pgSz w:w="11900" w:h="16838" w:orient="portrait"/>
          <w:cols w:equalWidth="0" w:num="1">
            <w:col w:w="11240"/>
          </w:cols>
          <w:pgMar w:left="320" w:top="931" w:right="339" w:bottom="1440" w:gutter="0" w:footer="0" w:header="0"/>
        </w:sectPr>
      </w:pPr>
    </w:p>
    <w:bookmarkStart w:id="58" w:name="page59"/>
    <w:bookmarkEnd w:id="58"/>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MICRON TECHNOLOGY, INC.</w:t>
      </w:r>
    </w:p>
    <w:p>
      <w:pPr>
        <w:spacing w:after="0" w:line="4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000"/>
        <w:spacing w:after="0"/>
        <w:rPr>
          <w:sz w:val="20"/>
          <w:szCs w:val="20"/>
          <w:color w:val="auto"/>
        </w:rPr>
      </w:pPr>
      <w:r>
        <w:rPr>
          <w:rFonts w:ascii="Arial" w:cs="Arial" w:eastAsia="Arial" w:hAnsi="Arial"/>
          <w:sz w:val="29"/>
          <w:szCs w:val="29"/>
          <w:color w:val="auto"/>
        </w:rPr>
        <w:t>Effective March 1, 2017</w:t>
      </w:r>
    </w:p>
    <w:p>
      <w:pPr>
        <w:spacing w:after="0" w:line="200" w:lineRule="exact"/>
        <w:rPr>
          <w:sz w:val="20"/>
          <w:szCs w:val="20"/>
          <w:color w:val="auto"/>
        </w:rPr>
      </w:pPr>
    </w:p>
    <w:p>
      <w:pPr>
        <w:spacing w:after="0" w:line="263" w:lineRule="exact"/>
        <w:rPr>
          <w:sz w:val="20"/>
          <w:szCs w:val="20"/>
          <w:color w:val="auto"/>
        </w:rPr>
      </w:pPr>
    </w:p>
    <w:p>
      <w:pPr>
        <w:ind w:left="2020"/>
        <w:spacing w:after="0"/>
        <w:rPr>
          <w:sz w:val="20"/>
          <w:szCs w:val="20"/>
          <w:color w:val="auto"/>
        </w:rPr>
      </w:pPr>
      <w:r>
        <w:rPr>
          <w:rFonts w:ascii="Arial" w:cs="Arial" w:eastAsia="Arial" w:hAnsi="Arial"/>
          <w:sz w:val="29"/>
          <w:szCs w:val="29"/>
          <w:color w:val="auto"/>
        </w:rPr>
        <w:t>As Amended Effective January 1, 2021</w:t>
      </w:r>
    </w:p>
    <w:p>
      <w:pPr>
        <w:sectPr>
          <w:pgSz w:w="11900" w:h="16838" w:orient="portrait"/>
          <w:cols w:equalWidth="0" w:num="1">
            <w:col w:w="10120"/>
          </w:cols>
          <w:pgMar w:left="1440" w:top="1440" w:right="339" w:bottom="1440" w:gutter="0" w:footer="0" w:header="0"/>
        </w:sectPr>
      </w:pPr>
    </w:p>
    <w:bookmarkStart w:id="59" w:name="page60"/>
    <w:bookmarkEnd w:id="59"/>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PREAMBLE</w:t>
      </w:r>
    </w:p>
    <w:p>
      <w:pPr>
        <w:spacing w:after="0" w:line="34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60" w:name="page61"/>
    <w:bookmarkEnd w:id="60"/>
    <w:p>
      <w:pPr>
        <w:ind w:left="5020"/>
        <w:spacing w:after="0"/>
        <w:rPr>
          <w:sz w:val="20"/>
          <w:szCs w:val="20"/>
          <w:color w:val="auto"/>
        </w:rPr>
      </w:pPr>
      <w:r>
        <w:rPr>
          <w:rFonts w:ascii="Arial" w:cs="Arial" w:eastAsia="Arial" w:hAnsi="Arial"/>
          <w:sz w:val="20"/>
          <w:szCs w:val="20"/>
          <w:b w:val="1"/>
          <w:bCs w:val="1"/>
          <w:color w:val="auto"/>
        </w:rPr>
        <w:t>ARTICLE 1 - GENERAL</w:t>
      </w:r>
    </w:p>
    <w:p>
      <w:pPr>
        <w:spacing w:after="0" w:line="21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b w:val="1"/>
          <w:bCs w:val="1"/>
          <w:color w:val="auto"/>
        </w:rPr>
        <w:t xml:space="preserve">Purpose. </w:t>
      </w:r>
      <w:r>
        <w:rPr>
          <w:rFonts w:ascii="Arial" w:cs="Arial" w:eastAsia="Arial" w:hAnsi="Arial"/>
          <w:sz w:val="20"/>
          <w:szCs w:val="20"/>
          <w:color w:val="auto"/>
        </w:rPr>
        <w:t>The purpose of the Plan is to provide Eligible Employees an opportunity to defer to a future date the receipt of</w:t>
      </w:r>
      <w:r>
        <w:rPr>
          <w:rFonts w:ascii="Arial" w:cs="Arial" w:eastAsia="Arial" w:hAnsi="Arial"/>
          <w:sz w:val="20"/>
          <w:szCs w:val="20"/>
          <w:b w:val="1"/>
          <w:bCs w:val="1"/>
          <w:color w:val="auto"/>
        </w:rPr>
        <w:t xml:space="preserve"> </w:t>
      </w:r>
      <w:r>
        <w:rPr>
          <w:rFonts w:ascii="Arial" w:cs="Arial" w:eastAsia="Arial" w:hAnsi="Arial"/>
          <w:sz w:val="20"/>
          <w:szCs w:val="20"/>
          <w:color w:val="auto"/>
        </w:rPr>
        <w:t>base and bonus compensation for services performed for the Employer.</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The Effective Date of the Plan is March 1, 2017.</w:t>
      </w:r>
    </w:p>
    <w:p>
      <w:pPr>
        <w:spacing w:after="0" w:line="216"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ARTICLE 2 - DEFINITIONS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Pronouns used in the Plan are in the masculine gender but include the feminine gender unless the context clearly indicates otherwise. Wherever used herein, the following terms have the meanings set forth below, unless a different meaning is clearly required by the context:</w:t>
      </w:r>
    </w:p>
    <w:p>
      <w:pPr>
        <w:spacing w:after="0" w:line="182"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 xml:space="preserve">“Account” </w:t>
      </w:r>
      <w:r>
        <w:rPr>
          <w:rFonts w:ascii="Arial" w:cs="Arial" w:eastAsia="Arial" w:hAnsi="Arial"/>
          <w:sz w:val="20"/>
          <w:szCs w:val="20"/>
          <w:color w:val="auto"/>
        </w:rPr>
        <w:t>means an account established for the purpose of recording amounts credited on behalf of a Participant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income,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w:t>
      </w:r>
    </w:p>
    <w:p>
      <w:pPr>
        <w:spacing w:after="0" w:line="17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 xml:space="preserve">“Administrator” </w:t>
      </w:r>
      <w:r>
        <w:rPr>
          <w:rFonts w:ascii="Arial" w:cs="Arial" w:eastAsia="Arial" w:hAnsi="Arial"/>
          <w:sz w:val="20"/>
          <w:szCs w:val="20"/>
          <w:color w:val="auto"/>
        </w:rPr>
        <w:t>means, unless otherwise determined by the Plan Sponsor, the Micron Technology, Inc. Retirement at</w:t>
      </w:r>
      <w:r>
        <w:rPr>
          <w:rFonts w:ascii="Arial" w:cs="Arial" w:eastAsia="Arial" w:hAnsi="Arial"/>
          <w:sz w:val="20"/>
          <w:szCs w:val="20"/>
          <w:b w:val="1"/>
          <w:bCs w:val="1"/>
          <w:color w:val="auto"/>
        </w:rPr>
        <w:t xml:space="preserve"> </w:t>
      </w:r>
      <w:r>
        <w:rPr>
          <w:rFonts w:ascii="Arial" w:cs="Arial" w:eastAsia="Arial" w:hAnsi="Arial"/>
          <w:sz w:val="20"/>
          <w:szCs w:val="20"/>
          <w:color w:val="auto"/>
        </w:rPr>
        <w:t>Micron (RAM) Committee.</w:t>
      </w:r>
    </w:p>
    <w:p>
      <w:pPr>
        <w:spacing w:after="0" w:line="183"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 xml:space="preserve">“Base Compensation” </w:t>
      </w:r>
      <w:r>
        <w:rPr>
          <w:rFonts w:ascii="Arial" w:cs="Arial" w:eastAsia="Arial" w:hAnsi="Arial"/>
          <w:sz w:val="20"/>
          <w:szCs w:val="20"/>
          <w:color w:val="auto"/>
        </w:rPr>
        <w:t>means the Participant’s base rate of compensation (including regular compensation, holiday,</w:t>
      </w:r>
      <w:r>
        <w:rPr>
          <w:rFonts w:ascii="Arial" w:cs="Arial" w:eastAsia="Arial" w:hAnsi="Arial"/>
          <w:sz w:val="20"/>
          <w:szCs w:val="20"/>
          <w:b w:val="1"/>
          <w:bCs w:val="1"/>
          <w:color w:val="auto"/>
        </w:rPr>
        <w:t xml:space="preserve"> </w:t>
      </w:r>
      <w:r>
        <w:rPr>
          <w:rFonts w:ascii="Arial" w:cs="Arial" w:eastAsia="Arial" w:hAnsi="Arial"/>
          <w:sz w:val="20"/>
          <w:szCs w:val="20"/>
          <w:color w:val="auto"/>
        </w:rPr>
        <w:t>vacation, personal and sick pay) payable for services performed for the Employer for the Plan Year, as adjusted to reflect increases and decreases to the base rate during the Plan Year.</w:t>
      </w:r>
    </w:p>
    <w:p>
      <w:pPr>
        <w:spacing w:after="0" w:line="212" w:lineRule="exact"/>
        <w:rPr>
          <w:sz w:val="20"/>
          <w:szCs w:val="20"/>
          <w:color w:val="auto"/>
        </w:rPr>
      </w:pPr>
    </w:p>
    <w:p>
      <w:pPr>
        <w:jc w:val="both"/>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 xml:space="preserve">“Beneficiary” </w:t>
      </w:r>
      <w:r>
        <w:rPr>
          <w:rFonts w:ascii="Arial" w:cs="Arial" w:eastAsia="Arial" w:hAnsi="Arial"/>
          <w:sz w:val="20"/>
          <w:szCs w:val="20"/>
          <w:color w:val="auto"/>
        </w:rPr>
        <w:t>means the persons, trusts, estates or other entities entitled under Section 8.2 to receive benefits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upon the death of a Participant.</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 xml:space="preserve">“Board” or “Board of Directors” </w:t>
      </w:r>
      <w:r>
        <w:rPr>
          <w:rFonts w:ascii="Arial" w:cs="Arial" w:eastAsia="Arial" w:hAnsi="Arial"/>
          <w:sz w:val="19"/>
          <w:szCs w:val="19"/>
          <w:color w:val="auto"/>
        </w:rPr>
        <w:t>means the Board of Directors of the Plan Sponsor.</w:t>
      </w:r>
    </w:p>
    <w:p>
      <w:pPr>
        <w:spacing w:after="0" w:line="243"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 xml:space="preserve">“Bonus Compensation” </w:t>
      </w:r>
      <w:r>
        <w:rPr>
          <w:rFonts w:ascii="Arial" w:cs="Arial" w:eastAsia="Arial" w:hAnsi="Arial"/>
          <w:sz w:val="20"/>
          <w:szCs w:val="20"/>
          <w:color w:val="auto"/>
        </w:rPr>
        <w:t>means the Participant’s bonus or incentive compensation payable for services performed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Employer for the Plan Year pursuant to, among others designated by the Employer, the Micron Technology, Inc. Executive Incentive Plan, the Micron Technology, Inc. Annual Incentive Plan, and/or the Micron Technology, Inc. Incentive Pay Plan.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means the occurrence of an event involving the Plan Sponsor that is described in Section 9.6.</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9"/>
          <w:szCs w:val="19"/>
          <w:b w:val="1"/>
          <w:bCs w:val="1"/>
          <w:color w:val="auto"/>
        </w:rPr>
        <w:t xml:space="preserve">“Compensation” </w:t>
      </w:r>
      <w:r>
        <w:rPr>
          <w:rFonts w:ascii="Arial" w:cs="Arial" w:eastAsia="Arial" w:hAnsi="Arial"/>
          <w:sz w:val="19"/>
          <w:szCs w:val="19"/>
          <w:color w:val="auto"/>
        </w:rPr>
        <w:t>means Base Compensation, Bonus Compensation and/or Performance-Based Compensation.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08" w:right="339" w:bottom="1440" w:gutter="0" w:footer="0" w:header="0"/>
        </w:sectPr>
      </w:pPr>
    </w:p>
    <w:bookmarkStart w:id="61" w:name="page62"/>
    <w:bookmarkEnd w:id="61"/>
    <w:p>
      <w:pPr>
        <w:spacing w:after="0" w:line="184"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2.10</w:t>
        <w:tab/>
        <w:t xml:space="preserve">“Disability” </w:t>
      </w:r>
      <w:r>
        <w:rPr>
          <w:rFonts w:ascii="Arial" w:cs="Arial" w:eastAsia="Arial" w:hAnsi="Arial"/>
          <w:sz w:val="20"/>
          <w:szCs w:val="20"/>
          <w:color w:val="auto"/>
        </w:rPr>
        <w:t>means a determination by the Administrator that the Participant is either (a) unable to engage in any</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 gainful activity by reason of any medically determinable physical or mental impairment which can be expected to result in death or can be expected to last for a continuous period of not less than 12 months, or (b) is, by reason of any medically determinable physical or mental impairment which can be expected to result in death or last for a continuous period of not less than twelve months, receiving income replacement benefits for a period of not less than three months under an accident and health plan covering employees of the Employer. A Participant will be considered to have incurred a Disability if he is determined to be totally disabled by the Social Security Administration or the Railroad Retirement Board.</w:t>
      </w: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9"/>
          <w:szCs w:val="19"/>
          <w:b w:val="1"/>
          <w:bCs w:val="1"/>
          <w:color w:val="auto"/>
        </w:rPr>
        <w:t xml:space="preserve">“Discretionary Credits” </w:t>
      </w:r>
      <w:r>
        <w:rPr>
          <w:rFonts w:ascii="Arial" w:cs="Arial" w:eastAsia="Arial" w:hAnsi="Arial"/>
          <w:sz w:val="19"/>
          <w:szCs w:val="19"/>
          <w:color w:val="auto"/>
        </w:rPr>
        <w:t>has the meaning set forth in Section 5.1 hereof.</w:t>
      </w:r>
    </w:p>
    <w:p>
      <w:pPr>
        <w:spacing w:after="0" w:line="25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2.12</w:t>
        <w:tab/>
        <w:t xml:space="preserve">“Distribution Date” </w:t>
      </w:r>
      <w:r>
        <w:rPr>
          <w:rFonts w:ascii="Arial" w:cs="Arial" w:eastAsia="Arial" w:hAnsi="Arial"/>
          <w:sz w:val="20"/>
          <w:szCs w:val="20"/>
          <w:color w:val="auto"/>
        </w:rPr>
        <w:t>means the earliest to occur of: (1) a Specified Payment Date elected by the Participant or (2)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Separation from Service for any reason (including death or Disability). Notwithstanding the foregoing, in the case of a distribution to a Specified Employee on account of Separation from Service, the Distribution Date shall be the Specified Employee Delayed Payment Date.</w:t>
      </w:r>
    </w:p>
    <w:p>
      <w:pPr>
        <w:spacing w:after="0" w:line="203" w:lineRule="exact"/>
        <w:rPr>
          <w:sz w:val="20"/>
          <w:szCs w:val="20"/>
          <w:color w:val="auto"/>
        </w:rPr>
      </w:pPr>
    </w:p>
    <w:p>
      <w:pPr>
        <w:jc w:val="both"/>
        <w:ind w:left="640" w:hanging="647"/>
        <w:spacing w:after="0"/>
        <w:tabs>
          <w:tab w:leader="none" w:pos="620" w:val="left"/>
        </w:tabs>
        <w:rPr>
          <w:sz w:val="20"/>
          <w:szCs w:val="20"/>
          <w:color w:val="auto"/>
        </w:rPr>
      </w:pPr>
      <w:r>
        <w:rPr>
          <w:rFonts w:ascii="Arial" w:cs="Arial" w:eastAsia="Arial" w:hAnsi="Arial"/>
          <w:sz w:val="20"/>
          <w:szCs w:val="20"/>
          <w:b w:val="1"/>
          <w:bCs w:val="1"/>
          <w:color w:val="auto"/>
        </w:rPr>
        <w:t>2.13</w:t>
        <w:tab/>
        <w:t xml:space="preserve">“Election Period” </w:t>
      </w:r>
      <w:r>
        <w:rPr>
          <w:rFonts w:ascii="Arial" w:cs="Arial" w:eastAsia="Arial" w:hAnsi="Arial"/>
          <w:sz w:val="20"/>
          <w:szCs w:val="20"/>
          <w:color w:val="auto"/>
        </w:rPr>
        <w:t>means the period established by the Administrator during which Participant deferral and distribution</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elections must be made in accordance with the requirements of Code Section 409A. The Election Period for Base Compensation and for Bonus Compensation that does not qualify as Performance-Based Compensation shall end no later than the last day of the Plan Year immediately preceding the Plan Year in which such Base Compensation or Bonus Compensation is earned, and the Election Period for Bonus Compensation qualifying as Performance-Based Compensation shall end no later than six (6) months before the end of the fiscal year or other period in which the Performance-Based Compensation is earned; provided, that the Eligible Employee is employed continuously from the later of the beginning of the performance period or the date the performance criteria are established through the date an election is made to defer such Performance-Based Compensation and the amount of such Performance-Based Compensation has not become readily ascertainable as of the date the election is made; and further provided, however, that the Election Period with respect to the first Plan Year in which an Eligible Employee is eligible to participate in the Plan may, to the extent permitted under Code Section 409A, end no later than thirty (30) days after the Eligible Employee first becomes eligible under the Plan and shall apply only to compensation earned after such election is made. A former Eligible Employee who again becomes an Eligible Employee shall be treated as newly eligible to make deferrals under the Plan within thirty (30) days upon return to eligible status if: (i) the former Eligible Employee has received distribution of the full amount of his or her Account balance attributable to deferral contributions and on or before the last such distribution was not eligible to make deferral contributions for periods after the last distribution payment; or (ii) the former Eligible Employee has not been eligible to make deferral contributions at any time during the twenty-four (24)-month period ending on the date he or she again becomes an Eligible Employee. In addition, if an Eligible Employee is or was eligible to participate in another plan that is aggregated with the elective deferral portion of the Plan under Code Section 409A, participation in such plan shall be treated as participation in the Plan for purposes of determining whether the Eligible Employee is treated as newly eligible under the Plan. Except in the case of the first Plan Year in which an Eligible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8"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Employee is eligible to participate in the Plan, including a former Eligible Employee who is treated as newly eligible to make deferrals, the effective date of elections to defer Base or Bonus Compensation shall be the first day of the calendar year following such election and in the case of an election to defer Performance-Based Compensation, such election shall be effective with respect to Performance-Based Compensation payable after the end of the applicable performance period.</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9"/>
          <w:szCs w:val="19"/>
          <w:b w:val="1"/>
          <w:bCs w:val="1"/>
          <w:color w:val="auto"/>
        </w:rPr>
        <w:t xml:space="preserve">“Eligible Employee” </w:t>
      </w:r>
      <w:r>
        <w:rPr>
          <w:rFonts w:ascii="Arial" w:cs="Arial" w:eastAsia="Arial" w:hAnsi="Arial"/>
          <w:sz w:val="19"/>
          <w:szCs w:val="19"/>
          <w:color w:val="auto"/>
        </w:rPr>
        <w:t>means an employee of the Employer selected by the Employer for participation in the Plan.</w:t>
      </w:r>
    </w:p>
    <w:p>
      <w:pPr>
        <w:spacing w:after="0" w:line="25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b w:val="1"/>
          <w:bCs w:val="1"/>
          <w:color w:val="auto"/>
        </w:rPr>
        <w:t xml:space="preserve">2.15 “Employer” </w:t>
      </w:r>
      <w:r>
        <w:rPr>
          <w:rFonts w:ascii="Arial" w:cs="Arial" w:eastAsia="Arial" w:hAnsi="Arial"/>
          <w:sz w:val="20"/>
          <w:szCs w:val="20"/>
          <w:color w:val="auto"/>
        </w:rPr>
        <w:t>means the Plan Sponsor and any other entity which is authorized by the Plan Sponsor to participate in and,</w:t>
      </w:r>
      <w:r>
        <w:rPr>
          <w:rFonts w:ascii="Arial" w:cs="Arial" w:eastAsia="Arial" w:hAnsi="Arial"/>
          <w:sz w:val="20"/>
          <w:szCs w:val="20"/>
          <w:b w:val="1"/>
          <w:bCs w:val="1"/>
          <w:color w:val="auto"/>
        </w:rPr>
        <w:t xml:space="preserve"> </w:t>
      </w:r>
      <w:r>
        <w:rPr>
          <w:rFonts w:ascii="Arial" w:cs="Arial" w:eastAsia="Arial" w:hAnsi="Arial"/>
          <w:sz w:val="20"/>
          <w:szCs w:val="20"/>
          <w:color w:val="auto"/>
        </w:rPr>
        <w:t>in fact, does adopt the Plan.</w:t>
      </w:r>
    </w:p>
    <w:p>
      <w:pPr>
        <w:spacing w:after="0" w:line="18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9"/>
          <w:szCs w:val="19"/>
          <w:b w:val="1"/>
          <w:bCs w:val="1"/>
          <w:color w:val="auto"/>
        </w:rPr>
        <w:t xml:space="preserve">“Participant” </w:t>
      </w:r>
      <w:r>
        <w:rPr>
          <w:rFonts w:ascii="Arial" w:cs="Arial" w:eastAsia="Arial" w:hAnsi="Arial"/>
          <w:sz w:val="19"/>
          <w:szCs w:val="19"/>
          <w:color w:val="auto"/>
        </w:rPr>
        <w:t>means an Eligible Employee who commences participation in the Plan in accordance with Article 3.</w:t>
      </w:r>
    </w:p>
    <w:p>
      <w:pPr>
        <w:spacing w:after="0" w:line="25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9"/>
          <w:szCs w:val="19"/>
          <w:b w:val="1"/>
          <w:bCs w:val="1"/>
          <w:color w:val="auto"/>
        </w:rPr>
        <w:t xml:space="preserve">“Performance-Based Compensation” </w:t>
      </w:r>
      <w:r>
        <w:rPr>
          <w:rFonts w:ascii="Arial" w:cs="Arial" w:eastAsia="Arial" w:hAnsi="Arial"/>
          <w:sz w:val="19"/>
          <w:szCs w:val="19"/>
          <w:color w:val="auto"/>
        </w:rPr>
        <w:t>means any bonus, award or other compensation designated by the Employer,</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 of which, or the entitlement to which, is contingent on the satisfaction of pre-established organizational or individual performance criteria relating to a performance period of at least twelve (12) consecutive months. For such bonus or award to be performance-based with respect to a Participant’s deferral election with respect to such bonus or award, the following requirements must be met: (i) the performance criteria must be established in writing no later than ninety (90) days after the beginning of the applicable “performance period”; (ii) the outcome of the performance criteria must be substantially uncertain when the criteria are established; (iii) no bonus or award, or portion of any bonus or award, that will be paid either regardless of performance, or based upon a level of performance that is substantially certain to be met at the time the criteria are established, shall be considered Performance-Based Compensation; (iv) Performance-Based Compensation shall not include payments based upon subjective performance criteria unless: (a) the subjective performance criteria are bona fide and relate to the Participant’s performance, the performance of a group of employees that includes the Participant, or the performance of a business unit for which the Participant provides services (which may include the entire organization); and (b) the determination that any subjective performance criteria have been met is not made by the Participant or a family member of the Participant (as defined in Code Section 267(c)</w:t>
      </w:r>
    </w:p>
    <w:p>
      <w:pPr>
        <w:spacing w:after="0" w:line="12"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(4), applied as if the family of an individual includes the spouse of any member of the family), or a person under the effective control of the Participant or such a family member, and no amount of the compensation of the person making such determination is effectively controlled in whole or in part by the Participant or such a family member. A performance-based bonus that otherwise meets the above criteria may provide for payment regardless of satisfaction of the performance criteria upon the Participant’s death, disability (defined as a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(6) months), or a change in control event (as defined in Treasury Regulations Section 1.409A-3(i)(5)(i)). Any amount that actually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8" w:lineRule="exact"/>
        <w:rPr>
          <w:sz w:val="20"/>
          <w:szCs w:val="20"/>
          <w:color w:val="auto"/>
        </w:rPr>
      </w:pPr>
    </w:p>
    <w:p>
      <w:pPr>
        <w:ind w:left="660" w:right="20"/>
        <w:spacing w:after="0" w:line="246" w:lineRule="auto"/>
        <w:rPr>
          <w:sz w:val="20"/>
          <w:szCs w:val="20"/>
          <w:color w:val="auto"/>
        </w:rPr>
      </w:pPr>
      <w:r>
        <w:rPr>
          <w:rFonts w:ascii="Arial" w:cs="Arial" w:eastAsia="Arial" w:hAnsi="Arial"/>
          <w:sz w:val="20"/>
          <w:szCs w:val="20"/>
          <w:color w:val="auto"/>
        </w:rPr>
        <w:t>becomes payable upon such events without regard to the satisfaction of the performance criteria will not be considered Performance-Based Compensation.</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b w:val="1"/>
          <w:bCs w:val="1"/>
          <w:color w:val="auto"/>
        </w:rPr>
        <w:t xml:space="preserve">2.19 “Plan” </w:t>
      </w:r>
      <w:r>
        <w:rPr>
          <w:rFonts w:ascii="Arial" w:cs="Arial" w:eastAsia="Arial" w:hAnsi="Arial"/>
          <w:sz w:val="20"/>
          <w:szCs w:val="20"/>
          <w:color w:val="auto"/>
        </w:rPr>
        <w:t>means the unfunded plan of deferred compensation set forth herein, as adopted by the Plan Sponsor and as</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from time to time.</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9"/>
          <w:szCs w:val="19"/>
          <w:b w:val="1"/>
          <w:bCs w:val="1"/>
          <w:color w:val="auto"/>
        </w:rPr>
        <w:t xml:space="preserve">“Plan Sponsor” </w:t>
      </w:r>
      <w:r>
        <w:rPr>
          <w:rFonts w:ascii="Arial" w:cs="Arial" w:eastAsia="Arial" w:hAnsi="Arial"/>
          <w:sz w:val="19"/>
          <w:szCs w:val="19"/>
          <w:color w:val="auto"/>
        </w:rPr>
        <w:t>means Micron Technology, Inc. or any successor by merger, consolidation or otherwise.</w:t>
      </w:r>
    </w:p>
    <w:p>
      <w:pPr>
        <w:spacing w:after="0" w:line="24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means the period commencing January 1 and ending on December 31.</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2.22 “Related Employer” </w:t>
      </w:r>
      <w:r>
        <w:rPr>
          <w:rFonts w:ascii="Arial" w:cs="Arial" w:eastAsia="Arial" w:hAnsi="Arial"/>
          <w:sz w:val="20"/>
          <w:szCs w:val="20"/>
          <w:color w:val="auto"/>
        </w:rPr>
        <w:t>means the Employer and (a) any corporation that is a member of a controlled group of</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corporations as defined in Code Section 414(b) that includes the Employer and (b) any trade or business that is under common control as defined in Code Section 414(c) that includes the Employer.</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 xml:space="preserve">2.23 “Separation from Service” </w:t>
      </w:r>
      <w:r>
        <w:rPr>
          <w:rFonts w:ascii="Arial" w:cs="Arial" w:eastAsia="Arial" w:hAnsi="Arial"/>
          <w:sz w:val="20"/>
          <w:szCs w:val="20"/>
          <w:color w:val="auto"/>
        </w:rPr>
        <w:t>means the date that the Participant dies, retires or otherwise has a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w:t>
      </w:r>
    </w:p>
    <w:p>
      <w:pPr>
        <w:spacing w:after="0" w:line="233"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Whether a termination of employment has occurred is based on whether the facts and circumstances indicate that the Related Employer and the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w:t>
      </w:r>
    </w:p>
    <w:p>
      <w:pPr>
        <w:spacing w:after="0" w:line="213"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8"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w:t>
      </w:r>
    </w:p>
    <w:p>
      <w:pPr>
        <w:spacing w:after="0" w:line="213"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w:t>
      </w:r>
    </w:p>
    <w:p>
      <w:pPr>
        <w:spacing w:after="0" w:line="213"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w:t>
      </w:r>
    </w:p>
    <w:p>
      <w:pPr>
        <w:spacing w:after="0" w:line="194"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All determinations of whether a Separation from Service has occurred will be made in a manner consistent with Code Section 409A and the final regulations thereunder.</w:t>
      </w:r>
    </w:p>
    <w:p>
      <w:pPr>
        <w:spacing w:after="0" w:line="180"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2.24</w:t>
        <w:tab/>
        <w:t xml:space="preserve">“Specified Employee” </w:t>
      </w:r>
      <w:r>
        <w:rPr>
          <w:rFonts w:ascii="Arial" w:cs="Arial" w:eastAsia="Arial" w:hAnsi="Arial"/>
          <w:sz w:val="20"/>
          <w:szCs w:val="20"/>
          <w:color w:val="auto"/>
        </w:rPr>
        <w:t>is an employee who on the date of his Separation from Service is a “specified employee”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given such term under Code Section 409A and the regulations thereunder applying the default criteria.</w:t>
      </w:r>
    </w:p>
    <w:p>
      <w:pPr>
        <w:spacing w:after="0" w:line="156" w:lineRule="exact"/>
        <w:rPr>
          <w:sz w:val="20"/>
          <w:szCs w:val="20"/>
          <w:color w:val="auto"/>
        </w:rPr>
      </w:pPr>
    </w:p>
    <w:p>
      <w:pPr>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2.25</w:t>
        <w:tab/>
        <w:t xml:space="preserve">“Specified Employee Delayed Payment Date” </w:t>
      </w:r>
      <w:r>
        <w:rPr>
          <w:rFonts w:ascii="Arial" w:cs="Arial" w:eastAsia="Arial" w:hAnsi="Arial"/>
          <w:sz w:val="20"/>
          <w:szCs w:val="20"/>
          <w:color w:val="auto"/>
        </w:rPr>
        <w:t>means the first business day of the seventh month following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a Specified Employee’s Separation from Service.</w:t>
      </w:r>
    </w:p>
    <w:p>
      <w:pPr>
        <w:spacing w:after="0" w:line="156"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2.26</w:t>
        <w:tab/>
        <w:t xml:space="preserve">“Specified Payment Date” </w:t>
      </w:r>
      <w:r>
        <w:rPr>
          <w:rFonts w:ascii="Arial" w:cs="Arial" w:eastAsia="Arial" w:hAnsi="Arial"/>
          <w:sz w:val="20"/>
          <w:szCs w:val="20"/>
          <w:color w:val="auto"/>
        </w:rPr>
        <w:t>means a calendar year elected by the Participant to receive his her deferrals that is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Year for which the deferrals are made.</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9"/>
          <w:szCs w:val="19"/>
          <w:b w:val="1"/>
          <w:bCs w:val="1"/>
          <w:color w:val="auto"/>
        </w:rPr>
        <w:t xml:space="preserve">“Valuation Date” </w:t>
      </w:r>
      <w:r>
        <w:rPr>
          <w:rFonts w:ascii="Arial" w:cs="Arial" w:eastAsia="Arial" w:hAnsi="Arial"/>
          <w:sz w:val="19"/>
          <w:szCs w:val="19"/>
          <w:color w:val="auto"/>
        </w:rPr>
        <w:t>means each business day of the Plan Year that the Nasdaq Global Stock Market is open.</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20"/>
          <w:szCs w:val="20"/>
          <w:b w:val="1"/>
          <w:bCs w:val="1"/>
          <w:color w:val="auto"/>
        </w:rPr>
        <w:t xml:space="preserve">2.28 “Years of Service” </w:t>
      </w:r>
      <w:r>
        <w:rPr>
          <w:rFonts w:ascii="Arial" w:cs="Arial" w:eastAsia="Arial" w:hAnsi="Arial"/>
          <w:sz w:val="20"/>
          <w:szCs w:val="20"/>
          <w:color w:val="auto"/>
        </w:rPr>
        <w:t>shall be determined in accordance with the Participant’s Years of Service credited under the Micron</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Inc. Retirement at Micron (RAM)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 PARTICIPATION</w:t>
      </w:r>
    </w:p>
    <w:p>
      <w:pPr>
        <w:spacing w:after="0" w:line="216" w:lineRule="exact"/>
        <w:rPr>
          <w:sz w:val="20"/>
          <w:szCs w:val="20"/>
          <w:color w:val="auto"/>
        </w:rPr>
      </w:pPr>
    </w:p>
    <w:p>
      <w:pPr>
        <w:ind w:left="640" w:right="2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b w:val="1"/>
          <w:bCs w:val="1"/>
          <w:color w:val="auto"/>
        </w:rPr>
        <w:t xml:space="preserve">Participation. </w:t>
      </w:r>
      <w:r>
        <w:rPr>
          <w:rFonts w:ascii="Arial" w:cs="Arial" w:eastAsia="Arial" w:hAnsi="Arial"/>
          <w:sz w:val="20"/>
          <w:szCs w:val="20"/>
          <w:color w:val="auto"/>
        </w:rPr>
        <w:t>An Eligible Employee shall commence participation in the Plan upon the effectiveness of his first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election in accordance with Section 4.1.</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9"/>
          <w:szCs w:val="19"/>
          <w:b w:val="1"/>
          <w:bCs w:val="1"/>
          <w:color w:val="auto"/>
        </w:rPr>
        <w:t xml:space="preserve">Termination of Participation. </w:t>
      </w:r>
      <w:r>
        <w:rPr>
          <w:rFonts w:ascii="Arial" w:cs="Arial" w:eastAsia="Arial" w:hAnsi="Arial"/>
          <w:sz w:val="19"/>
          <w:szCs w:val="19"/>
          <w:color w:val="auto"/>
        </w:rPr>
        <w:t>The Administrator may terminate a Participant’s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participation in the Plan in a manner consistent with Code Section 409A. If the Employer terminates a Participant’s participation before the Participant experiences a Separation from Service the Participant’s vested Accounts shall be paid in accordance with the provisions of Article 9.</w:t>
      </w:r>
    </w:p>
    <w:p>
      <w:pPr>
        <w:spacing w:after="0" w:line="209"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ARTICLE 4 - PARTICIPANT ELECTIONS</w:t>
      </w:r>
    </w:p>
    <w:p>
      <w:pPr>
        <w:spacing w:after="0" w:line="216"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20"/>
          <w:szCs w:val="20"/>
          <w:b w:val="1"/>
          <w:bCs w:val="1"/>
          <w:color w:val="auto"/>
        </w:rPr>
        <w:t xml:space="preserve">Deferral Agreement. </w:t>
      </w:r>
      <w:r>
        <w:rPr>
          <w:rFonts w:ascii="Arial" w:cs="Arial" w:eastAsia="Arial" w:hAnsi="Arial"/>
          <w:sz w:val="20"/>
          <w:szCs w:val="20"/>
          <w:color w:val="auto"/>
        </w:rPr>
        <w:t>An Eligible Employee may elect during the applicable Election Period, by executing in writing or</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electronically a deferral agreement on form(s) approved by the Administrator, to defer the receipt of a designated percentage of Base Compensation per payroll period that is earned and payable after the effective date of such election, a designated percentage of Bonus Compensation per payroll period that is earned and payable after the effective date of such election and a designated percentage of Performance-Based Compensation that is payable after the effective date of such election and have such amount credited to the Participant’s Account pursuant to the terms of the Plan. The Participant shall make a separate deferral election for Base, Bonus and Performance-Based Compensation deferrals for each Plan Year.</w:t>
      </w:r>
    </w:p>
    <w:p>
      <w:pPr>
        <w:spacing w:after="0" w:line="206"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A new deferral election must be timely executed for each Plan Year during which the Eligible Employee desires to defer Compensation. An Eligible Employee who does not timely execute a deferral election shall be deemed to have elected zero deferrals of Compensation for such Plan Year.</w:t>
      </w:r>
    </w:p>
    <w:p>
      <w:pPr>
        <w:spacing w:after="0" w:line="222"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20"/>
          <w:szCs w:val="20"/>
          <w:b w:val="1"/>
          <w:bCs w:val="1"/>
          <w:color w:val="auto"/>
        </w:rPr>
        <w:t xml:space="preserve">Revocation/Modification of Deferral Elections. </w:t>
      </w:r>
      <w:r>
        <w:rPr>
          <w:rFonts w:ascii="Arial" w:cs="Arial" w:eastAsia="Arial" w:hAnsi="Arial"/>
          <w:sz w:val="20"/>
          <w:szCs w:val="20"/>
          <w:color w:val="auto"/>
        </w:rPr>
        <w:t>Except as otherwise provided in Section 9.2, a Participant may not</w:t>
      </w:r>
      <w:r>
        <w:rPr>
          <w:rFonts w:ascii="Arial" w:cs="Arial" w:eastAsia="Arial" w:hAnsi="Arial"/>
          <w:sz w:val="20"/>
          <w:szCs w:val="20"/>
          <w:b w:val="1"/>
          <w:bCs w:val="1"/>
          <w:color w:val="auto"/>
        </w:rPr>
        <w:t xml:space="preserve"> </w:t>
      </w:r>
      <w:r>
        <w:rPr>
          <w:rFonts w:ascii="Arial" w:cs="Arial" w:eastAsia="Arial" w:hAnsi="Arial"/>
          <w:sz w:val="20"/>
          <w:szCs w:val="20"/>
          <w:color w:val="auto"/>
        </w:rPr>
        <w:t>revoke or modify his deferral agreement after the Election Period. The Administrator in its discretion may cancel a deferral election if permitted under Code Section 409A (such as upon disability), provided that the Participant shall not be provided an election with respect to such cancellation. Notwithstanding anything in this Plan to the contrary, if a Participant receives a hardship distribution of elective deferrals from a qualified cash or deferred arrangement maintained by the Employer, then such Participant’s deferral election shall be cancelled for the remainder of the calendar year in which he received such hardship distribution, to the extent necessary to satisfy the requirements of Treas. Reg. Section 1.401(k)-1(d)(3).</w:t>
      </w:r>
    </w:p>
    <w:p>
      <w:pPr>
        <w:spacing w:after="0" w:line="182"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 xml:space="preserve">Amount of Deferrals. </w:t>
      </w:r>
      <w:r>
        <w:rPr>
          <w:rFonts w:ascii="Arial" w:cs="Arial" w:eastAsia="Arial" w:hAnsi="Arial"/>
          <w:sz w:val="20"/>
          <w:szCs w:val="20"/>
          <w:color w:val="auto"/>
        </w:rPr>
        <w:t>An Eligible Employee is not required to make a deferral election for any Plan Year. However, if an</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Employee makes a deferral election, the following minimums and maximums apply. These minimums and/or maximums may be modified by the Administrator for a given Plan Year on the election forms for such Plan Year without the need of a formal plan amendment.</w:t>
      </w:r>
    </w:p>
    <w:p>
      <w:pPr>
        <w:spacing w:after="0" w:line="176" w:lineRule="exact"/>
        <w:rPr>
          <w:sz w:val="20"/>
          <w:szCs w:val="20"/>
          <w:color w:val="auto"/>
        </w:rPr>
      </w:pPr>
    </w:p>
    <w:p>
      <w:pPr>
        <w:ind w:left="980" w:hanging="324"/>
        <w:spacing w:after="0" w:line="271" w:lineRule="auto"/>
        <w:tabs>
          <w:tab w:leader="none" w:pos="979"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Minimum Base Compensation Deferral Election</w:t>
      </w:r>
      <w:r>
        <w:rPr>
          <w:rFonts w:ascii="Arial" w:cs="Arial" w:eastAsia="Arial" w:hAnsi="Arial"/>
          <w:sz w:val="20"/>
          <w:szCs w:val="20"/>
          <w:color w:val="auto"/>
        </w:rPr>
        <w:t>. The minimum deferral election percentage an 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may make for a Plan Year with respect to Base Compensation is 1% of Base Compensation.</w:t>
      </w:r>
    </w:p>
    <w:p>
      <w:pPr>
        <w:spacing w:after="0" w:line="155" w:lineRule="exact"/>
        <w:rPr>
          <w:rFonts w:ascii="Arial" w:cs="Arial" w:eastAsia="Arial" w:hAnsi="Arial"/>
          <w:sz w:val="20"/>
          <w:szCs w:val="20"/>
          <w:color w:val="auto"/>
        </w:rPr>
      </w:pPr>
    </w:p>
    <w:p>
      <w:pPr>
        <w:jc w:val="both"/>
        <w:ind w:left="980" w:hanging="324"/>
        <w:spacing w:after="0" w:line="255" w:lineRule="auto"/>
        <w:tabs>
          <w:tab w:leader="none" w:pos="979"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Minimum Bonus Compensation Deferral Election</w:t>
      </w:r>
      <w:r>
        <w:rPr>
          <w:rFonts w:ascii="Arial" w:cs="Arial" w:eastAsia="Arial" w:hAnsi="Arial"/>
          <w:sz w:val="20"/>
          <w:szCs w:val="20"/>
          <w:color w:val="auto"/>
        </w:rPr>
        <w:t>. The minimum deferral election percentage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make for a Plan Year with respect to Bonus Compensation is 1% of such Eligible Employee’s Bonus for a Plan Year.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84" w:lineRule="exact"/>
        <w:rPr>
          <w:sz w:val="20"/>
          <w:szCs w:val="20"/>
          <w:color w:val="auto"/>
        </w:rPr>
      </w:pPr>
    </w:p>
    <w:p>
      <w:pPr>
        <w:ind w:left="980" w:hanging="324"/>
        <w:spacing w:after="0" w:line="271" w:lineRule="auto"/>
        <w:tabs>
          <w:tab w:leader="none" w:pos="968"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Maximum Base Compensation Deferral Election</w:t>
      </w:r>
      <w:r>
        <w:rPr>
          <w:rFonts w:ascii="Arial" w:cs="Arial" w:eastAsia="Arial" w:hAnsi="Arial"/>
          <w:sz w:val="20"/>
          <w:szCs w:val="20"/>
          <w:color w:val="auto"/>
        </w:rPr>
        <w:t>. The maximum deferral election percentage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make for a Plan Year with respect to Base Compensation is 75% of Base Compensation.</w:t>
      </w:r>
    </w:p>
    <w:p>
      <w:pPr>
        <w:spacing w:after="0" w:line="155" w:lineRule="exact"/>
        <w:rPr>
          <w:rFonts w:ascii="Arial" w:cs="Arial" w:eastAsia="Arial" w:hAnsi="Arial"/>
          <w:sz w:val="20"/>
          <w:szCs w:val="20"/>
          <w:color w:val="auto"/>
        </w:rPr>
      </w:pPr>
    </w:p>
    <w:p>
      <w:pPr>
        <w:jc w:val="both"/>
        <w:ind w:left="980" w:hanging="324"/>
        <w:spacing w:after="0" w:line="255" w:lineRule="auto"/>
        <w:tabs>
          <w:tab w:leader="none" w:pos="979"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Maximum Bonus Compensation Deferral Election</w:t>
      </w:r>
      <w:r>
        <w:rPr>
          <w:rFonts w:ascii="Arial" w:cs="Arial" w:eastAsia="Arial" w:hAnsi="Arial"/>
          <w:sz w:val="20"/>
          <w:szCs w:val="20"/>
          <w:color w:val="auto"/>
        </w:rPr>
        <w:t>. The maximum deferral election percentage an Eligible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make for a Plan Year with respect to Bonus Compensation is 100% of such Eligible Employee’s Bonus for a Plan Year.</w:t>
      </w:r>
    </w:p>
    <w:p>
      <w:pPr>
        <w:spacing w:after="0" w:line="171"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 xml:space="preserve">Timing of Election to Defer. </w:t>
      </w:r>
      <w:r>
        <w:rPr>
          <w:rFonts w:ascii="Arial" w:cs="Arial" w:eastAsia="Arial" w:hAnsi="Arial"/>
          <w:sz w:val="20"/>
          <w:szCs w:val="20"/>
          <w:color w:val="auto"/>
        </w:rPr>
        <w:t>Each Eligible Employee who desires to defer Compensation otherwise payable during a</w:t>
      </w:r>
      <w:r>
        <w:rPr>
          <w:rFonts w:ascii="Arial" w:cs="Arial" w:eastAsia="Arial" w:hAnsi="Arial"/>
          <w:sz w:val="20"/>
          <w:szCs w:val="20"/>
          <w:b w:val="1"/>
          <w:bCs w:val="1"/>
          <w:color w:val="auto"/>
        </w:rPr>
        <w:t xml:space="preserve"> </w:t>
      </w:r>
      <w:r>
        <w:rPr>
          <w:rFonts w:ascii="Arial" w:cs="Arial" w:eastAsia="Arial" w:hAnsi="Arial"/>
          <w:sz w:val="20"/>
          <w:szCs w:val="20"/>
          <w:color w:val="auto"/>
        </w:rPr>
        <w:t>Plan Year must execute a deferral agreement within the Election Period.</w:t>
      </w:r>
    </w:p>
    <w:p>
      <w:pPr>
        <w:spacing w:after="0" w:line="156"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20"/>
          <w:szCs w:val="20"/>
          <w:b w:val="1"/>
          <w:bCs w:val="1"/>
          <w:color w:val="auto"/>
        </w:rPr>
        <w:t xml:space="preserve">Election of Payment Schedule and Form of Payment. </w:t>
      </w:r>
      <w:r>
        <w:rPr>
          <w:rFonts w:ascii="Arial" w:cs="Arial" w:eastAsia="Arial" w:hAnsi="Arial"/>
          <w:sz w:val="20"/>
          <w:szCs w:val="20"/>
          <w:color w:val="auto"/>
        </w:rPr>
        <w:t>All elections of a payment schedule and a form of payment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made in accordance with rules and procedures established by the Administrator. At the time an Eligible Employee completes a deferral agreement during the Election Period, the Eligible Employee must elect a form of payment in which to receive such deferrals in a payment schedule permitted under Section 9.3 and may elect a Specified Payment Date that occurs during the Participant’s employment. If an Eligible Employee fails to elect a form of payment permitted under Section 9.3, then he shall be deemed to have elected a lump sum form of payment.</w:t>
      </w:r>
    </w:p>
    <w:p>
      <w:pPr>
        <w:spacing w:after="0" w:line="184"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20"/>
          <w:szCs w:val="20"/>
          <w:b w:val="1"/>
          <w:bCs w:val="1"/>
          <w:color w:val="auto"/>
        </w:rPr>
        <w:t xml:space="preserve">No Deferrals from Severance. </w:t>
      </w:r>
      <w:r>
        <w:rPr>
          <w:rFonts w:ascii="Arial" w:cs="Arial" w:eastAsia="Arial" w:hAnsi="Arial"/>
          <w:sz w:val="20"/>
          <w:szCs w:val="20"/>
          <w:color w:val="auto"/>
        </w:rPr>
        <w:t>Deferral elections shall not apply to severance or other amounts payable after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Separation from Service.</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ARTICLE 5 - EMPLOYER CONTRIBUTIONS</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5.1 Employer Contributions. </w:t>
      </w:r>
      <w:r>
        <w:rPr>
          <w:rFonts w:ascii="Arial" w:cs="Arial" w:eastAsia="Arial" w:hAnsi="Arial"/>
          <w:sz w:val="20"/>
          <w:szCs w:val="20"/>
          <w:color w:val="auto"/>
        </w:rPr>
        <w:t>The Employer may, in its sole discretion, make discretionary Employer credits (“Discretionary</w:t>
      </w:r>
      <w:r>
        <w:rPr>
          <w:rFonts w:ascii="Arial" w:cs="Arial" w:eastAsia="Arial" w:hAnsi="Arial"/>
          <w:sz w:val="20"/>
          <w:szCs w:val="20"/>
          <w:b w:val="1"/>
          <w:bCs w:val="1"/>
          <w:color w:val="auto"/>
        </w:rPr>
        <w:t xml:space="preserve"> </w:t>
      </w:r>
      <w:r>
        <w:rPr>
          <w:rFonts w:ascii="Arial" w:cs="Arial" w:eastAsia="Arial" w:hAnsi="Arial"/>
          <w:sz w:val="20"/>
          <w:szCs w:val="20"/>
          <w:color w:val="auto"/>
        </w:rPr>
        <w:t>Credits”) on behalf of any Eligible Participant. In its sole discretion, the Employer shall determine the Eligible Participants to be credited with any Discretionary Credit, the amount of any such Discretionary Credit and the vesting schedule applicable thereto (including any accelerated vesting thereof and the events of such acceleration). In addition, the Employer may permit the Participant to elect the timing and form of distribution of such Discretionary Credits, provided that any such election shall be made no later than the latest time permitted by Code Section 409A.</w:t>
      </w:r>
    </w:p>
    <w:p>
      <w:pPr>
        <w:spacing w:after="0" w:line="184"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ARTICLE 6 - ACCOUNTS AND CREDITS</w:t>
      </w:r>
    </w:p>
    <w:p>
      <w:pPr>
        <w:spacing w:after="0" w:line="216"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20"/>
          <w:szCs w:val="20"/>
          <w:b w:val="1"/>
          <w:bCs w:val="1"/>
          <w:color w:val="auto"/>
        </w:rPr>
        <w:t xml:space="preserve">Establishment of Account. </w:t>
      </w:r>
      <w:r>
        <w:rPr>
          <w:rFonts w:ascii="Arial" w:cs="Arial" w:eastAsia="Arial" w:hAnsi="Arial"/>
          <w:sz w:val="20"/>
          <w:szCs w:val="20"/>
          <w:color w:val="auto"/>
        </w:rPr>
        <w:t>For accounting and computational purposes only, the Administrator will establish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will establish and maintain such other records and accounts, as it decides in its discretion to be reasonably required or appropriate to discharge its duties under the Plan.</w:t>
      </w:r>
    </w:p>
    <w:p>
      <w:pPr>
        <w:spacing w:after="0" w:line="184"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20"/>
          <w:szCs w:val="20"/>
          <w:b w:val="1"/>
          <w:bCs w:val="1"/>
          <w:color w:val="auto"/>
        </w:rPr>
        <w:t xml:space="preserve">Credits to Account. </w:t>
      </w:r>
      <w:r>
        <w:rPr>
          <w:rFonts w:ascii="Arial" w:cs="Arial" w:eastAsia="Arial" w:hAnsi="Arial"/>
          <w:sz w:val="20"/>
          <w:szCs w:val="20"/>
          <w:color w:val="auto"/>
        </w:rPr>
        <w:t>A Participant’s Account will be credited for each Plan Year with the amount of his elective deferrals</w:t>
      </w:r>
      <w:r>
        <w:rPr>
          <w:rFonts w:ascii="Arial" w:cs="Arial" w:eastAsia="Arial" w:hAnsi="Arial"/>
          <w:sz w:val="20"/>
          <w:szCs w:val="20"/>
          <w:b w:val="1"/>
          <w:bCs w:val="1"/>
          <w:color w:val="auto"/>
        </w:rPr>
        <w:t xml:space="preserve"> </w:t>
      </w:r>
      <w:r>
        <w:rPr>
          <w:rFonts w:ascii="Arial" w:cs="Arial" w:eastAsia="Arial" w:hAnsi="Arial"/>
          <w:sz w:val="20"/>
          <w:szCs w:val="20"/>
          <w:color w:val="auto"/>
        </w:rPr>
        <w:t>under Section 4.1 at the time the amount subject to the deferral election would otherwise have been payable to the Participant and the amount of Employer contributions treated as allocated on his behalf under Article 5.</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84"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ARTICLE 7 - INVESTMENT OF CONTRIBUTIONS</w:t>
      </w:r>
    </w:p>
    <w:p>
      <w:pPr>
        <w:spacing w:after="0" w:line="21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20"/>
          <w:szCs w:val="20"/>
          <w:b w:val="1"/>
          <w:bCs w:val="1"/>
          <w:color w:val="auto"/>
        </w:rPr>
        <w:t xml:space="preserve">Investment Options. </w:t>
      </w:r>
      <w:r>
        <w:rPr>
          <w:rFonts w:ascii="Arial" w:cs="Arial" w:eastAsia="Arial" w:hAnsi="Arial"/>
          <w:sz w:val="20"/>
          <w:szCs w:val="20"/>
          <w:color w:val="auto"/>
        </w:rPr>
        <w:t>The amount credited to each Account shall be treated as invested in the investment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selected in advance by the Administrator. The Administrator, in its sole discretion, shall be permitted to add or remove investment options from the Plan menu from time to time, provided that any such additions or removals of investment options shall not be effective with respect to any period prior to the effective date of such change.</w:t>
      </w:r>
    </w:p>
    <w:p>
      <w:pPr>
        <w:spacing w:after="0" w:line="17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b w:val="1"/>
          <w:bCs w:val="1"/>
          <w:color w:val="auto"/>
        </w:rPr>
        <w:t xml:space="preserve">Investment Allocations. </w:t>
      </w:r>
      <w:r>
        <w:rPr>
          <w:rFonts w:ascii="Arial" w:cs="Arial" w:eastAsia="Arial" w:hAnsi="Arial"/>
          <w:sz w:val="20"/>
          <w:szCs w:val="20"/>
          <w:color w:val="auto"/>
        </w:rPr>
        <w:t>A Participant’s investment allocation constitutes a deemed, not actual, investment among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options comprising the investment menu. At no time shall a Participant have any real or beneficial ownership in any investment option included in the investment menu, nor shall the Employer or any trustee acting on its behalf have any obligation to purchase actual securities as a result of a Participant’s investment allocation. A Participant’s investment allocation shall be used solely for purposes of adjusting the value of a Participant’s Account.</w:t>
      </w:r>
    </w:p>
    <w:p>
      <w:pPr>
        <w:spacing w:after="0" w:line="231" w:lineRule="exact"/>
        <w:rPr>
          <w:sz w:val="20"/>
          <w:szCs w:val="20"/>
          <w:color w:val="auto"/>
        </w:rPr>
      </w:pPr>
    </w:p>
    <w:p>
      <w:pPr>
        <w:jc w:val="both"/>
        <w:ind w:left="980" w:hanging="324"/>
        <w:spacing w:after="0" w:line="243" w:lineRule="auto"/>
        <w:tabs>
          <w:tab w:leader="none" w:pos="979"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Participant shall specify an investment allocation for each of his Accounts in accordance with procedures established by the Administrator. Except as otherwise provided by the Administrator, the following provisions of this Section 7.2 shall apply to allocations under the Plan.</w:t>
      </w:r>
    </w:p>
    <w:p>
      <w:pPr>
        <w:spacing w:after="0" w:line="205" w:lineRule="exact"/>
        <w:rPr>
          <w:rFonts w:ascii="Arial" w:cs="Arial" w:eastAsia="Arial" w:hAnsi="Arial"/>
          <w:sz w:val="20"/>
          <w:szCs w:val="20"/>
          <w:color w:val="auto"/>
        </w:rPr>
      </w:pPr>
    </w:p>
    <w:p>
      <w:pPr>
        <w:jc w:val="both"/>
        <w:ind w:left="1620" w:hanging="316"/>
        <w:spacing w:after="0" w:line="243" w:lineRule="auto"/>
        <w:tabs>
          <w:tab w:leader="none" w:pos="1607"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Allocation among the investment options must be designated in increments of 1%. The Participant’s investment allocation will become effective on the same business day or, in the case of investment allocations received after a time specified by the Administrator, the next business day.</w:t>
      </w:r>
    </w:p>
    <w:p>
      <w:pPr>
        <w:spacing w:after="0" w:line="205" w:lineRule="exact"/>
        <w:rPr>
          <w:rFonts w:ascii="Arial" w:cs="Arial" w:eastAsia="Arial" w:hAnsi="Arial"/>
          <w:sz w:val="20"/>
          <w:szCs w:val="20"/>
          <w:color w:val="auto"/>
        </w:rPr>
      </w:pPr>
    </w:p>
    <w:p>
      <w:pPr>
        <w:jc w:val="both"/>
        <w:ind w:left="1620" w:hanging="316"/>
        <w:spacing w:after="0" w:line="258" w:lineRule="auto"/>
        <w:tabs>
          <w:tab w:leader="none" w:pos="161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 Participant may change an investment allocation on any business day, both with respect to future credits to the Plan and with respect to existing Accounts, in accordance with procedures adopted by the Administrator. Changes shall become effective on the same business day or, in the case of investment allocations received after a time specified by the Administrator, the next business day, and shall be applied prospectively.</w:t>
      </w:r>
    </w:p>
    <w:p>
      <w:pPr>
        <w:spacing w:after="0" w:line="171"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9"/>
          <w:szCs w:val="19"/>
          <w:b w:val="1"/>
          <w:bCs w:val="1"/>
          <w:color w:val="auto"/>
        </w:rPr>
        <w:t xml:space="preserve">Adjustment of Accounts. </w:t>
      </w:r>
      <w:r>
        <w:rPr>
          <w:rFonts w:ascii="Arial" w:cs="Arial" w:eastAsia="Arial" w:hAnsi="Arial"/>
          <w:sz w:val="19"/>
          <w:szCs w:val="19"/>
          <w:color w:val="auto"/>
        </w:rPr>
        <w:t>The amount credited to each Account shall be adjusted for hypothetical investment earnings,</w:t>
      </w:r>
      <w:r>
        <w:rPr>
          <w:rFonts w:ascii="Arial" w:cs="Arial" w:eastAsia="Arial" w:hAnsi="Arial"/>
          <w:sz w:val="19"/>
          <w:szCs w:val="19"/>
          <w:b w:val="1"/>
          <w:bCs w:val="1"/>
          <w:color w:val="auto"/>
        </w:rPr>
        <w:t xml:space="preserve"> </w:t>
      </w:r>
      <w:r>
        <w:rPr>
          <w:rFonts w:ascii="Arial" w:cs="Arial" w:eastAsia="Arial" w:hAnsi="Arial"/>
          <w:sz w:val="19"/>
          <w:szCs w:val="19"/>
          <w:color w:val="auto"/>
        </w:rPr>
        <w:t>expenses, gains or losses in an amount equal to the earnings, expenses, gains or losses attributable to the investment options selected by the Participant from among the investment options provided in Section 7.1.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w:t>
      </w:r>
    </w:p>
    <w:p>
      <w:pPr>
        <w:spacing w:after="0" w:line="3" w:lineRule="exact"/>
        <w:rPr>
          <w:sz w:val="20"/>
          <w:szCs w:val="20"/>
          <w:color w:val="auto"/>
        </w:rPr>
      </w:pPr>
    </w:p>
    <w:p>
      <w:pPr>
        <w:jc w:val="both"/>
        <w:ind w:left="660" w:hanging="4"/>
        <w:spacing w:after="0" w:line="243" w:lineRule="auto"/>
        <w:tabs>
          <w:tab w:leader="none" w:pos="985" w:val="left"/>
        </w:tabs>
        <w:numPr>
          <w:ilvl w:val="0"/>
          <w:numId w:val="31"/>
        </w:numPr>
        <w:rPr>
          <w:rFonts w:ascii="Arial" w:cs="Arial" w:eastAsia="Arial" w:hAnsi="Arial"/>
          <w:sz w:val="20"/>
          <w:szCs w:val="20"/>
          <w:color w:val="auto"/>
        </w:rPr>
      </w:pPr>
      <w:r>
        <w:rPr>
          <w:rFonts w:ascii="Arial" w:cs="Arial" w:eastAsia="Arial" w:hAnsi="Arial"/>
          <w:sz w:val="20"/>
          <w:szCs w:val="20"/>
          <w:color w:val="auto"/>
        </w:rPr>
        <w:t>amounts credited pursuant to Section 6.2; and (c) distributions or withdrawals. In addition, each Account may be adjusted for its allocable share of the hypothetical costs and expenses associated with the maintenance of the hypothetical investments provided in Section 7.1.</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4"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ARTICLE 8 - RIGHT TO BENEFITS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Vesting.</w:t>
      </w:r>
    </w:p>
    <w:p>
      <w:pPr>
        <w:spacing w:after="0" w:line="240" w:lineRule="exact"/>
        <w:rPr>
          <w:sz w:val="20"/>
          <w:szCs w:val="20"/>
          <w:color w:val="auto"/>
        </w:rPr>
      </w:pPr>
    </w:p>
    <w:p>
      <w:pPr>
        <w:ind w:left="980" w:right="20" w:hanging="324"/>
        <w:spacing w:after="0" w:line="246" w:lineRule="auto"/>
        <w:tabs>
          <w:tab w:leader="none" w:pos="979"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Participant, at all times, has a 100% nonforfeitable interest in the amounts credited to his Account attributable to his elective deferrals made in accordance with Section 4.1.</w:t>
      </w:r>
    </w:p>
    <w:p>
      <w:pPr>
        <w:spacing w:after="0" w:line="203" w:lineRule="exact"/>
        <w:rPr>
          <w:rFonts w:ascii="Arial" w:cs="Arial" w:eastAsia="Arial" w:hAnsi="Arial"/>
          <w:sz w:val="20"/>
          <w:szCs w:val="20"/>
          <w:color w:val="auto"/>
        </w:rPr>
      </w:pPr>
    </w:p>
    <w:p>
      <w:pPr>
        <w:jc w:val="both"/>
        <w:ind w:left="980" w:hanging="324"/>
        <w:spacing w:after="0"/>
        <w:tabs>
          <w:tab w:leader="none" w:pos="979"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Participant’s right to the amounts credited to his Account attributable to Discretionary Credits made in accordance with Article 5, if any, shall vest at to 100% of the applicable Discretionary Credit on the date that such Participant achieves two Years of Service (each, an “Employer Contribution Vesting Date”). Upon a Separation from Service prior to an Employer Contribution Vesting Date, the Participant shall forfeit the nonvested portion of his Account. Notwithstanding the foregoing, a Participant’s rights to the amounts credited to his Account attributable to Discretionary Credits made in accordance with Article 5, if any, shall vest as to 100% of the applicable Discretionary Credit in the event of such Participant’s death or Disability, or upon the occurrence of a Change in Control.</w:t>
      </w:r>
    </w:p>
    <w:p>
      <w:pPr>
        <w:spacing w:after="0" w:line="189"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20"/>
          <w:szCs w:val="20"/>
          <w:b w:val="1"/>
          <w:bCs w:val="1"/>
          <w:color w:val="auto"/>
        </w:rPr>
        <w:t xml:space="preserve">Death; Disability. </w:t>
      </w:r>
      <w:r>
        <w:rPr>
          <w:rFonts w:ascii="Arial" w:cs="Arial" w:eastAsia="Arial" w:hAnsi="Arial"/>
          <w:sz w:val="20"/>
          <w:szCs w:val="20"/>
          <w:color w:val="auto"/>
        </w:rPr>
        <w:t>A Participant may designate a Beneficiary or Beneficiaries, or change any prior designation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Beneficiary or Beneficiaries in accordance with rules and procedures established by the Administrator.</w:t>
      </w:r>
    </w:p>
    <w:p>
      <w:pPr>
        <w:spacing w:after="0" w:line="180"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estate (such estate shall be deemed to be the Beneficiary for purposes of the Plan) in accordance with the provisions of Article 9.</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ARTICLE 9 - DISTRIBUTION OF BENEFITS</w:t>
      </w:r>
    </w:p>
    <w:p>
      <w:pPr>
        <w:spacing w:after="0" w:line="216"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20"/>
          <w:szCs w:val="20"/>
          <w:b w:val="1"/>
          <w:bCs w:val="1"/>
          <w:color w:val="auto"/>
        </w:rPr>
        <w:t xml:space="preserve">Amount of Benefits. </w:t>
      </w:r>
      <w:r>
        <w:rPr>
          <w:rFonts w:ascii="Arial" w:cs="Arial" w:eastAsia="Arial" w:hAnsi="Arial"/>
          <w:sz w:val="20"/>
          <w:szCs w:val="20"/>
          <w:color w:val="auto"/>
        </w:rPr>
        <w:t>The vested amount credited to a Participant’s Account as determined under Articles 6, 7 and 8</w:t>
      </w:r>
      <w:r>
        <w:rPr>
          <w:rFonts w:ascii="Arial" w:cs="Arial" w:eastAsia="Arial" w:hAnsi="Arial"/>
          <w:sz w:val="20"/>
          <w:szCs w:val="20"/>
          <w:b w:val="1"/>
          <w:bCs w:val="1"/>
          <w:color w:val="auto"/>
        </w:rPr>
        <w:t xml:space="preserve"> </w:t>
      </w:r>
      <w:r>
        <w:rPr>
          <w:rFonts w:ascii="Arial" w:cs="Arial" w:eastAsia="Arial" w:hAnsi="Arial"/>
          <w:sz w:val="20"/>
          <w:szCs w:val="20"/>
          <w:color w:val="auto"/>
        </w:rPr>
        <w:t>shall determine and constitute the basis for the value of benefits payable to the Participant under the Plan.</w:t>
      </w:r>
    </w:p>
    <w:p>
      <w:pPr>
        <w:spacing w:after="0" w:line="156"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9"/>
          <w:szCs w:val="19"/>
          <w:b w:val="1"/>
          <w:bCs w:val="1"/>
          <w:color w:val="auto"/>
        </w:rPr>
        <w:t xml:space="preserve">Method and Timing of Distributions. </w:t>
      </w:r>
      <w:r>
        <w:rPr>
          <w:rFonts w:ascii="Arial" w:cs="Arial" w:eastAsia="Arial" w:hAnsi="Arial"/>
          <w:sz w:val="19"/>
          <w:szCs w:val="19"/>
          <w:color w:val="auto"/>
        </w:rPr>
        <w:t>Except as otherwise expressly provided herein, amounts credited to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Account for each Plan Year shall be paid to the Participant in accordance with the Participant’s distribution election under Article 4. Distributions shall commence to be paid to the Participant as soon as administratively feasible following the Distribution Date, but in no event later than the time prescribed by Treas. Reg. Section 1.409A-3(d). A Participant may make a one (1) time change to his or her distribution election for a Plan Year to elect a later Specified Payment Date in accordance with this Section 9.2 and may make a one (1) time change to his or her distribution election for a Plan Year to elect a different payment schedule in accordance with this Section 9.2; provided, however, that an election to defer payment or change the form of distribution shall not take effect until at least 12 months after the date on which the election is made and shall be effective only if (i) the election is made at least twelve (12) months before the Specified Payment Date or payment schedule would otherwise commence or occur, and (ii) the Participant elects a new Specified Payment Date or payment schedule that delays the Specified Payment Date or payment schedule at least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8"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five (5) years. For purposes of this Section 9.2, a series of installment payments is always treated as a single payment and not as a series of separate payments.</w:t>
      </w:r>
    </w:p>
    <w:p>
      <w:pPr>
        <w:spacing w:after="0" w:line="207"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20"/>
          <w:szCs w:val="20"/>
          <w:b w:val="1"/>
          <w:bCs w:val="1"/>
          <w:color w:val="auto"/>
        </w:rPr>
        <w:t xml:space="preserve">Form of Distribution. </w:t>
      </w:r>
      <w:r>
        <w:rPr>
          <w:rFonts w:ascii="Arial" w:cs="Arial" w:eastAsia="Arial" w:hAnsi="Arial"/>
          <w:sz w:val="20"/>
          <w:szCs w:val="20"/>
          <w:color w:val="auto"/>
        </w:rPr>
        <w:t>Vested amounts credited to a Participant’s Account shall, at the Participant’s election specified in</w:t>
      </w:r>
      <w:r>
        <w:rPr>
          <w:rFonts w:ascii="Arial" w:cs="Arial" w:eastAsia="Arial" w:hAnsi="Arial"/>
          <w:sz w:val="20"/>
          <w:szCs w:val="20"/>
          <w:b w:val="1"/>
          <w:bCs w:val="1"/>
          <w:color w:val="auto"/>
        </w:rPr>
        <w:t xml:space="preserve"> </w:t>
      </w:r>
      <w:r>
        <w:rPr>
          <w:rFonts w:ascii="Arial" w:cs="Arial" w:eastAsia="Arial" w:hAnsi="Arial"/>
          <w:sz w:val="20"/>
          <w:szCs w:val="20"/>
          <w:color w:val="auto"/>
        </w:rPr>
        <w:t>his deferral agreement in accordance with Article 4, be payable to the Participant in a single sum cash payment or in substantially equal annual cash installments over not less than two (2) years and not more than ten (10) years. Annual installment payments shall be calculated by dividing the Account balance by the remaining annual installments to be made.</w:t>
      </w:r>
    </w:p>
    <w:p>
      <w:pPr>
        <w:spacing w:after="0" w:line="221"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9"/>
          <w:szCs w:val="19"/>
          <w:b w:val="1"/>
          <w:bCs w:val="1"/>
          <w:color w:val="auto"/>
        </w:rPr>
        <w:t xml:space="preserve">Payment Election Overrides. </w:t>
      </w:r>
      <w:r>
        <w:rPr>
          <w:rFonts w:ascii="Arial" w:cs="Arial" w:eastAsia="Arial" w:hAnsi="Arial"/>
          <w:sz w:val="19"/>
          <w:szCs w:val="19"/>
          <w:color w:val="auto"/>
        </w:rPr>
        <w:t>Notwithstanding the Participant’s election as to the time and form of payment,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death or Disability, the Participant’s entire Account (including any amounts with respect to which installment payments have previously commenced) shall be paid to the Participant or his Beneficiary in a single sum cash payment.</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Notwithstanding the Participant’s election as to the time and form of payment, in the event of a</w:t>
      </w:r>
      <w:r>
        <w:rPr>
          <w:rFonts w:ascii="Arial" w:cs="Arial" w:eastAsia="Arial" w:hAnsi="Arial"/>
          <w:sz w:val="20"/>
          <w:szCs w:val="20"/>
          <w:b w:val="1"/>
          <w:bCs w:val="1"/>
          <w:color w:val="auto"/>
        </w:rPr>
        <w:t xml:space="preserve"> </w:t>
      </w:r>
      <w:r>
        <w:rPr>
          <w:rFonts w:ascii="Arial" w:cs="Arial" w:eastAsia="Arial" w:hAnsi="Arial"/>
          <w:sz w:val="20"/>
          <w:szCs w:val="20"/>
          <w:color w:val="auto"/>
        </w:rPr>
        <w:t>Change in Control, the Participant’s entire Account (including any amounts with respect to which installment payments have previously commenced) shall be paid to the Participant in a single sum cash payment upon the Change in Control.</w:t>
      </w:r>
    </w:p>
    <w:p>
      <w:pPr>
        <w:spacing w:after="0" w:line="222"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A Change in Control, for purposes of the Plan, will occur upon a change in the ownership of the Plan Sponsor, a change in the effective control of the Plan Sponsor or a change in the ownership of a substantial portion of the assets of the Plan Sponsor. The Plan Sponsor, for this purpose, includes any corporation identified in this Section 9.6.</w:t>
      </w:r>
    </w:p>
    <w:p>
      <w:pPr>
        <w:spacing w:after="0" w:line="206"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If a Participant continues to make deferrals in accordance with Article 4 after he has received a distribution due to a Change in Control, the residual amount payable to the Participant shall be paid at the time and in the form specified in the elections he makes in accordance with Article 4 or upon his death or Disability as provided in Article 8.</w:t>
      </w:r>
    </w:p>
    <w:p>
      <w:pPr>
        <w:spacing w:after="0" w:line="20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Whether a Change in Control has occurred will be determined by the Administrator in accordance with the rules and definitions set forth in this Section 9.6. A distribution to the Participant will be treated as occurring upon a Change in Control if the Plan Sponsor terminates the Plan in accordance with Section 10.2 and distributes the Participant’s benefits within twelve months of a Change in Control as provided in Section 10.3.</w:t>
      </w:r>
    </w:p>
    <w:p>
      <w:pPr>
        <w:spacing w:after="0" w:line="186" w:lineRule="exact"/>
        <w:rPr>
          <w:sz w:val="20"/>
          <w:szCs w:val="20"/>
          <w:color w:val="auto"/>
        </w:rPr>
      </w:pPr>
    </w:p>
    <w:p>
      <w:pPr>
        <w:jc w:val="both"/>
        <w:ind w:left="980" w:hanging="324"/>
        <w:spacing w:after="0" w:line="244" w:lineRule="auto"/>
        <w:tabs>
          <w:tab w:leader="none" w:pos="979"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Relevant Corporations. </w:t>
      </w:r>
      <w:r>
        <w:rPr>
          <w:rFonts w:ascii="Arial" w:cs="Arial" w:eastAsia="Arial" w:hAnsi="Arial"/>
          <w:sz w:val="20"/>
          <w:szCs w:val="20"/>
          <w:color w:val="auto"/>
        </w:rPr>
        <w:t>To constitute a Change in Control for purposes of the Plan, the event must relate to (i) the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8" w:lineRule="exact"/>
        <w:rPr>
          <w:sz w:val="20"/>
          <w:szCs w:val="20"/>
          <w:color w:val="auto"/>
        </w:rPr>
      </w:pPr>
    </w:p>
    <w:p>
      <w:pPr>
        <w:jc w:val="both"/>
        <w:ind w:left="324"/>
        <w:spacing w:after="0" w:line="243" w:lineRule="auto"/>
        <w:rPr>
          <w:sz w:val="20"/>
          <w:szCs w:val="20"/>
          <w:color w:val="auto"/>
        </w:rPr>
      </w:pPr>
      <w:r>
        <w:rPr>
          <w:rFonts w:ascii="Arial" w:cs="Arial" w:eastAsia="Arial" w:hAnsi="Arial"/>
          <w:sz w:val="20"/>
          <w:szCs w:val="20"/>
          <w:color w:val="auto"/>
        </w:rPr>
        <w:t>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w:t>
      </w:r>
    </w:p>
    <w:p>
      <w:pPr>
        <w:spacing w:after="0" w:line="209" w:lineRule="exact"/>
        <w:rPr>
          <w:sz w:val="20"/>
          <w:szCs w:val="20"/>
          <w:color w:val="auto"/>
        </w:rPr>
      </w:pPr>
    </w:p>
    <w:p>
      <w:pPr>
        <w:jc w:val="both"/>
        <w:ind w:left="324" w:hanging="324"/>
        <w:spacing w:after="0" w:line="241" w:lineRule="auto"/>
        <w:tabs>
          <w:tab w:leader="none" w:pos="318" w:val="left"/>
        </w:tabs>
        <w:numPr>
          <w:ilvl w:val="0"/>
          <w:numId w:val="34"/>
        </w:numPr>
        <w:rPr>
          <w:rFonts w:ascii="Arial" w:cs="Arial" w:eastAsia="Arial" w:hAnsi="Arial"/>
          <w:sz w:val="22"/>
          <w:szCs w:val="22"/>
          <w:color w:val="auto"/>
        </w:rPr>
      </w:pPr>
      <w:r>
        <w:rPr>
          <w:rFonts w:ascii="Arial" w:cs="Arial" w:eastAsia="Arial" w:hAnsi="Arial"/>
          <w:sz w:val="20"/>
          <w:szCs w:val="20"/>
          <w:b w:val="1"/>
          <w:bCs w:val="1"/>
          <w:color w:val="auto"/>
        </w:rPr>
        <w:t xml:space="preserve">Stock Ownership. </w:t>
      </w:r>
      <w:r>
        <w:rPr>
          <w:rFonts w:ascii="Arial" w:cs="Arial" w:eastAsia="Arial" w:hAnsi="Arial"/>
          <w:sz w:val="20"/>
          <w:szCs w:val="20"/>
          <w:color w:val="auto"/>
        </w:rPr>
        <w:t>Code Section 318(a) applies for purposes of determining stock ownership. Stock underlying a</w:t>
      </w:r>
      <w:r>
        <w:rPr>
          <w:rFonts w:ascii="Arial" w:cs="Arial" w:eastAsia="Arial" w:hAnsi="Arial"/>
          <w:sz w:val="20"/>
          <w:szCs w:val="20"/>
          <w:b w:val="1"/>
          <w:bCs w:val="1"/>
          <w:color w:val="auto"/>
        </w:rPr>
        <w:t xml:space="preserve"> </w:t>
      </w:r>
      <w:r>
        <w:rPr>
          <w:rFonts w:ascii="Arial" w:cs="Arial" w:eastAsia="Arial" w:hAnsi="Arial"/>
          <w:sz w:val="20"/>
          <w:szCs w:val="20"/>
          <w:color w:val="auto"/>
        </w:rPr>
        <w:t>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Treasury Regulation Section 1.83-3(b) and (j)) the stock underlying the option is not treated as owned by the individual who holds the option.</w:t>
      </w:r>
    </w:p>
    <w:p>
      <w:pPr>
        <w:spacing w:after="0" w:line="212" w:lineRule="exact"/>
        <w:rPr>
          <w:rFonts w:ascii="Arial" w:cs="Arial" w:eastAsia="Arial" w:hAnsi="Arial"/>
          <w:sz w:val="22"/>
          <w:szCs w:val="22"/>
          <w:color w:val="auto"/>
        </w:rPr>
      </w:pPr>
    </w:p>
    <w:p>
      <w:pPr>
        <w:jc w:val="both"/>
        <w:ind w:left="324" w:hanging="324"/>
        <w:spacing w:after="0" w:line="239" w:lineRule="auto"/>
        <w:tabs>
          <w:tab w:leader="none" w:pos="319" w:val="left"/>
        </w:tabs>
        <w:numPr>
          <w:ilvl w:val="0"/>
          <w:numId w:val="34"/>
        </w:numPr>
        <w:rPr>
          <w:rFonts w:ascii="Arial" w:cs="Arial" w:eastAsia="Arial" w:hAnsi="Arial"/>
          <w:sz w:val="22"/>
          <w:szCs w:val="22"/>
          <w:color w:val="auto"/>
        </w:rPr>
      </w:pPr>
      <w:r>
        <w:rPr>
          <w:rFonts w:ascii="Arial" w:cs="Arial" w:eastAsia="Arial" w:hAnsi="Arial"/>
          <w:sz w:val="20"/>
          <w:szCs w:val="20"/>
          <w:b w:val="1"/>
          <w:bCs w:val="1"/>
          <w:color w:val="auto"/>
        </w:rPr>
        <w:t xml:space="preserve">Change in the Ownership of a Corporation. </w:t>
      </w:r>
      <w:r>
        <w:rPr>
          <w:rFonts w:ascii="Arial" w:cs="Arial" w:eastAsia="Arial" w:hAnsi="Arial"/>
          <w:sz w:val="20"/>
          <w:szCs w:val="20"/>
          <w:color w:val="auto"/>
        </w:rPr>
        <w:t>A change in the ownership of a corporation occurs on the date that</w:t>
      </w:r>
      <w:r>
        <w:rPr>
          <w:rFonts w:ascii="Arial" w:cs="Arial" w:eastAsia="Arial" w:hAnsi="Arial"/>
          <w:sz w:val="20"/>
          <w:szCs w:val="20"/>
          <w:b w:val="1"/>
          <w:bCs w:val="1"/>
          <w:color w:val="auto"/>
        </w:rPr>
        <w:t xml:space="preserve"> </w:t>
      </w:r>
      <w:r>
        <w:rPr>
          <w:rFonts w:ascii="Arial" w:cs="Arial" w:eastAsia="Arial" w:hAnsi="Arial"/>
          <w:sz w:val="20"/>
          <w:szCs w:val="20"/>
          <w:color w:val="auto"/>
        </w:rPr>
        <w:t>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9.6(d)). An increase in the percentage of stock owned by any one person, or persons acting as a group, as a result of a transaction in which the corporation acquires its stock in exchange for property will be treated as an acquisition of stock. Section 9.6(c) applies only when there is a transfer of stock of a corporation (or issuance of stock of a corporation) and stock in such corporation remains outstanding after the transaction. For purposes of this Section 9.6(c), persons will not be considered to be acting as a group solely because they purchase or own stock of the same corporation at the same time or 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w:t>
      </w:r>
    </w:p>
    <w:p>
      <w:pPr>
        <w:spacing w:after="0" w:line="229" w:lineRule="exact"/>
        <w:rPr>
          <w:rFonts w:ascii="Arial" w:cs="Arial" w:eastAsia="Arial" w:hAnsi="Arial"/>
          <w:sz w:val="22"/>
          <w:szCs w:val="22"/>
          <w:color w:val="auto"/>
        </w:rPr>
      </w:pPr>
    </w:p>
    <w:p>
      <w:pPr>
        <w:jc w:val="both"/>
        <w:ind w:left="324" w:hanging="324"/>
        <w:spacing w:after="0" w:line="241" w:lineRule="auto"/>
        <w:tabs>
          <w:tab w:leader="none" w:pos="318" w:val="left"/>
        </w:tabs>
        <w:numPr>
          <w:ilvl w:val="0"/>
          <w:numId w:val="34"/>
        </w:numPr>
        <w:rPr>
          <w:rFonts w:ascii="Arial" w:cs="Arial" w:eastAsia="Arial" w:hAnsi="Arial"/>
          <w:sz w:val="22"/>
          <w:szCs w:val="22"/>
          <w:color w:val="auto"/>
        </w:rPr>
      </w:pPr>
      <w:r>
        <w:rPr>
          <w:rFonts w:ascii="Arial" w:cs="Arial" w:eastAsia="Arial" w:hAnsi="Arial"/>
          <w:sz w:val="20"/>
          <w:szCs w:val="20"/>
          <w:b w:val="1"/>
          <w:bCs w:val="1"/>
          <w:color w:val="auto"/>
        </w:rPr>
        <w:t xml:space="preserve">Change in the effective control of a corporation. </w:t>
      </w:r>
      <w:r>
        <w:rPr>
          <w:rFonts w:ascii="Arial" w:cs="Arial" w:eastAsia="Arial" w:hAnsi="Arial"/>
          <w:sz w:val="20"/>
          <w:szCs w:val="20"/>
          <w:color w:val="auto"/>
        </w:rPr>
        <w:t>A change in the effective control of a corporation occurs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584"/>
          </w:cols>
          <w:pgMar w:left="976" w:top="1440" w:right="339" w:bottom="1440" w:gutter="0" w:footer="0" w:header="0"/>
        </w:sectPr>
      </w:pPr>
    </w:p>
    <w:bookmarkStart w:id="71" w:name="page72"/>
    <w:bookmarkEnd w:id="71"/>
    <w:p>
      <w:pPr>
        <w:spacing w:after="0" w:line="208" w:lineRule="exact"/>
        <w:rPr>
          <w:sz w:val="20"/>
          <w:szCs w:val="20"/>
          <w:color w:val="auto"/>
        </w:rPr>
      </w:pPr>
    </w:p>
    <w:p>
      <w:pPr>
        <w:jc w:val="both"/>
        <w:ind w:left="324"/>
        <w:spacing w:after="0" w:line="239" w:lineRule="auto"/>
        <w:rPr>
          <w:sz w:val="20"/>
          <w:szCs w:val="20"/>
          <w:color w:val="auto"/>
        </w:rPr>
      </w:pPr>
      <w:r>
        <w:rPr>
          <w:rFonts w:ascii="Arial" w:cs="Arial" w:eastAsia="Arial" w:hAnsi="Arial"/>
          <w:sz w:val="20"/>
          <w:szCs w:val="20"/>
          <w:color w:val="auto"/>
        </w:rPr>
        <w:t>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9.6(a) for which no other corporation is a majority shareholder for purposes of Section 9.6(a). In the absence of an event described in Section 9.6(d)(i)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9.6(c) or a change in the ownership of a substantial portion of the assets of such corporation as described in Section 9.6(e). If any one person, or more than one person acting as a group, is considered to effectively control a corporation within the meaning of this Section 9.6(d), the acquisition of additional control of the corporation by the same person or persons is not considered to cause a change in the effective control of the corporation or to cause a change in the ownership of the corporation within the meaning of Section 9.6(c). For purposes of this Section 9.6(d), persons will or will not be considered to be acting as a group in accordance with rules similar to those set forth in Section 9.6(c)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228" w:lineRule="exact"/>
        <w:rPr>
          <w:sz w:val="20"/>
          <w:szCs w:val="20"/>
          <w:color w:val="auto"/>
        </w:rPr>
      </w:pPr>
    </w:p>
    <w:p>
      <w:pPr>
        <w:jc w:val="both"/>
        <w:ind w:left="324" w:hanging="324"/>
        <w:spacing w:after="0"/>
        <w:tabs>
          <w:tab w:leader="none" w:pos="318" w:val="left"/>
        </w:tabs>
        <w:numPr>
          <w:ilvl w:val="0"/>
          <w:numId w:val="35"/>
        </w:numPr>
        <w:rPr>
          <w:rFonts w:ascii="Arial" w:cs="Arial" w:eastAsia="Arial" w:hAnsi="Arial"/>
          <w:sz w:val="22"/>
          <w:szCs w:val="22"/>
          <w:color w:val="auto"/>
        </w:rPr>
      </w:pPr>
      <w:r>
        <w:rPr>
          <w:rFonts w:ascii="Arial" w:cs="Arial" w:eastAsia="Arial" w:hAnsi="Arial"/>
          <w:sz w:val="20"/>
          <w:szCs w:val="20"/>
          <w:b w:val="1"/>
          <w:bCs w:val="1"/>
          <w:color w:val="auto"/>
        </w:rPr>
        <w:t xml:space="preserve">Change in the ownership of a substantial portion of a corporation’s assets. </w:t>
      </w:r>
      <w:r>
        <w:rPr>
          <w:rFonts w:ascii="Arial" w:cs="Arial" w:eastAsia="Arial" w:hAnsi="Arial"/>
          <w:sz w:val="20"/>
          <w:szCs w:val="20"/>
          <w:color w:val="auto"/>
        </w:rPr>
        <w:t>A change in the ownership of a</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substantial portion of a corporation’s assets occurs on the date that any one person, or more than one person acting as a group (as determined in accordance with rules similar to those set forth in Section 9.6(d)), acquires (or has acquired during the twelve month period ending on the date of 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9.6(e)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84"/>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584"/>
          </w:cols>
          <w:pgMar w:left="976" w:top="1440" w:right="339" w:bottom="1440" w:gutter="0" w:footer="0" w:header="0"/>
        </w:sectPr>
      </w:pPr>
    </w:p>
    <w:bookmarkStart w:id="72" w:name="page73"/>
    <w:bookmarkEnd w:id="72"/>
    <w:p>
      <w:pPr>
        <w:spacing w:after="0" w:line="208" w:lineRule="exact"/>
        <w:rPr>
          <w:sz w:val="20"/>
          <w:szCs w:val="20"/>
          <w:color w:val="auto"/>
        </w:rPr>
      </w:pPr>
    </w:p>
    <w:p>
      <w:pPr>
        <w:jc w:val="both"/>
        <w:ind w:left="980"/>
        <w:spacing w:after="0" w:line="243" w:lineRule="auto"/>
        <w:rPr>
          <w:sz w:val="20"/>
          <w:szCs w:val="20"/>
          <w:color w:val="auto"/>
        </w:rPr>
      </w:pPr>
      <w:r>
        <w:rPr>
          <w:rFonts w:ascii="Arial" w:cs="Arial" w:eastAsia="Arial" w:hAnsi="Arial"/>
          <w:sz w:val="20"/>
          <w:szCs w:val="20"/>
          <w:color w:val="auto"/>
        </w:rPr>
        <w:t>stock of the corporation, or (iv) an entity, at least fifty (50%) of the total value or voting power of which is owned, directly or indirectly, by a person described in Section 9.6(e)(iii). For purposes of the foregoing, and except as otherwise provided, a person’s status is determined immediately after the transfer of assets.</w:t>
      </w:r>
    </w:p>
    <w:p>
      <w:pPr>
        <w:spacing w:after="0" w:line="18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9"/>
          <w:szCs w:val="19"/>
          <w:b w:val="1"/>
          <w:bCs w:val="1"/>
          <w:color w:val="auto"/>
        </w:rPr>
        <w:t>Permissible Delays in Payment.</w:t>
      </w:r>
    </w:p>
    <w:p>
      <w:pPr>
        <w:spacing w:after="0" w:line="240"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Distributions may be delayed beyond the date payment would otherwise occur in accordance with the provisions of Articles 8 and 9 in any of the following circumstances as long as the Employer treats all payments to similarly situated Participants on a reasonably consistent basis.</w:t>
      </w:r>
    </w:p>
    <w:p>
      <w:pPr>
        <w:spacing w:after="0" w:line="206" w:lineRule="exact"/>
        <w:rPr>
          <w:sz w:val="20"/>
          <w:szCs w:val="20"/>
          <w:color w:val="auto"/>
        </w:rPr>
      </w:pPr>
    </w:p>
    <w:p>
      <w:pPr>
        <w:jc w:val="both"/>
        <w:ind w:left="980" w:hanging="324"/>
        <w:spacing w:after="0"/>
        <w:tabs>
          <w:tab w:leader="none" w:pos="97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15th day of the third month following the Participant’s Separation from Service. If a scheduled payment to a Participant is delayed in accordance with this Section 9.7(a), all scheduled payments to the Participant that could be delayed in accordance with this Section 9.7(a) will also be delayed.</w:t>
      </w:r>
    </w:p>
    <w:p>
      <w:pPr>
        <w:spacing w:after="0" w:line="238" w:lineRule="exact"/>
        <w:rPr>
          <w:rFonts w:ascii="Arial" w:cs="Arial" w:eastAsia="Arial" w:hAnsi="Arial"/>
          <w:sz w:val="20"/>
          <w:szCs w:val="20"/>
          <w:color w:val="auto"/>
        </w:rPr>
      </w:pPr>
    </w:p>
    <w:p>
      <w:pPr>
        <w:jc w:val="both"/>
        <w:ind w:left="980" w:hanging="324"/>
        <w:spacing w:after="0" w:line="234" w:lineRule="auto"/>
        <w:tabs>
          <w:tab w:leader="none" w:pos="974" w:val="left"/>
        </w:tabs>
        <w:numPr>
          <w:ilvl w:val="0"/>
          <w:numId w:val="36"/>
        </w:numPr>
        <w:rPr>
          <w:rFonts w:ascii="Arial" w:cs="Arial" w:eastAsia="Arial" w:hAnsi="Arial"/>
          <w:sz w:val="22"/>
          <w:szCs w:val="22"/>
          <w:color w:val="auto"/>
        </w:rPr>
      </w:pPr>
      <w:r>
        <w:rPr>
          <w:rFonts w:ascii="Arial" w:cs="Arial" w:eastAsia="Arial" w:hAnsi="Arial"/>
          <w:sz w:val="20"/>
          <w:szCs w:val="20"/>
          <w:color w:val="auto"/>
        </w:rPr>
        <w:t>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w:t>
      </w:r>
    </w:p>
    <w:p>
      <w:pPr>
        <w:spacing w:after="0" w:line="236" w:lineRule="exact"/>
        <w:rPr>
          <w:rFonts w:ascii="Arial" w:cs="Arial" w:eastAsia="Arial" w:hAnsi="Arial"/>
          <w:sz w:val="22"/>
          <w:szCs w:val="22"/>
          <w:color w:val="auto"/>
        </w:rPr>
      </w:pPr>
    </w:p>
    <w:p>
      <w:pPr>
        <w:jc w:val="both"/>
        <w:ind w:left="980" w:hanging="324"/>
        <w:spacing w:after="0" w:line="234" w:lineRule="auto"/>
        <w:tabs>
          <w:tab w:leader="none" w:pos="975" w:val="left"/>
        </w:tabs>
        <w:numPr>
          <w:ilvl w:val="0"/>
          <w:numId w:val="36"/>
        </w:numPr>
        <w:rPr>
          <w:rFonts w:ascii="Arial" w:cs="Arial" w:eastAsia="Arial" w:hAnsi="Arial"/>
          <w:sz w:val="22"/>
          <w:szCs w:val="22"/>
          <w:color w:val="auto"/>
        </w:rPr>
      </w:pPr>
      <w:r>
        <w:rPr>
          <w:rFonts w:ascii="Arial" w:cs="Arial" w:eastAsia="Arial" w:hAnsi="Arial"/>
          <w:sz w:val="20"/>
          <w:szCs w:val="20"/>
          <w:color w:val="auto"/>
        </w:rPr>
        <w:t>The Employer reserves the right to amend the Plan to provide for a delay in payment upon such other events and conditions as the Secretary of the Treasury may prescribe in generally applicable guidance published in the Internal Revenue Bulletin.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9.8 Permitted Acceleration of Payment. </w:t>
      </w:r>
      <w:r>
        <w:rPr>
          <w:rFonts w:ascii="Arial" w:cs="Arial" w:eastAsia="Arial" w:hAnsi="Arial"/>
          <w:sz w:val="20"/>
          <w:szCs w:val="20"/>
          <w:color w:val="auto"/>
        </w:rPr>
        <w:t>The Employer may permit acceleration of the time or schedule of any payment or</w:t>
      </w:r>
      <w:r>
        <w:rPr>
          <w:rFonts w:ascii="Arial" w:cs="Arial" w:eastAsia="Arial" w:hAnsi="Arial"/>
          <w:sz w:val="20"/>
          <w:szCs w:val="20"/>
          <w:b w:val="1"/>
          <w:bCs w:val="1"/>
          <w:color w:val="auto"/>
        </w:rPr>
        <w:t xml:space="preserve"> </w:t>
      </w:r>
      <w:r>
        <w:rPr>
          <w:rFonts w:ascii="Arial" w:cs="Arial" w:eastAsia="Arial" w:hAnsi="Arial"/>
          <w:sz w:val="20"/>
          <w:szCs w:val="20"/>
          <w:color w:val="auto"/>
        </w:rPr>
        <w:t>amount scheduled to be paid pursuant to a payment under the Plan provided such acceleration would be permitted by the provisions of Reg. Sec. 1.409A-3(j)(4), including the following events:</w:t>
      </w:r>
    </w:p>
    <w:p>
      <w:pPr>
        <w:spacing w:after="0" w:line="171" w:lineRule="exact"/>
        <w:rPr>
          <w:sz w:val="20"/>
          <w:szCs w:val="20"/>
          <w:color w:val="auto"/>
        </w:rPr>
      </w:pPr>
    </w:p>
    <w:p>
      <w:pPr>
        <w:ind w:left="980" w:hanging="324"/>
        <w:spacing w:after="0" w:line="298" w:lineRule="auto"/>
        <w:tabs>
          <w:tab w:leader="none" w:pos="979"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Domestic Relations Order. </w:t>
      </w:r>
      <w:r>
        <w:rPr>
          <w:rFonts w:ascii="Arial" w:cs="Arial" w:eastAsia="Arial" w:hAnsi="Arial"/>
          <w:sz w:val="19"/>
          <w:szCs w:val="19"/>
          <w:color w:val="auto"/>
        </w:rPr>
        <w:t>A payment may be accelerated if such payment is made to an alternate payee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and following the receipt and qualification of a domestic relations order as defined in Code Section 414(p).</w:t>
      </w:r>
    </w:p>
    <w:p>
      <w:pPr>
        <w:spacing w:after="0" w:line="159" w:lineRule="exact"/>
        <w:rPr>
          <w:rFonts w:ascii="Arial" w:cs="Arial" w:eastAsia="Arial" w:hAnsi="Arial"/>
          <w:sz w:val="19"/>
          <w:szCs w:val="19"/>
          <w:color w:val="auto"/>
        </w:rPr>
      </w:pPr>
    </w:p>
    <w:p>
      <w:pPr>
        <w:jc w:val="both"/>
        <w:ind w:left="980" w:hanging="324"/>
        <w:spacing w:after="0" w:line="242" w:lineRule="auto"/>
        <w:tabs>
          <w:tab w:leader="none" w:pos="974" w:val="left"/>
        </w:tabs>
        <w:numPr>
          <w:ilvl w:val="0"/>
          <w:numId w:val="37"/>
        </w:numPr>
        <w:rPr>
          <w:rFonts w:ascii="Arial" w:cs="Arial" w:eastAsia="Arial" w:hAnsi="Arial"/>
          <w:sz w:val="22"/>
          <w:szCs w:val="22"/>
          <w:color w:val="auto"/>
        </w:rPr>
      </w:pPr>
      <w:r>
        <w:rPr>
          <w:rFonts w:ascii="Arial" w:cs="Arial" w:eastAsia="Arial" w:hAnsi="Arial"/>
          <w:sz w:val="20"/>
          <w:szCs w:val="20"/>
          <w:b w:val="1"/>
          <w:bCs w:val="1"/>
          <w:color w:val="auto"/>
        </w:rPr>
        <w:t xml:space="preserve">Compliance with Ethics Agreements and Legal Requirements. </w:t>
      </w:r>
      <w:r>
        <w:rPr>
          <w:rFonts w:ascii="Arial" w:cs="Arial" w:eastAsia="Arial" w:hAnsi="Arial"/>
          <w:sz w:val="20"/>
          <w:szCs w:val="20"/>
          <w:color w:val="auto"/>
        </w:rPr>
        <w:t>A payment may be accelerated as may be</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to comply with ethics agreements with the Federal government or as may be reasonably necessary to avoid the violation of Federal, state, local or foreign ethics law or conflicts of laws, in accordance with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11" w:lineRule="exact"/>
        <w:rPr>
          <w:sz w:val="20"/>
          <w:szCs w:val="20"/>
          <w:color w:val="auto"/>
        </w:rPr>
      </w:pPr>
    </w:p>
    <w:p>
      <w:pPr>
        <w:jc w:val="both"/>
        <w:ind w:left="980" w:hanging="324"/>
        <w:spacing w:after="0"/>
        <w:tabs>
          <w:tab w:leader="none" w:pos="975" w:val="left"/>
        </w:tabs>
        <w:numPr>
          <w:ilvl w:val="0"/>
          <w:numId w:val="38"/>
        </w:numPr>
        <w:rPr>
          <w:rFonts w:ascii="Arial" w:cs="Arial" w:eastAsia="Arial" w:hAnsi="Arial"/>
          <w:sz w:val="22"/>
          <w:szCs w:val="22"/>
          <w:color w:val="auto"/>
        </w:rPr>
      </w:pPr>
      <w:r>
        <w:rPr>
          <w:rFonts w:ascii="Arial" w:cs="Arial" w:eastAsia="Arial" w:hAnsi="Arial"/>
          <w:sz w:val="20"/>
          <w:szCs w:val="20"/>
          <w:b w:val="1"/>
          <w:bCs w:val="1"/>
          <w:color w:val="auto"/>
        </w:rPr>
        <w:t xml:space="preserve">FICA Tax. </w:t>
      </w:r>
      <w:r>
        <w:rPr>
          <w:rFonts w:ascii="Arial" w:cs="Arial" w:eastAsia="Arial" w:hAnsi="Arial"/>
          <w:sz w:val="20"/>
          <w:szCs w:val="20"/>
          <w:color w:val="auto"/>
        </w:rPr>
        <w:t>A payment may be accelerated to the extent required to pay the Federal Insurance Contributions Act tax</w:t>
      </w:r>
      <w:r>
        <w:rPr>
          <w:rFonts w:ascii="Arial" w:cs="Arial" w:eastAsia="Arial" w:hAnsi="Arial"/>
          <w:sz w:val="20"/>
          <w:szCs w:val="20"/>
          <w:b w:val="1"/>
          <w:bCs w:val="1"/>
          <w:color w:val="auto"/>
        </w:rPr>
        <w:t xml:space="preserve"> </w:t>
      </w:r>
      <w:r>
        <w:rPr>
          <w:rFonts w:ascii="Arial" w:cs="Arial" w:eastAsia="Arial" w:hAnsi="Arial"/>
          <w:sz w:val="20"/>
          <w:szCs w:val="20"/>
          <w:color w:val="auto"/>
        </w:rPr>
        <w:t>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w:t>
      </w:r>
    </w:p>
    <w:p>
      <w:pPr>
        <w:spacing w:after="0" w:line="216" w:lineRule="exact"/>
        <w:rPr>
          <w:rFonts w:ascii="Arial" w:cs="Arial" w:eastAsia="Arial" w:hAnsi="Arial"/>
          <w:sz w:val="22"/>
          <w:szCs w:val="22"/>
          <w:color w:val="auto"/>
        </w:rPr>
      </w:pPr>
    </w:p>
    <w:p>
      <w:pPr>
        <w:jc w:val="both"/>
        <w:ind w:left="980" w:hanging="324"/>
        <w:spacing w:after="0" w:line="243" w:lineRule="auto"/>
        <w:tabs>
          <w:tab w:leader="none" w:pos="974" w:val="left"/>
        </w:tabs>
        <w:numPr>
          <w:ilvl w:val="0"/>
          <w:numId w:val="38"/>
        </w:numPr>
        <w:rPr>
          <w:rFonts w:ascii="Arial" w:cs="Arial" w:eastAsia="Arial" w:hAnsi="Arial"/>
          <w:sz w:val="22"/>
          <w:szCs w:val="22"/>
          <w:color w:val="auto"/>
        </w:rPr>
      </w:pPr>
      <w:r>
        <w:rPr>
          <w:rFonts w:ascii="Arial" w:cs="Arial" w:eastAsia="Arial" w:hAnsi="Arial"/>
          <w:sz w:val="20"/>
          <w:szCs w:val="20"/>
          <w:b w:val="1"/>
          <w:bCs w:val="1"/>
          <w:color w:val="auto"/>
        </w:rPr>
        <w:t xml:space="preserve">Section 409A Additional Tax. </w:t>
      </w:r>
      <w:r>
        <w:rPr>
          <w:rFonts w:ascii="Arial" w:cs="Arial" w:eastAsia="Arial" w:hAnsi="Arial"/>
          <w:sz w:val="20"/>
          <w:szCs w:val="20"/>
          <w:color w:val="auto"/>
        </w:rPr>
        <w:t>A payment may be accelerated if the Plan fails to meet the requirements of Code</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409A; provided that such payment may not exceed the amount required to be included in income as a result of the failure to comply with the requirements of Code Section 409A.</w:t>
      </w:r>
    </w:p>
    <w:p>
      <w:pPr>
        <w:spacing w:after="0" w:line="209" w:lineRule="exact"/>
        <w:rPr>
          <w:rFonts w:ascii="Arial" w:cs="Arial" w:eastAsia="Arial" w:hAnsi="Arial"/>
          <w:sz w:val="22"/>
          <w:szCs w:val="22"/>
          <w:color w:val="auto"/>
        </w:rPr>
      </w:pPr>
    </w:p>
    <w:p>
      <w:pPr>
        <w:jc w:val="both"/>
        <w:ind w:left="980" w:hanging="324"/>
        <w:spacing w:after="0" w:line="241" w:lineRule="auto"/>
        <w:tabs>
          <w:tab w:leader="none" w:pos="974" w:val="left"/>
        </w:tabs>
        <w:numPr>
          <w:ilvl w:val="0"/>
          <w:numId w:val="38"/>
        </w:numPr>
        <w:rPr>
          <w:rFonts w:ascii="Arial" w:cs="Arial" w:eastAsia="Arial" w:hAnsi="Arial"/>
          <w:sz w:val="22"/>
          <w:szCs w:val="22"/>
          <w:color w:val="auto"/>
        </w:rPr>
      </w:pPr>
      <w:r>
        <w:rPr>
          <w:rFonts w:ascii="Arial" w:cs="Arial" w:eastAsia="Arial" w:hAnsi="Arial"/>
          <w:sz w:val="20"/>
          <w:szCs w:val="20"/>
          <w:b w:val="1"/>
          <w:bCs w:val="1"/>
          <w:color w:val="auto"/>
        </w:rPr>
        <w:t xml:space="preserve">Offset. </w:t>
      </w:r>
      <w:r>
        <w:rPr>
          <w:rFonts w:ascii="Arial" w:cs="Arial" w:eastAsia="Arial" w:hAnsi="Arial"/>
          <w:sz w:val="20"/>
          <w:szCs w:val="20"/>
          <w:color w:val="auto"/>
        </w:rPr>
        <w:t>A payment may be accelerated in the Employer’s discretion as satisfaction of a debt of the Participant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w:t>
      </w:r>
    </w:p>
    <w:p>
      <w:pPr>
        <w:spacing w:after="0" w:line="212" w:lineRule="exact"/>
        <w:rPr>
          <w:rFonts w:ascii="Arial" w:cs="Arial" w:eastAsia="Arial" w:hAnsi="Arial"/>
          <w:sz w:val="22"/>
          <w:szCs w:val="22"/>
          <w:color w:val="auto"/>
        </w:rPr>
      </w:pPr>
    </w:p>
    <w:p>
      <w:pPr>
        <w:ind w:left="980" w:hanging="324"/>
        <w:spacing w:after="0" w:line="247" w:lineRule="auto"/>
        <w:tabs>
          <w:tab w:leader="none" w:pos="968" w:val="left"/>
        </w:tabs>
        <w:numPr>
          <w:ilvl w:val="0"/>
          <w:numId w:val="38"/>
        </w:numPr>
        <w:rPr>
          <w:rFonts w:ascii="Arial" w:cs="Arial" w:eastAsia="Arial" w:hAnsi="Arial"/>
          <w:sz w:val="22"/>
          <w:szCs w:val="22"/>
          <w:color w:val="auto"/>
        </w:rPr>
      </w:pPr>
      <w:r>
        <w:rPr>
          <w:rFonts w:ascii="Arial" w:cs="Arial" w:eastAsia="Arial" w:hAnsi="Arial"/>
          <w:sz w:val="20"/>
          <w:szCs w:val="20"/>
          <w:b w:val="1"/>
          <w:bCs w:val="1"/>
          <w:color w:val="auto"/>
        </w:rPr>
        <w:t xml:space="preserve">Other Events. </w:t>
      </w:r>
      <w:r>
        <w:rPr>
          <w:rFonts w:ascii="Arial" w:cs="Arial" w:eastAsia="Arial" w:hAnsi="Arial"/>
          <w:sz w:val="20"/>
          <w:szCs w:val="20"/>
          <w:color w:val="auto"/>
        </w:rPr>
        <w:t>A payment may be accelerated in the Administrator’s discretion in connection with such other events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as permitted by Code Section 409A.</w:t>
      </w:r>
    </w:p>
    <w:p>
      <w:pPr>
        <w:spacing w:after="0" w:line="178"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ARTICLE 10 - AMENDMENT AND TERMINATION</w:t>
      </w:r>
    </w:p>
    <w:p>
      <w:pPr>
        <w:spacing w:after="0" w:line="21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10.1</w:t>
        <w:tab/>
        <w:t xml:space="preserve">Amendment by Plan Sponsor. </w:t>
      </w:r>
      <w:r>
        <w:rPr>
          <w:rFonts w:ascii="Arial" w:cs="Arial" w:eastAsia="Arial" w:hAnsi="Arial"/>
          <w:sz w:val="20"/>
          <w:szCs w:val="20"/>
          <w:color w:val="auto"/>
        </w:rPr>
        <w:t>The Plan Sponsor reserves the right to amend the Plan (for itself and each Employer)</w:t>
      </w:r>
      <w:r>
        <w:rPr>
          <w:rFonts w:ascii="Arial" w:cs="Arial" w:eastAsia="Arial" w:hAnsi="Arial"/>
          <w:sz w:val="20"/>
          <w:szCs w:val="20"/>
          <w:b w:val="1"/>
          <w:bCs w:val="1"/>
          <w:color w:val="auto"/>
        </w:rPr>
        <w:t xml:space="preserve"> </w:t>
      </w:r>
      <w:r>
        <w:rPr>
          <w:rFonts w:ascii="Arial" w:cs="Arial" w:eastAsia="Arial" w:hAnsi="Arial"/>
          <w:sz w:val="20"/>
          <w:szCs w:val="20"/>
          <w:color w:val="auto"/>
        </w:rPr>
        <w:t>through action of its Board of Directors. No amendment can directly or indirectly deprive any current or former Participant or Beneficiary of all or any portion of his Account which had accrued and vested prior to the amendment.</w:t>
      </w:r>
    </w:p>
    <w:p>
      <w:pPr>
        <w:spacing w:after="0" w:line="171"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10.2</w:t>
        <w:tab/>
        <w:t xml:space="preserve">Plan Termination Following Change in Control or Corporate Dissolution. </w:t>
      </w:r>
      <w:r>
        <w:rPr>
          <w:rFonts w:ascii="Arial" w:cs="Arial" w:eastAsia="Arial" w:hAnsi="Arial"/>
          <w:sz w:val="20"/>
          <w:szCs w:val="20"/>
          <w:color w:val="auto"/>
        </w:rPr>
        <w:t>The Plan Sponsor reserves the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the Plan and distribute all amounts credited to all Participant Accounts within the 30 days preceding or the twelve months following a Change in Control as determined in accordance with the rules set forth in Section 9.6. For this purpose, the Plan will be treated as terminated only if all agreements, methods, programs and other arrangements sponsored by the Related Employer immediately after the Change in Control which are treated as a single plan under Reg. Sec.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8"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Participants in the latest of (a) the calendar year in which the termination and liquidation occurs, (b) the first calendar year in which the amount is no longer subject to a substantial risk of forfeiture, or (c) the first calendar year in which payment is administratively practicable.</w:t>
      </w:r>
    </w:p>
    <w:p>
      <w:pPr>
        <w:spacing w:after="0" w:line="182" w:lineRule="exact"/>
        <w:rPr>
          <w:sz w:val="20"/>
          <w:szCs w:val="20"/>
          <w:color w:val="auto"/>
        </w:rPr>
      </w:pPr>
    </w:p>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10.3</w:t>
        <w:tab/>
        <w:t xml:space="preserve">Other Plan Terminations. </w:t>
      </w:r>
      <w:r>
        <w:rPr>
          <w:rFonts w:ascii="Arial" w:cs="Arial" w:eastAsia="Arial" w:hAnsi="Arial"/>
          <w:sz w:val="20"/>
          <w:szCs w:val="20"/>
          <w:color w:val="auto"/>
        </w:rPr>
        <w:t>The Plan Sponsor retains the discretion to terminate the Plan if (a) all arrangements</w:t>
      </w:r>
      <w:r>
        <w:rPr>
          <w:rFonts w:ascii="Arial" w:cs="Arial" w:eastAsia="Arial" w:hAnsi="Arial"/>
          <w:sz w:val="20"/>
          <w:szCs w:val="20"/>
          <w:b w:val="1"/>
          <w:bCs w:val="1"/>
          <w:color w:val="auto"/>
        </w:rPr>
        <w:t xml:space="preserve"> </w:t>
      </w:r>
      <w:r>
        <w:rPr>
          <w:rFonts w:ascii="Arial" w:cs="Arial" w:eastAsia="Arial" w:hAnsi="Arial"/>
          <w:sz w:val="20"/>
          <w:szCs w:val="20"/>
          <w:color w:val="auto"/>
        </w:rPr>
        <w:t>sponsored by the Plan Sponsor that would be aggregated with any terminated arrangement under Code Section 409A and Reg. Sec.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w:t>
      </w:r>
    </w:p>
    <w:p>
      <w:pPr>
        <w:spacing w:after="0" w:line="190"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ARTICLE 11 - THE TRUST</w:t>
      </w:r>
    </w:p>
    <w:p>
      <w:pPr>
        <w:spacing w:after="0" w:line="21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11.1</w:t>
        <w:tab/>
        <w:t xml:space="preserve">Establishment of Trust. </w:t>
      </w:r>
      <w:r>
        <w:rPr>
          <w:rFonts w:ascii="Arial" w:cs="Arial" w:eastAsia="Arial" w:hAnsi="Arial"/>
          <w:sz w:val="20"/>
          <w:szCs w:val="20"/>
          <w:color w:val="auto"/>
        </w:rPr>
        <w:t>The Plan Sponsor may but is not required to establish a trust to hold amounts which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w:t>
      </w:r>
    </w:p>
    <w:p>
      <w:pPr>
        <w:spacing w:after="0" w:line="180"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11.2</w:t>
        <w:tab/>
        <w:t xml:space="preserve">Rabbi Trust. </w:t>
      </w:r>
      <w:r>
        <w:rPr>
          <w:rFonts w:ascii="Arial" w:cs="Arial" w:eastAsia="Arial" w:hAnsi="Arial"/>
          <w:sz w:val="20"/>
          <w:szCs w:val="20"/>
          <w:color w:val="auto"/>
        </w:rPr>
        <w:t>Any trust established by the Plan Sponsor shall be between the Plan Sponsor and a trustee pursuant to a</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 written agreement under which assets are held, administered and managed, subject to the claims of the Plan Sponsor’s creditors in the event of the Plan Sponsor’s insolvency. The trust is intended to be treated as a rabbi trust in accordance with existing guidance of the Internal Revenue Service, and the establishment of the trust shall not cause the Participant to realize current income on amounts contributed thereto. The Plan Sponsor must notify the trustee in the event of a bankruptcy or insolvency.</w:t>
      </w:r>
    </w:p>
    <w:p>
      <w:pPr>
        <w:spacing w:after="0" w:line="184"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11.3</w:t>
        <w:tab/>
        <w:t xml:space="preserve">Investment of Trust Funds. </w:t>
      </w:r>
      <w:r>
        <w:rPr>
          <w:rFonts w:ascii="Arial" w:cs="Arial" w:eastAsia="Arial" w:hAnsi="Arial"/>
          <w:sz w:val="20"/>
          <w:szCs w:val="20"/>
          <w:color w:val="auto"/>
        </w:rPr>
        <w:t>Any amounts contributed to the trust by the Plan Sponsor shall be invested by the trustee</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the 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84"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ARTICLE 12 - PLAN ADMINISTRATION</w:t>
      </w:r>
    </w:p>
    <w:p>
      <w:pPr>
        <w:spacing w:after="0" w:line="21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12.1</w:t>
        <w:tab/>
        <w:t xml:space="preserve">Powers and Responsibilities of the Administrator. </w:t>
      </w:r>
      <w:r>
        <w:rPr>
          <w:rFonts w:ascii="Arial" w:cs="Arial" w:eastAsia="Arial" w:hAnsi="Arial"/>
          <w:sz w:val="20"/>
          <w:szCs w:val="20"/>
          <w:color w:val="auto"/>
        </w:rPr>
        <w:t>The Administrator has the full power and the full responsibility to</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the Plan in all of its details, subject, however, to the applicable requirements of ERISA. The Administrator’s powers and responsibilities include, but are not limited to, the following:</w:t>
      </w:r>
    </w:p>
    <w:p>
      <w:pPr>
        <w:spacing w:after="0" w:line="195" w:lineRule="exact"/>
        <w:rPr>
          <w:sz w:val="20"/>
          <w:szCs w:val="20"/>
          <w:color w:val="auto"/>
        </w:rPr>
      </w:pPr>
    </w:p>
    <w:p>
      <w:pPr>
        <w:ind w:left="980" w:hanging="324"/>
        <w:spacing w:after="0" w:line="246" w:lineRule="auto"/>
        <w:tabs>
          <w:tab w:leader="none" w:pos="9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make and enforce such rules and procedures as it deems necessary or proper for the efficient administration of the Plan;</w:t>
      </w:r>
    </w:p>
    <w:p>
      <w:pPr>
        <w:spacing w:after="0" w:line="203" w:lineRule="exact"/>
        <w:rPr>
          <w:rFonts w:ascii="Arial" w:cs="Arial" w:eastAsia="Arial" w:hAnsi="Arial"/>
          <w:sz w:val="20"/>
          <w:szCs w:val="20"/>
          <w:color w:val="auto"/>
        </w:rPr>
      </w:pPr>
    </w:p>
    <w:p>
      <w:pPr>
        <w:ind w:left="980" w:right="20" w:hanging="324"/>
        <w:spacing w:after="0" w:line="246" w:lineRule="auto"/>
        <w:tabs>
          <w:tab w:leader="none" w:pos="9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interpret the Plan, its interpretation thereof to be final, except as provided in Section 12.2, on all persons claiming benefits under the Plan;</w:t>
      </w:r>
    </w:p>
    <w:p>
      <w:pPr>
        <w:spacing w:after="0" w:line="203" w:lineRule="exact"/>
        <w:rPr>
          <w:rFonts w:ascii="Arial" w:cs="Arial" w:eastAsia="Arial" w:hAnsi="Arial"/>
          <w:sz w:val="20"/>
          <w:szCs w:val="20"/>
          <w:color w:val="auto"/>
        </w:rPr>
      </w:pPr>
    </w:p>
    <w:p>
      <w:pPr>
        <w:ind w:left="960" w:hanging="304"/>
        <w:spacing w:after="0"/>
        <w:tabs>
          <w:tab w:leader="none" w:pos="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decide all questions concerning the Plan and the eligibility of any person to participate in the Plan;</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administer the claims and review procedures specified in Section 12.2;</w:t>
      </w:r>
    </w:p>
    <w:p>
      <w:pPr>
        <w:spacing w:after="0" w:line="215" w:lineRule="exact"/>
        <w:rPr>
          <w:rFonts w:ascii="Arial" w:cs="Arial" w:eastAsia="Arial" w:hAnsi="Arial"/>
          <w:sz w:val="20"/>
          <w:szCs w:val="20"/>
          <w:color w:val="auto"/>
        </w:rPr>
      </w:pPr>
    </w:p>
    <w:p>
      <w:pPr>
        <w:ind w:left="980" w:hanging="324"/>
        <w:spacing w:after="0" w:line="246" w:lineRule="auto"/>
        <w:tabs>
          <w:tab w:leader="none" w:pos="979"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compute the amount of benefits which will be payable to any Participant, former Participant or Beneficiary in accordance with the provisions of the Plan;</w:t>
      </w:r>
    </w:p>
    <w:p>
      <w:pPr>
        <w:spacing w:after="0" w:line="203" w:lineRule="exact"/>
        <w:rPr>
          <w:rFonts w:ascii="Arial" w:cs="Arial" w:eastAsia="Arial" w:hAnsi="Arial"/>
          <w:sz w:val="20"/>
          <w:szCs w:val="20"/>
          <w:color w:val="auto"/>
        </w:rPr>
      </w:pPr>
    </w:p>
    <w:p>
      <w:pPr>
        <w:ind w:left="980" w:hanging="324"/>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determine the person or persons to whom such benefits will be paid;</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authorize the payment of benefits;</w:t>
      </w:r>
    </w:p>
    <w:p>
      <w:pPr>
        <w:spacing w:after="0" w:line="215" w:lineRule="exact"/>
        <w:rPr>
          <w:rFonts w:ascii="Arial" w:cs="Arial" w:eastAsia="Arial" w:hAnsi="Arial"/>
          <w:sz w:val="20"/>
          <w:szCs w:val="20"/>
          <w:color w:val="auto"/>
        </w:rPr>
      </w:pPr>
    </w:p>
    <w:p>
      <w:pPr>
        <w:ind w:left="980" w:hanging="324"/>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comply with the reporting and disclosure requirements of Part 1 of Subtitle B of Title I of ERISA;</w:t>
      </w:r>
    </w:p>
    <w:p>
      <w:pPr>
        <w:spacing w:after="0" w:line="215" w:lineRule="exact"/>
        <w:rPr>
          <w:rFonts w:ascii="Arial" w:cs="Arial" w:eastAsia="Arial" w:hAnsi="Arial"/>
          <w:sz w:val="20"/>
          <w:szCs w:val="20"/>
          <w:color w:val="auto"/>
        </w:rPr>
      </w:pPr>
    </w:p>
    <w:p>
      <w:pPr>
        <w:ind w:left="980" w:hanging="324"/>
        <w:spacing w:after="0" w:line="246" w:lineRule="auto"/>
        <w:tabs>
          <w:tab w:leader="none" w:pos="967" w:val="left"/>
        </w:tabs>
        <w:numPr>
          <w:ilvl w:val="0"/>
          <w:numId w:val="39"/>
        </w:numPr>
        <w:rPr>
          <w:rFonts w:ascii="Arial" w:cs="Arial" w:eastAsia="Arial" w:hAnsi="Arial"/>
          <w:sz w:val="20"/>
          <w:szCs w:val="20"/>
          <w:color w:val="auto"/>
        </w:rPr>
      </w:pPr>
      <w:r>
        <w:rPr>
          <w:rFonts w:ascii="Arial" w:cs="Arial" w:eastAsia="Arial" w:hAnsi="Arial"/>
          <w:sz w:val="20"/>
          <w:szCs w:val="20"/>
          <w:color w:val="auto"/>
        </w:rPr>
        <w:t>To appoint such agents, counsel, accountants, and consultants as may be required to assist in administering the Plan;</w:t>
      </w:r>
    </w:p>
    <w:p>
      <w:pPr>
        <w:spacing w:after="0" w:line="203" w:lineRule="exact"/>
        <w:rPr>
          <w:rFonts w:ascii="Arial" w:cs="Arial" w:eastAsia="Arial" w:hAnsi="Arial"/>
          <w:sz w:val="20"/>
          <w:szCs w:val="20"/>
          <w:color w:val="auto"/>
        </w:rPr>
      </w:pPr>
    </w:p>
    <w:p>
      <w:pPr>
        <w:ind w:left="980" w:hanging="324"/>
        <w:spacing w:after="0" w:line="246" w:lineRule="auto"/>
        <w:tabs>
          <w:tab w:leader="none" w:pos="967" w:val="left"/>
        </w:tabs>
        <w:numPr>
          <w:ilvl w:val="0"/>
          <w:numId w:val="39"/>
        </w:numPr>
        <w:rPr>
          <w:rFonts w:ascii="Arial" w:cs="Arial" w:eastAsia="Arial" w:hAnsi="Arial"/>
          <w:sz w:val="20"/>
          <w:szCs w:val="20"/>
          <w:color w:val="auto"/>
        </w:rPr>
      </w:pPr>
      <w:r>
        <w:rPr>
          <w:rFonts w:ascii="Arial" w:cs="Arial" w:eastAsia="Arial" w:hAnsi="Arial"/>
          <w:sz w:val="20"/>
          <w:szCs w:val="20"/>
          <w:color w:val="auto"/>
        </w:rPr>
        <w:t>By written instrument, to allocate and delegate its responsibilities, including the formation of an administrative committee to administer the Plan.</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9"/>
          <w:szCs w:val="19"/>
          <w:b w:val="1"/>
          <w:bCs w:val="1"/>
          <w:color w:val="auto"/>
        </w:rPr>
        <w:t>Claims and Review Procedures.</w:t>
      </w:r>
    </w:p>
    <w:p>
      <w:pPr>
        <w:spacing w:after="0" w:line="216" w:lineRule="exact"/>
        <w:rPr>
          <w:sz w:val="20"/>
          <w:szCs w:val="20"/>
          <w:color w:val="auto"/>
        </w:rPr>
      </w:pPr>
    </w:p>
    <w:p>
      <w:pPr>
        <w:jc w:val="both"/>
        <w:ind w:left="980"/>
        <w:spacing w:after="0" w:line="242" w:lineRule="auto"/>
        <w:rPr>
          <w:sz w:val="20"/>
          <w:szCs w:val="20"/>
          <w:color w:val="auto"/>
        </w:rPr>
      </w:pPr>
      <w:r>
        <w:rPr>
          <w:rFonts w:ascii="Arial" w:cs="Arial" w:eastAsia="Arial" w:hAnsi="Arial"/>
          <w:sz w:val="20"/>
          <w:szCs w:val="20"/>
          <w:b w:val="1"/>
          <w:bCs w:val="1"/>
          <w:color w:val="auto"/>
        </w:rPr>
        <w:t>Claims Procedure</w:t>
      </w:r>
      <w:r>
        <w:rPr>
          <w:rFonts w:ascii="Arial" w:cs="Arial" w:eastAsia="Arial" w:hAnsi="Arial"/>
          <w:sz w:val="20"/>
          <w:szCs w:val="20"/>
          <w:color w:val="auto"/>
        </w:rPr>
        <w:t>. If any person believes he is being denied any rights or benefits under the Plan, such person may</w:t>
      </w:r>
      <w:r>
        <w:rPr>
          <w:rFonts w:ascii="Arial" w:cs="Arial" w:eastAsia="Arial" w:hAnsi="Arial"/>
          <w:sz w:val="20"/>
          <w:szCs w:val="20"/>
          <w:b w:val="1"/>
          <w:bCs w:val="1"/>
          <w:color w:val="auto"/>
        </w:rPr>
        <w:t xml:space="preserve"> </w:t>
      </w:r>
      <w:r>
        <w:rPr>
          <w:rFonts w:ascii="Arial" w:cs="Arial" w:eastAsia="Arial" w:hAnsi="Arial"/>
          <w:sz w:val="20"/>
          <w:szCs w:val="20"/>
          <w:color w:val="auto"/>
        </w:rPr>
        <w:t>file a claim in writing with the Administrator. If any such claim is wholly or partially denied, the Administrator will notify such person of its decision in writing.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claim. Such notification will contain (i) specific reasons for the denial, (ii) specific reference to pertinent Plan provisions, (iii) a description of any additional material or information necessary for such person 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8" w:lineRule="exact"/>
        <w:rPr>
          <w:sz w:val="20"/>
          <w:szCs w:val="20"/>
          <w:color w:val="auto"/>
        </w:rPr>
      </w:pPr>
    </w:p>
    <w:p>
      <w:pPr>
        <w:jc w:val="both"/>
        <w:spacing w:after="0"/>
        <w:rPr>
          <w:sz w:val="20"/>
          <w:szCs w:val="20"/>
          <w:color w:val="auto"/>
        </w:rPr>
      </w:pPr>
      <w:r>
        <w:rPr>
          <w:rFonts w:ascii="Arial" w:cs="Arial" w:eastAsia="Arial" w:hAnsi="Arial"/>
          <w:sz w:val="20"/>
          <w:szCs w:val="20"/>
          <w:color w:val="auto"/>
        </w:rPr>
        <w:t>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In addition, for a claim regarding Disability, such notification will be provided in a culturally and linguistically appropriate manner and will contain (v) a discussion of the decision, including an explanation of the basis for disagreeing with or not following: (a) the views provided by the claimant’s health care or vocation professionals who treated and evaluated the claimant; (b) the views of medical or vocational experts whose advice was obtained by the plan, regardless of whether the advice was relied upon in making the benefit determination; and (c) any disability determination made by the Social Security Administration, (vi) if the adverse benefit determination is based on medical necessity, experimental treatment, or similar exclusion or limit, either an explanation of the scientific or clinical judgement for the determination, applying the terms of the plan to the claimant’s medical circumstances, or a statement that an explanation will be provided free of charge upon request, (vii) the specific internal rules, guidelines, protocols, standards or other similar criteria (a “Guideline”) that were relied upon in making the adverse determination or a statement that such Guideline does not exist, and (viii) a statement that the claimant is entitled to receive, upon request and free of charge, reasonable access to, and copies of, all documents, records, and other information relevant to the claim for benefits.</w:t>
      </w:r>
    </w:p>
    <w:p>
      <w:pPr>
        <w:spacing w:after="0" w:line="18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Review Procedure</w:t>
      </w:r>
      <w:r>
        <w:rPr>
          <w:rFonts w:ascii="Arial" w:cs="Arial" w:eastAsia="Arial" w:hAnsi="Arial"/>
          <w:sz w:val="20"/>
          <w:szCs w:val="20"/>
          <w:color w:val="auto"/>
        </w:rPr>
        <w:t>. Within 60 days (180 days in the case of a claim regarding Disability) after the date on which a</w:t>
      </w:r>
      <w:r>
        <w:rPr>
          <w:rFonts w:ascii="Arial" w:cs="Arial" w:eastAsia="Arial" w:hAnsi="Arial"/>
          <w:sz w:val="20"/>
          <w:szCs w:val="20"/>
          <w:b w:val="1"/>
          <w:bCs w:val="1"/>
          <w:color w:val="auto"/>
        </w:rPr>
        <w:t xml:space="preserve"> </w:t>
      </w:r>
      <w:r>
        <w:rPr>
          <w:rFonts w:ascii="Arial" w:cs="Arial" w:eastAsia="Arial" w:hAnsi="Arial"/>
          <w:sz w:val="20"/>
          <w:szCs w:val="20"/>
          <w:color w:val="auto"/>
        </w:rPr>
        <w:t>person receives a written notification of denial of claim (or, if written notification is not provided, within 60 days (180 days in the case of a claim regarding Disability) of the date denial is considered to have occurred), such person (or his duly authorized representative) may (i) file a written request with the Administrator for a review of his denied claim and of pertinent documents and (ii) submit written issues and comments to the Administrator.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period (45 days in the case of a claim regarding Disability). If the decision on review is not made within such period, the claim will be considered denied. In the case of a claim regarding Disability, before a final adverse benefit determination is made, the Administrator will provide the claimant, free of charge, with any new or additional evidence or rationale considered, relied upon, or generated by the plan in connection with the claim as soon as possible and sufficiently in advance of the final notice to give the claimant a reasonable opportunity to respond prior to that date.</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260"/>
          </w:cols>
          <w:pgMar w:left="1300" w:top="1440" w:right="339" w:bottom="1440" w:gutter="0" w:footer="0" w:header="0"/>
        </w:sectPr>
      </w:pPr>
    </w:p>
    <w:bookmarkStart w:id="77" w:name="page78"/>
    <w:bookmarkEnd w:id="77"/>
    <w:p>
      <w:pPr>
        <w:spacing w:after="0" w:line="208" w:lineRule="exact"/>
        <w:rPr>
          <w:sz w:val="20"/>
          <w:szCs w:val="20"/>
          <w:color w:val="auto"/>
        </w:rPr>
      </w:pPr>
    </w:p>
    <w:p>
      <w:pPr>
        <w:jc w:val="both"/>
        <w:ind w:left="980"/>
        <w:spacing w:after="0"/>
        <w:rPr>
          <w:sz w:val="20"/>
          <w:szCs w:val="20"/>
          <w:color w:val="auto"/>
        </w:rPr>
      </w:pPr>
      <w:r>
        <w:rPr>
          <w:rFonts w:ascii="Arial" w:cs="Arial" w:eastAsia="Arial" w:hAnsi="Arial"/>
          <w:sz w:val="20"/>
          <w:szCs w:val="20"/>
          <w:color w:val="auto"/>
        </w:rPr>
        <w:t>review. In addition, for a claim regarding Disability, the notification will be provided in a culturally and linguistically appropriate manner and will contain (i) a discussion of the decision, including an explanation of the basis for disagreeing with or not following the views provided by the claimant’s health care or vocation professionals that treated and evaluated the claimant; the views of medical or vocational experts whose advise was obtained by the plan, regardless of whether the advice was relied upon in making the benefit determination; and any disability determination made by the Social Security Administration, (ii) if the adverse benefit determination is based on medical necessity, experimental treatment, or similar exclusion or limit, either an explanation of the scientific or clinical judgement for the determination, applying the terms of the plan to the claimant’s medical circumstances, or a statement that explanation will be provided free of charge upon request, (iii) any Guideline that was relied upon in making the adverse determination or a statement that such Guideline does not exist.</w:t>
      </w:r>
    </w:p>
    <w:p>
      <w:pPr>
        <w:spacing w:after="0" w:line="187" w:lineRule="exact"/>
        <w:rPr>
          <w:sz w:val="20"/>
          <w:szCs w:val="20"/>
          <w:color w:val="auto"/>
        </w:rPr>
      </w:pPr>
    </w:p>
    <w:p>
      <w:pPr>
        <w:jc w:val="both"/>
        <w:ind w:left="980" w:right="20"/>
        <w:spacing w:after="0" w:line="255" w:lineRule="auto"/>
        <w:rPr>
          <w:sz w:val="20"/>
          <w:szCs w:val="20"/>
          <w:color w:val="auto"/>
        </w:rPr>
      </w:pPr>
      <w:r>
        <w:rPr>
          <w:rFonts w:ascii="Arial" w:cs="Arial" w:eastAsia="Arial" w:hAnsi="Arial"/>
          <w:sz w:val="20"/>
          <w:szCs w:val="20"/>
          <w:b w:val="1"/>
          <w:bCs w:val="1"/>
          <w:color w:val="auto"/>
        </w:rPr>
        <w:t>Exhaustion of Claims Procedures and Right to Bring Legal Claim</w:t>
      </w:r>
      <w:r>
        <w:rPr>
          <w:rFonts w:ascii="Arial" w:cs="Arial" w:eastAsia="Arial" w:hAnsi="Arial"/>
          <w:sz w:val="20"/>
          <w:szCs w:val="20"/>
          <w:color w:val="auto"/>
        </w:rPr>
        <w:t>. No action at law or equity shall be brought</w:t>
      </w:r>
      <w:r>
        <w:rPr>
          <w:rFonts w:ascii="Arial" w:cs="Arial" w:eastAsia="Arial" w:hAnsi="Arial"/>
          <w:sz w:val="20"/>
          <w:szCs w:val="20"/>
          <w:b w:val="1"/>
          <w:bCs w:val="1"/>
          <w:color w:val="auto"/>
        </w:rPr>
        <w:t xml:space="preserve"> </w:t>
      </w:r>
      <w:r>
        <w:rPr>
          <w:rFonts w:ascii="Arial" w:cs="Arial" w:eastAsia="Arial" w:hAnsi="Arial"/>
          <w:sz w:val="20"/>
          <w:szCs w:val="20"/>
          <w:color w:val="auto"/>
        </w:rPr>
        <w:t>more than one (1) year after the Administrator’s affirmation of a denial of a claim, or, if earlier, more than four (4) years after the facts or events giving rising to the claimant’s allegation(s) or claim(s) first occurred.</w:t>
      </w:r>
    </w:p>
    <w:p>
      <w:pPr>
        <w:spacing w:after="0" w:line="171"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12.3</w:t>
        <w:tab/>
        <w:t xml:space="preserve">Plan Administrative Costs. </w:t>
      </w:r>
      <w:r>
        <w:rPr>
          <w:rFonts w:ascii="Arial" w:cs="Arial" w:eastAsia="Arial" w:hAnsi="Arial"/>
          <w:sz w:val="20"/>
          <w:szCs w:val="20"/>
          <w:color w:val="auto"/>
        </w:rPr>
        <w:t>All reasonable costs and expenses (including legal, accounting, and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communication fees) incurred by the Administrator in administering the Plan shall be paid by the Plan to the extent not paid by the Employer.</w:t>
      </w:r>
    </w:p>
    <w:p>
      <w:pPr>
        <w:spacing w:after="0" w:line="17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ARTICLE 13 - MISCELLANEOUS</w:t>
      </w:r>
    </w:p>
    <w:p>
      <w:pPr>
        <w:spacing w:after="0" w:line="21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13.1</w:t>
        <w:tab/>
        <w:t xml:space="preserve">Unsecured General Creditor of the Employer. </w:t>
      </w:r>
      <w:r>
        <w:rPr>
          <w:rFonts w:ascii="Arial" w:cs="Arial" w:eastAsia="Arial" w:hAnsi="Arial"/>
          <w:sz w:val="20"/>
          <w:szCs w:val="20"/>
          <w:color w:val="auto"/>
        </w:rPr>
        <w:t>Participants and their Beneficiaries, heirs, successors and assigns shall</w:t>
      </w:r>
      <w:r>
        <w:rPr>
          <w:rFonts w:ascii="Arial" w:cs="Arial" w:eastAsia="Arial" w:hAnsi="Arial"/>
          <w:sz w:val="20"/>
          <w:szCs w:val="20"/>
          <w:b w:val="1"/>
          <w:bCs w:val="1"/>
          <w:color w:val="auto"/>
        </w:rPr>
        <w:t xml:space="preserve"> </w:t>
      </w:r>
      <w:r>
        <w:rPr>
          <w:rFonts w:ascii="Arial" w:cs="Arial" w:eastAsia="Arial" w:hAnsi="Arial"/>
          <w:sz w:val="20"/>
          <w:szCs w:val="20"/>
          <w:color w:val="auto"/>
        </w:rPr>
        <w:t>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w:t>
      </w:r>
    </w:p>
    <w:p>
      <w:pPr>
        <w:spacing w:after="0" w:line="18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13.2</w:t>
        <w:tab/>
        <w:t xml:space="preserve">Employer’s Liability. </w:t>
      </w:r>
      <w:r>
        <w:rPr>
          <w:rFonts w:ascii="Arial" w:cs="Arial" w:eastAsia="Arial" w:hAnsi="Arial"/>
          <w:sz w:val="20"/>
          <w:szCs w:val="20"/>
          <w:color w:val="auto"/>
        </w:rPr>
        <w:t>Each Employer’s liability for the payment of benefits under the Plan shall be defined only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and by the deferral elections entered into between a Participant and the Employer. An Employer shall have no obligation or liability to a Participant under the Plan except as provided by the Plan and a deferral election or agreements. An Employer shall have no liability to Participants employed by other Employers.</w:t>
      </w:r>
    </w:p>
    <w:p>
      <w:pPr>
        <w:spacing w:after="0" w:line="17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13.3</w:t>
        <w:tab/>
        <w:t xml:space="preserve">Limitation of Rights. </w:t>
      </w:r>
      <w:r>
        <w:rPr>
          <w:rFonts w:ascii="Arial" w:cs="Arial" w:eastAsia="Arial" w:hAnsi="Arial"/>
          <w:sz w:val="20"/>
          <w:szCs w:val="20"/>
          <w:color w:val="auto"/>
        </w:rPr>
        <w:t>Neither the establishment of the Plan, nor any amendment thereof, nor the creation of any fund or</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4"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b w:val="1"/>
          <w:bCs w:val="1"/>
          <w:color w:val="auto"/>
        </w:rPr>
        <w:t>13.4</w:t>
        <w:tab/>
        <w:t xml:space="preserve">Anti-Assignment. </w:t>
      </w:r>
      <w:r>
        <w:rPr>
          <w:rFonts w:ascii="Arial" w:cs="Arial" w:eastAsia="Arial" w:hAnsi="Arial"/>
          <w:sz w:val="20"/>
          <w:szCs w:val="20"/>
          <w:color w:val="auto"/>
        </w:rPr>
        <w:t>Except as may be necessary to fulfill a domestic relations order within the meaning of Code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w:t>
      </w:r>
    </w:p>
    <w:p>
      <w:pPr>
        <w:spacing w:after="0" w:line="186"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13.5</w:t>
        <w:tab/>
        <w:t xml:space="preserve">Facility of Payment. </w:t>
      </w:r>
      <w:r>
        <w:rPr>
          <w:rFonts w:ascii="Arial" w:cs="Arial" w:eastAsia="Arial" w:hAnsi="Arial"/>
          <w:sz w:val="20"/>
          <w:szCs w:val="20"/>
          <w:color w:val="auto"/>
        </w:rPr>
        <w:t>If the Administrator determines, on the basis of medical reports or other evidence satisfactory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Administrator, that the recipient of any benefit payments under the Plan is incapable of handling his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w:t>
      </w:r>
    </w:p>
    <w:p>
      <w:pPr>
        <w:spacing w:after="0" w:line="186" w:lineRule="exact"/>
        <w:rPr>
          <w:sz w:val="20"/>
          <w:szCs w:val="20"/>
          <w:color w:val="auto"/>
        </w:rPr>
      </w:pPr>
    </w:p>
    <w:p>
      <w:pPr>
        <w:jc w:val="both"/>
        <w:ind w:left="640" w:hanging="647"/>
        <w:spacing w:after="0" w:line="247" w:lineRule="auto"/>
        <w:tabs>
          <w:tab w:leader="none" w:pos="620" w:val="left"/>
        </w:tabs>
        <w:rPr>
          <w:sz w:val="20"/>
          <w:szCs w:val="20"/>
          <w:color w:val="auto"/>
        </w:rPr>
      </w:pPr>
      <w:r>
        <w:rPr>
          <w:rFonts w:ascii="Arial" w:cs="Arial" w:eastAsia="Arial" w:hAnsi="Arial"/>
          <w:sz w:val="20"/>
          <w:szCs w:val="20"/>
          <w:b w:val="1"/>
          <w:bCs w:val="1"/>
          <w:color w:val="auto"/>
        </w:rPr>
        <w:t>13.6</w:t>
        <w:tab/>
        <w:t xml:space="preserve">Notices. </w:t>
      </w:r>
      <w:r>
        <w:rPr>
          <w:rFonts w:ascii="Arial" w:cs="Arial" w:eastAsia="Arial" w:hAnsi="Arial"/>
          <w:sz w:val="20"/>
          <w:szCs w:val="20"/>
          <w:color w:val="auto"/>
        </w:rPr>
        <w:t>Any notice or other communication to the Employer or Administrator in connection with the Plan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delivered in writing if addressed to the Plan Sponsor at the following address: 8000 South Federal Way, Boise, ID 83707, and if either actually delivered at said address or, in the case or a letter, 5 business days shall have elapsed after the same shall have been deposited in the United States mails, first-class postage prepaid and registered or certified.</w:t>
      </w:r>
    </w:p>
    <w:p>
      <w:pPr>
        <w:spacing w:after="0" w:line="180" w:lineRule="exact"/>
        <w:rPr>
          <w:sz w:val="20"/>
          <w:szCs w:val="20"/>
          <w:color w:val="auto"/>
        </w:rPr>
      </w:pPr>
    </w:p>
    <w:p>
      <w:pPr>
        <w:jc w:val="both"/>
        <w:ind w:left="640" w:right="2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13.7</w:t>
        <w:tab/>
        <w:t xml:space="preserve">Tax Withholding. </w:t>
      </w:r>
      <w:r>
        <w:rPr>
          <w:rFonts w:ascii="Arial" w:cs="Arial" w:eastAsia="Arial" w:hAnsi="Arial"/>
          <w:sz w:val="20"/>
          <w:szCs w:val="20"/>
          <w:color w:val="auto"/>
        </w:rPr>
        <w:t>If the Employer concludes that tax is owing with respect to any deferral or payment hereunder,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shall withhold such amounts from any payments due the Participant or from amounts deferred, as permitted by law, or otherwise make appropriate arrangements with the Participant or his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b w:val="1"/>
          <w:bCs w:val="1"/>
          <w:color w:val="auto"/>
        </w:rPr>
        <w:t>Indemnification.</w:t>
      </w:r>
    </w:p>
    <w:p>
      <w:pPr>
        <w:spacing w:after="0" w:line="240" w:lineRule="exact"/>
        <w:rPr>
          <w:sz w:val="20"/>
          <w:szCs w:val="20"/>
          <w:color w:val="auto"/>
        </w:rPr>
      </w:pPr>
    </w:p>
    <w:p>
      <w:pPr>
        <w:jc w:val="both"/>
        <w:ind w:left="980" w:hanging="324"/>
        <w:spacing w:after="0" w:line="241" w:lineRule="auto"/>
        <w:tabs>
          <w:tab w:leader="none" w:pos="1062" w:val="left"/>
        </w:tabs>
        <w:numPr>
          <w:ilvl w:val="0"/>
          <w:numId w:val="40"/>
        </w:numPr>
        <w:rPr>
          <w:rFonts w:ascii="Arial" w:cs="Arial" w:eastAsia="Arial" w:hAnsi="Arial"/>
          <w:sz w:val="20"/>
          <w:szCs w:val="20"/>
          <w:color w:val="auto"/>
        </w:rPr>
      </w:pPr>
      <w:r>
        <w:rPr>
          <w:rFonts w:ascii="Arial" w:cs="Arial" w:eastAsia="Arial" w:hAnsi="Arial"/>
          <w:sz w:val="20"/>
          <w:szCs w:val="20"/>
          <w:color w:val="auto"/>
        </w:rPr>
        <w:t>Each Indemnitee (as defined in Section 13.8(e)) shall be indemnified and held harmless by the Employer for all actions taken by him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8" w:lineRule="exact"/>
        <w:rPr>
          <w:sz w:val="20"/>
          <w:szCs w:val="20"/>
          <w:color w:val="auto"/>
        </w:rPr>
      </w:pPr>
    </w:p>
    <w:p>
      <w:pPr>
        <w:jc w:val="both"/>
        <w:ind w:left="980"/>
        <w:spacing w:after="0" w:line="262" w:lineRule="auto"/>
        <w:rPr>
          <w:sz w:val="20"/>
          <w:szCs w:val="20"/>
          <w:color w:val="auto"/>
        </w:rPr>
      </w:pPr>
      <w:r>
        <w:rPr>
          <w:rFonts w:ascii="Arial" w:cs="Arial" w:eastAsia="Arial" w:hAnsi="Arial"/>
          <w:sz w:val="19"/>
          <w:szCs w:val="19"/>
          <w:color w:val="auto"/>
        </w:rPr>
        <w:t>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w:t>
      </w:r>
    </w:p>
    <w:p>
      <w:pPr>
        <w:spacing w:after="0" w:line="189" w:lineRule="exact"/>
        <w:rPr>
          <w:sz w:val="20"/>
          <w:szCs w:val="20"/>
          <w:color w:val="auto"/>
        </w:rPr>
      </w:pPr>
    </w:p>
    <w:p>
      <w:pPr>
        <w:jc w:val="both"/>
        <w:ind w:left="980" w:hanging="324"/>
        <w:spacing w:after="0"/>
        <w:tabs>
          <w:tab w:leader="none" w:pos="9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w:t>
      </w:r>
    </w:p>
    <w:p>
      <w:pPr>
        <w:spacing w:after="0" w:line="212" w:lineRule="exact"/>
        <w:rPr>
          <w:rFonts w:ascii="Arial" w:cs="Arial" w:eastAsia="Arial" w:hAnsi="Arial"/>
          <w:sz w:val="20"/>
          <w:szCs w:val="20"/>
          <w:color w:val="auto"/>
        </w:rPr>
      </w:pPr>
    </w:p>
    <w:p>
      <w:pPr>
        <w:jc w:val="both"/>
        <w:ind w:left="980" w:hanging="324"/>
        <w:spacing w:after="0" w:line="241" w:lineRule="auto"/>
        <w:tabs>
          <w:tab w:leader="none" w:pos="968"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Indemnification pursuant to this Section shall continue as to an Indemnitee who has ceased to be such and shall inure to the benefit of his heirs, executors, and administrators. The Employer agrees that the undertakings made in this Section shall be binding on its successors or assigns and shall survive the termination, amendment or restatement of the Plan.</w:t>
      </w:r>
    </w:p>
    <w:p>
      <w:pPr>
        <w:spacing w:after="0" w:line="210" w:lineRule="exact"/>
        <w:rPr>
          <w:rFonts w:ascii="Arial" w:cs="Arial" w:eastAsia="Arial" w:hAnsi="Arial"/>
          <w:sz w:val="20"/>
          <w:szCs w:val="20"/>
          <w:color w:val="auto"/>
        </w:rPr>
      </w:pPr>
    </w:p>
    <w:p>
      <w:pPr>
        <w:jc w:val="both"/>
        <w:ind w:left="980" w:hanging="324"/>
        <w:spacing w:after="0" w:line="243" w:lineRule="auto"/>
        <w:tabs>
          <w:tab w:leader="none" w:pos="97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w:t>
      </w:r>
    </w:p>
    <w:p>
      <w:pPr>
        <w:spacing w:after="0" w:line="205" w:lineRule="exact"/>
        <w:rPr>
          <w:rFonts w:ascii="Arial" w:cs="Arial" w:eastAsia="Arial" w:hAnsi="Arial"/>
          <w:sz w:val="20"/>
          <w:szCs w:val="20"/>
          <w:color w:val="auto"/>
        </w:rPr>
      </w:pPr>
    </w:p>
    <w:p>
      <w:pPr>
        <w:ind w:left="980" w:hanging="324"/>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For the purposes of this Section, the following definitions shall apply:</w:t>
      </w:r>
    </w:p>
    <w:p>
      <w:pPr>
        <w:spacing w:after="0" w:line="215" w:lineRule="exact"/>
        <w:rPr>
          <w:rFonts w:ascii="Arial" w:cs="Arial" w:eastAsia="Arial" w:hAnsi="Arial"/>
          <w:sz w:val="20"/>
          <w:szCs w:val="20"/>
          <w:color w:val="auto"/>
        </w:rPr>
      </w:pPr>
    </w:p>
    <w:p>
      <w:pPr>
        <w:jc w:val="both"/>
        <w:ind w:left="1620" w:hanging="235"/>
        <w:spacing w:after="0" w:line="241" w:lineRule="auto"/>
        <w:tabs>
          <w:tab w:leader="none" w:pos="1607" w:val="left"/>
        </w:tabs>
        <w:numPr>
          <w:ilvl w:val="1"/>
          <w:numId w:val="41"/>
        </w:numPr>
        <w:rPr>
          <w:rFonts w:ascii="Arial" w:cs="Arial" w:eastAsia="Arial" w:hAnsi="Arial"/>
          <w:sz w:val="20"/>
          <w:szCs w:val="20"/>
          <w:color w:val="auto"/>
        </w:rPr>
      </w:pPr>
      <w:r>
        <w:rPr>
          <w:rFonts w:ascii="Arial" w:cs="Arial" w:eastAsia="Arial" w:hAnsi="Arial"/>
          <w:sz w:val="20"/>
          <w:szCs w:val="20"/>
          <w:color w:val="auto"/>
        </w:rPr>
        <w:t>“Indemnitee” shall mean each person serving as an Administrator (or any other person who is an employee, director, or officer of the Employer) who was or is a party to, or is threatened to be made a party to, or is otherwise involved in, any Proceeding, by reason of the fact that he is or was performing administrative functions under the Plan.</w:t>
      </w:r>
    </w:p>
    <w:p>
      <w:pPr>
        <w:spacing w:after="0" w:line="210" w:lineRule="exact"/>
        <w:rPr>
          <w:sz w:val="20"/>
          <w:szCs w:val="20"/>
          <w:color w:val="auto"/>
        </w:rPr>
      </w:pPr>
    </w:p>
    <w:p>
      <w:pPr>
        <w:jc w:val="both"/>
        <w:ind w:left="1620" w:hanging="242"/>
        <w:spacing w:after="0" w:line="243" w:lineRule="auto"/>
        <w:rPr>
          <w:sz w:val="20"/>
          <w:szCs w:val="20"/>
          <w:color w:val="auto"/>
        </w:rPr>
      </w:pPr>
      <w:r>
        <w:rPr>
          <w:rFonts w:ascii="Arial" w:cs="Arial" w:eastAsia="Arial" w:hAnsi="Arial"/>
          <w:sz w:val="20"/>
          <w:szCs w:val="20"/>
          <w:color w:val="auto"/>
        </w:rPr>
        <w:t>(ii)“Proceeding” shall mean any threatened, pending, or completed action, suit, or proceeding (including, without limitation, an action, suit, or proceeding by or in the right of the Employer), whether civil, criminal, administrative, investigative, or through arbitration.</w:t>
      </w:r>
    </w:p>
    <w:p>
      <w:pPr>
        <w:spacing w:after="0" w:line="182"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13.9</w:t>
        <w:tab/>
        <w:t xml:space="preserve">Successors. </w:t>
      </w:r>
      <w:r>
        <w:rPr>
          <w:rFonts w:ascii="Arial" w:cs="Arial" w:eastAsia="Arial" w:hAnsi="Arial"/>
          <w:sz w:val="20"/>
          <w:szCs w:val="20"/>
          <w:color w:val="auto"/>
        </w:rPr>
        <w:t>The provisions of the Plan shall bind and inure to the benefit of the Plan Sponsor, the Employer and their</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and assigns and the Participant and the Participant’s designated Beneficiaries.</w:t>
      </w:r>
    </w:p>
    <w:p>
      <w:pPr>
        <w:spacing w:after="0" w:line="156" w:lineRule="exact"/>
        <w:rPr>
          <w:sz w:val="20"/>
          <w:szCs w:val="20"/>
          <w:color w:val="auto"/>
        </w:rPr>
      </w:pPr>
    </w:p>
    <w:p>
      <w:pPr>
        <w:jc w:val="both"/>
        <w:ind w:left="660" w:hanging="647"/>
        <w:spacing w:after="0" w:line="255" w:lineRule="auto"/>
        <w:rPr>
          <w:sz w:val="20"/>
          <w:szCs w:val="20"/>
          <w:color w:val="auto"/>
        </w:rPr>
      </w:pPr>
      <w:r>
        <w:rPr>
          <w:rFonts w:ascii="Arial" w:cs="Arial" w:eastAsia="Arial" w:hAnsi="Arial"/>
          <w:sz w:val="20"/>
          <w:szCs w:val="20"/>
          <w:b w:val="1"/>
          <w:bCs w:val="1"/>
          <w:color w:val="auto"/>
        </w:rPr>
        <w:t xml:space="preserve">13.10 Disclaimer. </w:t>
      </w:r>
      <w:r>
        <w:rPr>
          <w:rFonts w:ascii="Arial" w:cs="Arial" w:eastAsia="Arial" w:hAnsi="Arial"/>
          <w:sz w:val="20"/>
          <w:szCs w:val="20"/>
          <w:color w:val="auto"/>
        </w:rPr>
        <w:t>It is the Plan Sponsor’s intention that the Plan comply with the requirements of Code Section 409A. Neither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Sponsor nor the Employer shall have any liability to any Participant should any provision of the Plan fail to satisfy the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13.11  Governing Law. </w:t>
      </w:r>
      <w:r>
        <w:rPr>
          <w:rFonts w:ascii="Arial" w:cs="Arial" w:eastAsia="Arial" w:hAnsi="Arial"/>
          <w:sz w:val="20"/>
          <w:szCs w:val="20"/>
          <w:color w:val="auto"/>
        </w:rPr>
        <w:t>The Plan will be construed, administered and enforced according to the laws of Delaware.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Executed this 30th day of March, but effective as of January 1, 2021, except as otherwise expressly provided herein.</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MICRON TECHNOLOGY, INC.</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April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-22860</wp:posOffset>
            </wp:positionV>
            <wp:extent cx="14103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41033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By: April Arnzen</w:t>
      </w:r>
    </w:p>
    <w:p>
      <w:pPr>
        <w:ind w:left="3900"/>
        <w:spacing w:after="0"/>
        <w:rPr>
          <w:sz w:val="20"/>
          <w:szCs w:val="20"/>
          <w:color w:val="auto"/>
        </w:rPr>
      </w:pPr>
      <w:r>
        <w:rPr>
          <w:rFonts w:ascii="Arial" w:cs="Arial" w:eastAsia="Arial" w:hAnsi="Arial"/>
          <w:sz w:val="20"/>
          <w:szCs w:val="20"/>
          <w:color w:val="auto"/>
        </w:rPr>
        <w:t>Its: Senior Vice President and Chief People Officer</w:t>
      </w: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80"/>
          </w:cols>
          <w:pgMar w:left="320" w:top="1440" w:right="13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April 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4" w:lineRule="auto"/>
        <w:rPr>
          <w:sz w:val="20"/>
          <w:szCs w:val="20"/>
          <w:color w:val="auto"/>
        </w:rPr>
      </w:pPr>
      <w:r>
        <w:rPr>
          <w:rFonts w:ascii="Arial" w:cs="Arial" w:eastAsia="Arial" w:hAnsi="Arial"/>
          <w:sz w:val="18"/>
          <w:szCs w:val="18"/>
          <w:color w:val="auto"/>
        </w:rPr>
        <w:t>Micron Technology, Inc.</w:t>
      </w:r>
    </w:p>
    <w:p>
      <w:pPr>
        <w:spacing w:after="0" w:line="235" w:lineRule="auto"/>
        <w:rPr>
          <w:sz w:val="20"/>
          <w:szCs w:val="20"/>
          <w:color w:val="auto"/>
        </w:rPr>
      </w:pPr>
      <w:r>
        <w:rPr>
          <w:rFonts w:ascii="Arial" w:cs="Arial" w:eastAsia="Arial" w:hAnsi="Arial"/>
          <w:sz w:val="18"/>
          <w:szCs w:val="18"/>
          <w:color w:val="auto"/>
        </w:rPr>
        <w:t>8000 South Federal Way</w:t>
      </w:r>
    </w:p>
    <w:p>
      <w:pPr>
        <w:spacing w:after="0" w:line="204" w:lineRule="auto"/>
        <w:rPr>
          <w:sz w:val="20"/>
          <w:szCs w:val="20"/>
          <w:color w:val="auto"/>
        </w:rPr>
      </w:pPr>
      <w:r>
        <w:rPr>
          <w:rFonts w:ascii="Arial" w:cs="Arial" w:eastAsia="Arial" w:hAnsi="Arial"/>
          <w:sz w:val="18"/>
          <w:szCs w:val="18"/>
          <w:color w:val="auto"/>
        </w:rPr>
        <w:t>Post Office Box 6</w:t>
      </w:r>
    </w:p>
    <w:p>
      <w:pPr>
        <w:spacing w:after="0"/>
        <w:rPr>
          <w:sz w:val="20"/>
          <w:szCs w:val="20"/>
          <w:color w:val="auto"/>
        </w:rPr>
      </w:pPr>
      <w:r>
        <w:rPr>
          <w:rFonts w:ascii="Arial" w:cs="Arial" w:eastAsia="Arial" w:hAnsi="Arial"/>
          <w:sz w:val="18"/>
          <w:szCs w:val="18"/>
          <w:color w:val="auto"/>
        </w:rPr>
        <w:t>Boise, ID 83707-0006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Directors:</w:t>
      </w:r>
    </w:p>
    <w:p>
      <w:pPr>
        <w:spacing w:after="0" w:line="23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are providing this letter to you for inclusion as an exhibit to Micron Technology, Inc.’s (the “Company”) Quarterly Report on Form 10-Q for the period ended March 4, 2021 (the “Form 10-Q”) pursuant to Item 601 of Regulation S-K.</w:t>
      </w:r>
    </w:p>
    <w:p>
      <w:pPr>
        <w:spacing w:after="0" w:line="2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We have been provided a copy of the Company’s Form 10-Q. The Significant Accounting Policies and Inventories notes to the consolidated financial statements therein describe a change in accounting principle from the average cost inventory accounting method to the first-in, first-out (“FIFO”) inventory accounting method and a change in accounting principle in the classification of spare parts for equipment from raw materials inventories to other current assets. It should be understood that the preferability of one acceptable method of accounting over another for determining the cost of inventory or the classification of spare parts has not been addressed in any authoritative accounting literature, and in expressing our concurrence below we have relied on management’s determination that these changes in accounting principle are preferable. Based on our reading of management’s stated reasons and justification for these changes in accounting principle in the Form 10-Q, and our discussions with management as to their judgment about the relevant business planning factors relating to the changes, we concur with management that such changes represent, in the Company’s circumstances, changes to preferable accounting principles in conformity with Accounting Standards Codification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w:t>
      </w:r>
    </w:p>
    <w:p>
      <w:pPr>
        <w:spacing w:after="0" w:line="233" w:lineRule="exact"/>
        <w:rPr>
          <w:sz w:val="20"/>
          <w:szCs w:val="20"/>
          <w:color w:val="auto"/>
        </w:rPr>
      </w:pPr>
    </w:p>
    <w:p>
      <w:pPr>
        <w:ind w:right="820"/>
        <w:spacing w:after="0"/>
        <w:rPr>
          <w:sz w:val="20"/>
          <w:szCs w:val="20"/>
          <w:color w:val="auto"/>
        </w:rPr>
      </w:pPr>
      <w:r>
        <w:rPr>
          <w:rFonts w:ascii="Arial" w:cs="Arial" w:eastAsia="Arial" w:hAnsi="Arial"/>
          <w:sz w:val="18"/>
          <w:szCs w:val="18"/>
          <w:color w:val="auto"/>
        </w:rPr>
        <w:t>We have not audited any financial statements of the Company as of any date or for any period subsequent to September 3, 2020. Accordingly, our comments are subject to change upon completion of an audit of the financial statements covering the period of the accounting changes.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ectPr>
          <w:pgSz w:w="11900" w:h="16838" w:orient="portrait"/>
          <w:cols w:equalWidth="0" w:num="1">
            <w:col w:w="11240"/>
          </w:cols>
          <w:pgMar w:left="320" w:top="886"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31.1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1,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6350</wp:posOffset>
            </wp:positionV>
            <wp:extent cx="33261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31.2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71"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660" w:right="60" w:hanging="328"/>
        <w:spacing w:after="0" w:line="256"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660" w:right="400" w:hanging="328"/>
        <w:spacing w:after="0" w:line="256"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660" w:right="280" w:hanging="328"/>
        <w:spacing w:after="0" w:line="291" w:lineRule="auto"/>
        <w:tabs>
          <w:tab w:leader="none" w:pos="64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660" w:right="520" w:hanging="328"/>
        <w:spacing w:after="0" w:line="261" w:lineRule="auto"/>
        <w:tabs>
          <w:tab w:leader="none" w:pos="6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April 1,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572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98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32.1</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March 4, 2021,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23" w:lineRule="exact"/>
        <w:rPr>
          <w:sz w:val="20"/>
          <w:szCs w:val="20"/>
          <w:color w:val="auto"/>
        </w:rPr>
      </w:pPr>
    </w:p>
    <w:p>
      <w:pPr>
        <w:ind w:left="60"/>
        <w:spacing w:after="0"/>
        <w:tabs>
          <w:tab w:leader="none" w:pos="680" w:val="left"/>
          <w:tab w:leader="none" w:pos="5600" w:val="left"/>
        </w:tabs>
        <w:rPr>
          <w:sz w:val="20"/>
          <w:szCs w:val="20"/>
          <w:color w:val="auto"/>
        </w:rPr>
      </w:pPr>
      <w:r>
        <w:rPr>
          <w:rFonts w:ascii="Arial" w:cs="Arial" w:eastAsia="Arial" w:hAnsi="Arial"/>
          <w:sz w:val="18"/>
          <w:szCs w:val="18"/>
          <w:color w:val="auto"/>
        </w:rPr>
        <w:t>Date:</w:t>
        <w:tab/>
        <w:t>April 1, 2021</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6350</wp:posOffset>
            </wp:positionV>
            <wp:extent cx="3557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32.2</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8"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March 4, 2021,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23"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April 1, 2021</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57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3"/>
    </w:lvl>
  </w:abstractNum>
  <w:abstractNum w:abstractNumId="29">
    <w:nsid w:val="3804823E"/>
    <w:multiLevelType w:val="hybridMultilevel"/>
    <w:lvl w:ilvl="0">
      <w:lvlJc w:val="left"/>
      <w:lvlText w:val="(%1)"/>
      <w:numFmt w:val="lowerLetter"/>
      <w:start w:val="1"/>
    </w:lvl>
    <w:lvl w:ilvl="1">
      <w:lvlJc w:val="left"/>
      <w:lvlText w:val="(%2)"/>
      <w:numFmt w:val="lowerRoman"/>
      <w:start w:val="1"/>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1)"/>
      <w:numFmt w:val="lowerLetter"/>
      <w:start w:val="2"/>
    </w:lvl>
  </w:abstractNum>
  <w:abstractNum w:abstractNumId="34">
    <w:nsid w:val="5E884ADC"/>
    <w:multiLevelType w:val="hybridMultilevel"/>
    <w:lvl w:ilvl="0">
      <w:lvlJc w:val="left"/>
      <w:lvlText w:val="(%1)"/>
      <w:numFmt w:val="lowerLetter"/>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Letter"/>
      <w:start w:val="2"/>
    </w:lvl>
    <w:lvl w:ilvl="1">
      <w:lvlJc w:val="left"/>
      <w:lvlText w:val="(%2)"/>
      <w:numFmt w:val="lowerLetter"/>
      <w:start w:val="9"/>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jpe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0" Type="http://schemas.openxmlformats.org/officeDocument/2006/relationships/hyperlink" Target="https://www.sec.gov/Archives/edgar/data/723125/000072312521000018/exhibit31-amendedandrestat.htm" TargetMode="External"/><Relationship Id="rId101" Type="http://schemas.openxmlformats.org/officeDocument/2006/relationships/hyperlink" Target="https://www.sec.gov/Archives/edgar/data/723125/000072312520000091/a2020definitiveproxy.htm#i9efa54f8cda348dca7e1a84d2a2067d2_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2021-04-01T12:52:27Z</dcterms:created>
  <dcterms:modified xsi:type="dcterms:W3CDTF">2021-04-01T12:52:27Z</dcterms:modified>
</cp:coreProperties>
</file>