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FORM 10-K</w:t>
      </w:r>
    </w:p>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528"/>
        <w:spacing w:after="0"/>
        <w:tabs>
          <w:tab w:leader="none" w:pos="4127" w:val="left"/>
        </w:tabs>
        <w:rPr>
          <w:sz w:val="20"/>
          <w:szCs w:val="20"/>
          <w:color w:val="auto"/>
        </w:rPr>
      </w:pPr>
      <w:r>
        <w:rPr>
          <w:rFonts w:ascii="Courier New" w:cs="Courier New" w:eastAsia="Courier New" w:hAnsi="Courier New"/>
          <w:sz w:val="15"/>
          <w:szCs w:val="15"/>
          <w:color w:val="auto"/>
        </w:rPr>
        <w:t>Washington, D.C.</w:t>
        <w:tab/>
        <w:t>20549</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728" w:right="3019" w:hanging="728"/>
        <w:spacing w:after="0" w:line="243" w:lineRule="auto"/>
        <w:tabs>
          <w:tab w:leader="none" w:pos="7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ectPr>
          <w:pgSz w:w="11900" w:h="16838" w:orient="portrait"/>
          <w:cols w:equalWidth="0" w:num="1">
            <w:col w:w="10227"/>
          </w:cols>
          <w:pgMar w:left="232" w:top="580" w:right="1440" w:bottom="1440" w:gutter="0" w:footer="0" w:header="0"/>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FOR THE FISCAL YEAR ENDED</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AUGUST 28, 1997</w:t>
      </w:r>
    </w:p>
    <w:p>
      <w:pPr>
        <w:spacing w:after="0" w:line="187" w:lineRule="exact"/>
        <w:rPr>
          <w:sz w:val="24"/>
          <w:szCs w:val="24"/>
          <w:color w:val="auto"/>
        </w:rPr>
      </w:pPr>
    </w:p>
    <w:p>
      <w:pPr>
        <w:sectPr>
          <w:pgSz w:w="11900" w:h="16838" w:orient="portrait"/>
          <w:cols w:equalWidth="0" w:num="2">
            <w:col w:w="2248" w:space="640"/>
            <w:col w:w="7339"/>
          </w:cols>
          <w:pgMar w:left="232" w:top="580" w:right="1440" w:bottom="1440" w:gutter="0" w:footer="0" w:header="0"/>
          <w:type w:val="continuous"/>
        </w:sectPr>
      </w:pPr>
    </w:p>
    <w:p>
      <w:pPr>
        <w:ind w:left="3428"/>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7"/>
          </w:cols>
          <w:pgMar w:left="232" w:top="580" w:right="1440" w:bottom="1440" w:gutter="0" w:footer="0" w:header="0"/>
          <w:type w:val="continuous"/>
        </w:sectPr>
      </w:pP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spacing w:after="0" w:line="175" w:lineRule="exact"/>
        <w:rPr>
          <w:sz w:val="24"/>
          <w:szCs w:val="24"/>
          <w:color w:val="auto"/>
        </w:rPr>
      </w:pPr>
    </w:p>
    <w:p>
      <w:pPr>
        <w:sectPr>
          <w:pgSz w:w="11900" w:h="16838" w:orient="portrait"/>
          <w:cols w:equalWidth="0" w:num="2">
            <w:col w:w="268" w:space="460"/>
            <w:col w:w="9499"/>
          </w:cols>
          <w:pgMar w:left="232" w:top="580" w:right="1440" w:bottom="1440" w:gutter="0" w:footer="0" w:header="0"/>
          <w:type w:val="continuous"/>
        </w:sectPr>
      </w:pPr>
    </w:p>
    <w:p>
      <w:pPr>
        <w:spacing w:after="0" w:line="1"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177" w:lineRule="exact"/>
        <w:rPr>
          <w:sz w:val="24"/>
          <w:szCs w:val="24"/>
          <w:color w:val="auto"/>
        </w:rPr>
      </w:pPr>
    </w:p>
    <w:p>
      <w:pPr>
        <w:sectPr>
          <w:pgSz w:w="11900" w:h="16838" w:orient="portrait"/>
          <w:cols w:equalWidth="0" w:num="2">
            <w:col w:w="2708" w:space="720"/>
            <w:col w:w="6799"/>
          </w:cols>
          <w:pgMar w:left="232" w:top="580" w:right="1440" w:bottom="1440" w:gutter="0" w:footer="0" w:header="0"/>
          <w:type w:val="continuous"/>
        </w:sectPr>
      </w:pPr>
    </w:p>
    <w:p>
      <w:pPr>
        <w:spacing w:after="0" w:line="1"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1-10658</w:t>
      </w:r>
    </w:p>
    <w:p>
      <w:pPr>
        <w:spacing w:after="0" w:line="200" w:lineRule="exact"/>
        <w:rPr>
          <w:sz w:val="24"/>
          <w:szCs w:val="24"/>
          <w:color w:val="auto"/>
        </w:rPr>
      </w:pPr>
    </w:p>
    <w:p>
      <w:pPr>
        <w:sectPr>
          <w:pgSz w:w="11900" w:h="16838" w:orient="portrait"/>
          <w:cols w:equalWidth="0" w:num="2">
            <w:col w:w="2428" w:space="720"/>
            <w:col w:w="7079"/>
          </w:cols>
          <w:pgMar w:left="232" w:top="580" w:right="1440" w:bottom="1440" w:gutter="0" w:footer="0" w:header="0"/>
          <w:type w:val="continuous"/>
        </w:sectPr>
      </w:pPr>
    </w:p>
    <w:p>
      <w:pPr>
        <w:spacing w:after="0" w:line="150"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MICRON TECHNOLOGY, INC.</w:t>
      </w:r>
    </w:p>
    <w:p>
      <w:pPr>
        <w:spacing w:after="0" w:line="4"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7"/>
          </w:cols>
          <w:pgMar w:left="232" w:top="580" w:right="1440" w:bottom="1440" w:gutter="0" w:footer="0" w:header="0"/>
          <w:type w:val="continuous"/>
        </w:sectPr>
      </w:pPr>
    </w:p>
    <w:p>
      <w:pPr>
        <w:spacing w:after="0" w:line="361" w:lineRule="exact"/>
        <w:rPr>
          <w:sz w:val="24"/>
          <w:szCs w:val="24"/>
          <w:color w:val="auto"/>
        </w:rPr>
      </w:pPr>
    </w:p>
    <w:p>
      <w:pPr>
        <w:jc w:val="center"/>
        <w:ind w:right="1172"/>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jc w:val="center"/>
        <w:ind w:right="1092"/>
        <w:spacing w:after="0"/>
        <w:rPr>
          <w:sz w:val="20"/>
          <w:szCs w:val="20"/>
          <w:color w:val="auto"/>
        </w:rPr>
      </w:pPr>
      <w:r>
        <w:rPr>
          <w:rFonts w:ascii="Courier New" w:cs="Courier New" w:eastAsia="Courier New" w:hAnsi="Courier New"/>
          <w:sz w:val="14"/>
          <w:szCs w:val="14"/>
          <w:color w:val="auto"/>
        </w:rPr>
        <w:t>(STATE OR OTHER JURISDICTION OF</w:t>
      </w:r>
    </w:p>
    <w:p>
      <w:pPr>
        <w:spacing w:after="0" w:line="15" w:lineRule="exact"/>
        <w:rPr>
          <w:sz w:val="24"/>
          <w:szCs w:val="24"/>
          <w:color w:val="auto"/>
        </w:rPr>
      </w:pPr>
    </w:p>
    <w:p>
      <w:pPr>
        <w:jc w:val="center"/>
        <w:ind w:right="1012"/>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75-1618004</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8" w:lineRule="exact"/>
        <w:rPr>
          <w:sz w:val="24"/>
          <w:szCs w:val="24"/>
          <w:color w:val="auto"/>
        </w:rPr>
      </w:pPr>
    </w:p>
    <w:p>
      <w:pPr>
        <w:sectPr>
          <w:pgSz w:w="11900" w:h="16838" w:orient="portrait"/>
          <w:cols w:equalWidth="0" w:num="2">
            <w:col w:w="4608" w:space="720"/>
            <w:col w:w="4899"/>
          </w:cols>
          <w:pgMar w:left="232" w:top="580" w:right="1440" w:bottom="1440" w:gutter="0" w:footer="0" w:header="0"/>
          <w:type w:val="continuous"/>
        </w:sectPr>
      </w:pPr>
    </w:p>
    <w:p>
      <w:pPr>
        <w:ind w:left="88" w:right="920" w:hanging="89"/>
        <w:spacing w:after="0" w:line="278" w:lineRule="auto"/>
        <w:rPr>
          <w:sz w:val="20"/>
          <w:szCs w:val="20"/>
          <w:color w:val="auto"/>
        </w:rPr>
      </w:pPr>
      <w:r>
        <w:rPr>
          <w:rFonts w:ascii="Courier New" w:cs="Courier New" w:eastAsia="Courier New" w:hAnsi="Courier New"/>
          <w:sz w:val="14"/>
          <w:szCs w:val="14"/>
          <w:color w:val="auto"/>
        </w:rPr>
        <w:t>8000 S. FEDERAL WAY, P.O. BOX 6, BOISE, IDAHO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83707-0006</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8" w:lineRule="exact"/>
        <w:rPr>
          <w:sz w:val="24"/>
          <w:szCs w:val="24"/>
          <w:color w:val="auto"/>
        </w:rPr>
      </w:pPr>
    </w:p>
    <w:p>
      <w:pPr>
        <w:sectPr>
          <w:pgSz w:w="11900" w:h="16838" w:orient="portrait"/>
          <w:cols w:equalWidth="0" w:num="2">
            <w:col w:w="4968" w:space="720"/>
            <w:col w:w="4539"/>
          </w:cols>
          <w:pgMar w:left="232" w:top="580"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(208) 368-4000</w:t>
      </w:r>
    </w:p>
    <w:p>
      <w:pPr>
        <w:spacing w:after="0" w:line="187" w:lineRule="exact"/>
        <w:rPr>
          <w:sz w:val="24"/>
          <w:szCs w:val="24"/>
          <w:color w:val="auto"/>
        </w:rPr>
      </w:pPr>
    </w:p>
    <w:p>
      <w:pPr>
        <w:sectPr>
          <w:pgSz w:w="11900" w:h="16838" w:orient="portrait"/>
          <w:cols w:equalWidth="0" w:num="2">
            <w:col w:w="4868" w:space="720"/>
            <w:col w:w="4639"/>
          </w:cols>
          <w:pgMar w:left="232" w:top="580" w:right="1440" w:bottom="1440" w:gutter="0" w:footer="0" w:header="0"/>
          <w:type w:val="continuous"/>
        </w:sectPr>
      </w:pPr>
    </w:p>
    <w:p>
      <w:pPr>
        <w:spacing w:after="0" w:line="1" w:lineRule="exact"/>
        <w:rPr>
          <w:sz w:val="24"/>
          <w:szCs w:val="24"/>
          <w:color w:val="auto"/>
        </w:rPr>
      </w:pPr>
    </w:p>
    <w:p>
      <w:pPr>
        <w:ind w:left="988" w:right="820" w:hanging="979"/>
        <w:spacing w:after="0" w:line="243" w:lineRule="auto"/>
        <w:tabs>
          <w:tab w:leader="none" w:pos="967" w:val="left"/>
        </w:tabs>
        <w:rPr>
          <w:sz w:val="20"/>
          <w:szCs w:val="20"/>
          <w:color w:val="auto"/>
        </w:rPr>
      </w:pPr>
      <w:r>
        <w:rPr>
          <w:rFonts w:ascii="Courier New" w:cs="Courier New" w:eastAsia="Courier New" w:hAnsi="Courier New"/>
          <w:sz w:val="15"/>
          <w:szCs w:val="15"/>
          <w:color w:val="auto"/>
        </w:rPr>
        <w:t>SECURITIES</w:t>
        <w:tab/>
        <w:t>REGISTERED PURSUANT TO SECTION 12(b) OF THE ACT:</w:t>
      </w:r>
    </w:p>
    <w:p>
      <w:pPr>
        <w:spacing w:after="0" w:line="20" w:lineRule="exact"/>
        <w:rPr>
          <w:sz w:val="24"/>
          <w:szCs w:val="24"/>
          <w:color w:val="auto"/>
        </w:rPr>
      </w:pPr>
      <w:r>
        <w:rPr>
          <w:sz w:val="24"/>
          <w:szCs w:val="24"/>
          <w:color w:val="auto"/>
        </w:rPr>
        <w:br w:type="column"/>
      </w:r>
    </w:p>
    <w:p>
      <w:pPr>
        <w:jc w:val="center"/>
        <w:ind w:right="3099"/>
        <w:spacing w:after="0"/>
        <w:rPr>
          <w:sz w:val="20"/>
          <w:szCs w:val="20"/>
          <w:color w:val="auto"/>
        </w:rPr>
      </w:pPr>
      <w:r>
        <w:rPr>
          <w:rFonts w:ascii="Courier New" w:cs="Courier New" w:eastAsia="Courier New" w:hAnsi="Courier New"/>
          <w:sz w:val="15"/>
          <w:szCs w:val="15"/>
          <w:color w:val="auto"/>
        </w:rPr>
        <w:t>NAME OF EACH EXCHANGE</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ON WHICH REGISTERED</w:t>
      </w:r>
    </w:p>
    <w:p>
      <w:pPr>
        <w:spacing w:after="0" w:line="4" w:lineRule="exact"/>
        <w:rPr>
          <w:sz w:val="24"/>
          <w:szCs w:val="24"/>
          <w:color w:val="auto"/>
        </w:rPr>
      </w:pPr>
    </w:p>
    <w:p>
      <w:pPr>
        <w:sectPr>
          <w:pgSz w:w="11900" w:h="16838" w:orient="portrait"/>
          <w:cols w:equalWidth="0" w:num="2">
            <w:col w:w="4508" w:space="720"/>
            <w:col w:w="4999"/>
          </w:cols>
          <w:pgMar w:left="232" w:top="580" w:right="1440" w:bottom="1440" w:gutter="0" w:footer="0" w:header="0"/>
          <w:type w:val="continuous"/>
        </w:sectPr>
      </w:pPr>
    </w:p>
    <w:p>
      <w:pPr>
        <w:ind w:left="908"/>
        <w:spacing w:after="0"/>
        <w:rPr>
          <w:sz w:val="20"/>
          <w:szCs w:val="20"/>
          <w:color w:val="auto"/>
        </w:rPr>
      </w:pPr>
      <w:r>
        <w:rPr>
          <w:rFonts w:ascii="Courier New" w:cs="Courier New" w:eastAsia="Courier New" w:hAnsi="Courier New"/>
          <w:sz w:val="14"/>
          <w:szCs w:val="14"/>
          <w:color w:val="auto"/>
        </w:rPr>
        <w:t>TITLE OF EACH CLASS</w:t>
      </w:r>
    </w:p>
    <w:p>
      <w:pPr>
        <w:sectPr>
          <w:pgSz w:w="11900" w:h="16838" w:orient="portrait"/>
          <w:cols w:equalWidth="0" w:num="1">
            <w:col w:w="10227"/>
          </w:cols>
          <w:pgMar w:left="232" w:top="580" w:right="1440" w:bottom="1440" w:gutter="0" w:footer="0" w:header="0"/>
          <w:type w:val="continuous"/>
        </w:sectPr>
      </w:pPr>
    </w:p>
    <w:p>
      <w:pPr>
        <w:spacing w:after="0" w:line="15"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COMMON STOCK, PAR VALUE $.10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87" w:lineRule="exact"/>
        <w:rPr>
          <w:sz w:val="24"/>
          <w:szCs w:val="24"/>
          <w:color w:val="auto"/>
        </w:rPr>
      </w:pPr>
    </w:p>
    <w:p>
      <w:pPr>
        <w:sectPr>
          <w:pgSz w:w="11900" w:h="16838" w:orient="portrait"/>
          <w:cols w:equalWidth="0" w:num="2">
            <w:col w:w="4428" w:space="720"/>
            <w:col w:w="5079"/>
          </w:cols>
          <w:pgMar w:left="232" w:top="580" w:right="1440" w:bottom="1440" w:gutter="0" w:footer="0" w:header="0"/>
          <w:type w:val="continuous"/>
        </w:sectPr>
      </w:pPr>
    </w:p>
    <w:p>
      <w:pPr>
        <w:jc w:val="center"/>
        <w:ind w:right="309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NONE</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(TITLE OF CLASS)</w:t>
      </w:r>
    </w:p>
    <w:p>
      <w:pPr>
        <w:spacing w:after="0" w:line="178" w:lineRule="exact"/>
        <w:rPr>
          <w:sz w:val="24"/>
          <w:szCs w:val="24"/>
          <w:color w:val="auto"/>
        </w:rPr>
      </w:pPr>
    </w:p>
    <w:p>
      <w:pPr>
        <w:ind w:left="8" w:right="3099" w:firstLine="180"/>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7" w:lineRule="exact"/>
        <w:rPr>
          <w:sz w:val="24"/>
          <w:szCs w:val="24"/>
          <w:color w:val="auto"/>
        </w:rPr>
      </w:pPr>
    </w:p>
    <w:p>
      <w:pPr>
        <w:ind w:left="8" w:right="3019" w:firstLine="180"/>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7" w:lineRule="exact"/>
        <w:rPr>
          <w:sz w:val="24"/>
          <w:szCs w:val="24"/>
          <w:color w:val="auto"/>
        </w:rPr>
      </w:pPr>
    </w:p>
    <w:p>
      <w:pPr>
        <w:ind w:left="8" w:right="3019" w:firstLine="180"/>
        <w:spacing w:after="0" w:line="24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based upon the closing price of such stock on August 28, 1997, as reported by the New York Stock Exchange, was approximately $8.0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78" w:lineRule="exact"/>
        <w:rPr>
          <w:sz w:val="24"/>
          <w:szCs w:val="24"/>
          <w:color w:val="auto"/>
        </w:rPr>
      </w:pPr>
    </w:p>
    <w:p>
      <w:pPr>
        <w:ind w:left="8" w:right="3279" w:firstLine="180"/>
        <w:spacing w:after="0" w:line="243" w:lineRule="auto"/>
        <w:rPr>
          <w:sz w:val="20"/>
          <w:szCs w:val="20"/>
          <w:color w:val="auto"/>
        </w:rPr>
      </w:pPr>
      <w:r>
        <w:rPr>
          <w:rFonts w:ascii="Courier New" w:cs="Courier New" w:eastAsia="Courier New" w:hAnsi="Courier New"/>
          <w:sz w:val="15"/>
          <w:szCs w:val="15"/>
          <w:color w:val="auto"/>
        </w:rPr>
        <w:t>The number of outstanding shares of the registrant's common stock on August 28, 1997 was 211,348,008.</w:t>
      </w:r>
    </w:p>
    <w:p>
      <w:pPr>
        <w:spacing w:after="0" w:line="175" w:lineRule="exact"/>
        <w:rPr>
          <w:sz w:val="24"/>
          <w:szCs w:val="24"/>
          <w:color w:val="auto"/>
        </w:rPr>
      </w:pPr>
    </w:p>
    <w:p>
      <w:pPr>
        <w:ind w:left="198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8" w:lineRule="exact"/>
        <w:rPr>
          <w:sz w:val="24"/>
          <w:szCs w:val="24"/>
          <w:color w:val="auto"/>
        </w:rPr>
      </w:pPr>
    </w:p>
    <w:p>
      <w:pPr>
        <w:ind w:left="8" w:right="3019" w:firstLine="180"/>
        <w:spacing w:after="0" w:line="244" w:lineRule="auto"/>
        <w:rPr>
          <w:sz w:val="20"/>
          <w:szCs w:val="20"/>
          <w:color w:val="auto"/>
        </w:rPr>
      </w:pPr>
      <w:r>
        <w:rPr>
          <w:rFonts w:ascii="Courier New" w:cs="Courier New" w:eastAsia="Courier New" w:hAnsi="Courier New"/>
          <w:sz w:val="15"/>
          <w:szCs w:val="15"/>
          <w:color w:val="auto"/>
        </w:rPr>
        <w:t>Portions of the Proxy Statement for registrant's 1997 Annual Meeting of Shareholders to be held on November 25, 1997, are incorporated by reference into Part III of this Annual Report on Form 10-K.</w:t>
      </w:r>
    </w:p>
    <w:p>
      <w:pPr>
        <w:sectPr>
          <w:pgSz w:w="11900" w:h="16838" w:orient="portrait"/>
          <w:cols w:equalWidth="0" w:num="1">
            <w:col w:w="10227"/>
          </w:cols>
          <w:pgMar w:left="232" w:top="580" w:right="1440" w:bottom="1440" w:gutter="0" w:footer="0" w:header="0"/>
          <w:type w:val="continuous"/>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8"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following discussion contains trend information and other forward-looking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"Item 7. Management's Discussion and Analysis of Financial Condition and Results of Operations--Certain Factors and Quantitative and Qualitative Disclosures about Market Risk." All period references are to the Company's fiscal periods ended August 28, 1997, August 29, 1996 or August 31, 1995, unless otherwise indicated.</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"MTI" or the "Company") principally design, develop, manufacture and market semiconductor memory products, personal computer ("PC") systems and custom complex printed circuit board, memory module and system level assemblies. The Company's PC, contract manufacturing and component recovery businesses ("SpecTek") are operated through Micron Electronics, Inc. ("MEI"), a 64% owned, publicly traded subsidiary of MTI.</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The Company's semiconductor memory operations focus on the design, development, manufacture and marketing of semiconductor memory components primarily for use in PC systems. The Company's primary semiconductor products are dynamic random access memory ("DRAM") components which are sold and supported through sales offices in North America, Europe, Asia Pacific and Japan.</w:t>
      </w:r>
    </w:p>
    <w:p>
      <w:pPr>
        <w:spacing w:after="0" w:line="177"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Company's PC systems operations focus on the development, manufacture and marketing of PC systems sold and supported through the direct sales channel. The Company's PC systems include a wide range of memory-intensive, high performance desktop and notebook PC systems and multiprocessor network servers under the Micron(TM) and NetFRAME(R) brand names. The contract manufacturing operation specializes in the design, assembly, and test of custom complex printed circuit boards, memory modules and system level products for original equipment manufacturers. The Company also markets various grades of DRAM memory products under the SpecTek brand name.</w:t>
      </w:r>
    </w:p>
    <w:p>
      <w:pPr>
        <w:spacing w:after="0" w:line="179" w:lineRule="exact"/>
        <w:rPr>
          <w:sz w:val="20"/>
          <w:szCs w:val="20"/>
          <w:color w:val="auto"/>
        </w:rPr>
      </w:pPr>
    </w:p>
    <w:p>
      <w:pPr>
        <w:ind w:right="3559" w:firstLine="180"/>
        <w:spacing w:after="0" w:line="244" w:lineRule="auto"/>
        <w:rPr>
          <w:sz w:val="20"/>
          <w:szCs w:val="20"/>
          <w:color w:val="auto"/>
        </w:rPr>
      </w:pPr>
      <w:r>
        <w:rPr>
          <w:rFonts w:ascii="Courier New" w:cs="Courier New" w:eastAsia="Courier New" w:hAnsi="Courier New"/>
          <w:sz w:val="15"/>
          <w:szCs w:val="15"/>
          <w:color w:val="auto"/>
        </w:rPr>
        <w:t>The Company also designs, develops and manufactures remote intelligent communications products and designs and develops field emission flat panel displays. In August 1997, the Company sold its construction management operations.</w:t>
      </w:r>
    </w:p>
    <w:p>
      <w:pPr>
        <w:spacing w:after="0" w:line="176"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MTI was incorporated in Idaho in 1978 and reincorporated in Delaware in 1984. The Company's executive offices and principal manufacturing operations are located at 8000 South Federal Way, Boise, Idaho, 83707-0006 and its telephone number is (208) 368-4000. MEI's executive offices and principal manufacturing operations are located at 900 E. Karcher Road, Nampa, Idaho, 83687-3045 and its telephone number is (208) 898-3434.</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The Company's principal product categories are semiconductor memory products (primarily DRAM), PC systems and custom complex printed circuit board assemblies.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8" w:right="1440" w:bottom="1440" w:gutter="0" w:footer="0" w:header="0"/>
        </w:sectPr>
      </w:pPr>
    </w:p>
    <w:bookmarkStart w:id="2" w:name="page3"/>
    <w:bookmarkEnd w:id="2"/>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semiconductor manufacturing operations focus primarily on the design, development and manufacture of semiconductor memory products for standard memory applications, with various packaging and configuration options, architectures and performance characteristics. Manufacture of the Company's semiconductor memory products utilizes proprietary advanced complementary metal-oxide-semiconductor ("CMOS") silicon gate process technology.</w:t>
      </w:r>
    </w:p>
    <w:p>
      <w:pPr>
        <w:spacing w:after="0" w:line="17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DYNAMIC RANDOM ACCESS MEMORY. A DRAM is a high density, low cost per bit random access memory component which stores digital information in the form of bits and provides high speed storage and retrieval of data. DRAMs are the most widely used semiconductor memory component in most PC systems. The Company's primary product during fiscal 1997 was the 16 Meg DRAM which is sold in multiple configurations, speeds and package types. The Company has introduced its 64 Meg DRAM into production and expects to ramp volume production as customer demand shifts away from the 16 Meg DRAM. DRAM sales represented approximately 48%, 57% and 68% of the Company's total net sales in fiscal 1997, 1996 and 1995, respectively.</w:t>
      </w:r>
    </w:p>
    <w:p>
      <w:pPr>
        <w:spacing w:after="0" w:line="180"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A synchronous DRAM ("SDRAM") is a next generation memory component that operates faster than non-synchronous DRAM, due in part to the addition of a clock input that synchronizes all operations and allows PC systems to run faster. PC manufacturers are transitioning to these faster types of DRAM-based memory as conventional Fast Page Mode ("FPM") and Extended Data Out ("EDO") DRAM are not expected to meet the bandwidth required for future CPU and video/graphics designs. In 1997 and prior years, the Company's DRAM products were FPM and EDO technology. The Company has developed SDRAM devices, which at fiscal year end represented approximately 50% of DRAM wafer starts. The Company's transition to SDRAM as its primary DRAM technology is expected to occur in late calendar 1997.</w:t>
      </w:r>
    </w:p>
    <w:p>
      <w:pPr>
        <w:spacing w:after="0" w:line="180" w:lineRule="exact"/>
        <w:rPr>
          <w:sz w:val="20"/>
          <w:szCs w:val="20"/>
          <w:color w:val="auto"/>
        </w:rPr>
      </w:pPr>
    </w:p>
    <w:p>
      <w:pPr>
        <w:ind w:right="3019" w:firstLine="180"/>
        <w:spacing w:after="0" w:line="270" w:lineRule="auto"/>
        <w:rPr>
          <w:sz w:val="20"/>
          <w:szCs w:val="20"/>
          <w:color w:val="auto"/>
        </w:rPr>
      </w:pPr>
      <w:r>
        <w:rPr>
          <w:rFonts w:ascii="Courier New" w:cs="Courier New" w:eastAsia="Courier New" w:hAnsi="Courier New"/>
          <w:sz w:val="14"/>
          <w:szCs w:val="14"/>
          <w:color w:val="auto"/>
        </w:rPr>
        <w:t>OTHER SEMICONDUCTOR MEMORY PRODUCTS. Other semiconductor memory products produced by the Company include Flash ("Flash") memory components, Static Random Access Memory ("SRAM") devices, and the Company's SpecTek memory products.</w:t>
      </w:r>
    </w:p>
    <w:p>
      <w:pPr>
        <w:spacing w:after="0" w:line="15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Flash components are non-volatile semiconductor devices which retain the memory content when the power is turned off and are electrically erasable and reprogrammable. Flash devices can be updated with new revisions of code, different user parameters or settings and data collected over time. Flash devices are used in digital cellular phones, networking applications, workstations, servers and PCs. The Company is currently running production of the 2 Meg and 4 Meg SmartVoltage Technology Boot Block Flash. Flash sales represented less than 1% of the Company's semiconductor memory sales in 1997.</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A Static Random Access Memory ("SRAM") is a semiconductor device which performs memory functions much the same as a DRAM, but does not require memory cells to be electronically refreshed and operates faster than DRAM. The Company focuses on the high-performance, or "Very Fast", sector of SRAMs which are used in applications that require a "buffer" or "cache" of high speed memory between the central processing unit and the main DRAM memory. SRAM sales represented 1%, 2% and 6% of the Company's total net sales in fiscal 1997, 1996 and 1995, respectively. The Company reduced its SRAM sales due to lower profitability relative to DRAM sales.</w:t>
      </w:r>
    </w:p>
    <w:p>
      <w:pPr>
        <w:spacing w:after="0" w:line="179"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Company's SpecTek memory products operation processes and markets various grades of DRAM components under the SpecTek brand name in either component or module forms. Nonstandard memory components are tested and generally graded to their highest level of functionality. Higher grade components meeting industry specifications are available for use in memory modules. Certain reduced specification components may be used in nonstandard memory modules or sold to strategic OEM customers for use in specific applications.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3" w:name="page4"/>
    <w:bookmarkEnd w:id="3"/>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develops, markets, manufactures, sells and supports a wide range of memory intensive, high performance desktop and notebook PC systems and network servers under the Micron and NetFRAME brand names. These systems use Pentium (R), Pentium (R) Pro and Pentium (R) II microprocessors manufactured by Intel Corporation ("Intel") and are assembled to order in various memory and storage configurations as well as various operating and application software. The Company also offers a variety of other system components with its PC systems and network servers, including monitors, modems, graphics cards, accelerators and CD-ROM drives.</w:t>
      </w:r>
    </w:p>
    <w:p>
      <w:pPr>
        <w:spacing w:after="0" w:line="179"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As of August 28, 1997, the Company's PC systems product lines included the following: The Powerdigm (TM) line of PC systems are designed for graphic intensive applications and offer users a high-end 3D visual computing workstation with professional 3D graphics. The Millennia (R) line is targeted for business users and PC enthusiasts and has enhanced multimedia and communication performance. The ClientPro (R) line is a flexible and affordable network solution for businesses which require computing stability and performance. The Transport (R) line is the Company's notebook line incorporating modular bays and offering customers instant custom configuration changes. NetFRAME servers are a PC-compatible platform that run Microsoft Windows NT and Novell IntraNetware and, combined with the Company's value-added software, provide a high degree of availability by reducing downtime resulting from hardware and software failures. The Vetix (TM) line of servers provide a competitively-priced, midrange corporate networking solution. Net sales of PC systems, exclusive of sales of MTI semiconductor memory products incorporated in MEI PC systems, represented 42%, 31% and 15% of the Company's total net sales for 1997, 1996 and 1995, respectively.</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 MANUFACTURING</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contract manufacturing operations specialize in the design, assembly and testing of complex printed circuit boards, memory modules and "box build" system assemblies services. In addition to design, assembly and test functions, the Company offers a broad range of manufacturing services, including product engineering, materials procurement and management, quality assurance and just-in-time delivery or end-order fulfillment.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8"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Manufacturing cost per unit is primarily a function of die size (since the potential number of good die per wafer increases with reduced die size), number of mask layers, the yield of acceptable die produced on each wafer and labor productivity. Other contributing factors are wafer size, number of fabrication steps, cost and sophistication of the manufacturing equipment, equipment utilization, process complexity, package type, and cleanliness. The Company is engaged in ongoing efforts to enhance its production processes to reduce the die size of existing products and increase capacity utilization.</w:t>
      </w:r>
    </w:p>
    <w:p>
      <w:pPr>
        <w:spacing w:after="0" w:line="16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semiconductor manufacturing facility in Boise, Idaho includes two 8 inch-wafer fabs equipped with diffusion tubes, photolithography systems, ion implant equipment, chemical vapor deposition reactors, sputtering systems, plasma and wet etchers and automated mask inspection systems. The production facility operates in 12-hour shifts, 24 hours per day and 7 days per week to reduce down time during shift changes, and to reduce total fabrication costs by maximizing utilization of fabrication facilities. Wafer fabrication occurs in a highly controlled, clean environment to minimize dust and other yield- and quality-limiting contaminants. Despite stringent manufacturing controls, equipment does not consistently perform flawlessly and minute impurities, defects in the photomasks or other difficulties in the process may cause a substantial percentage of the wafers to be scrapped or individual circuits to be nonfunctional. The success of the Company's manufacturing operation will be largely</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8" w:right="1440" w:bottom="1440" w:gutter="0" w:footer="0" w:header="0"/>
        </w:sectPr>
      </w:pPr>
    </w:p>
    <w:bookmarkStart w:id="4" w:name="page5"/>
    <w:bookmarkEnd w:id="4"/>
    <w:p>
      <w:pPr>
        <w:ind w:right="3199"/>
        <w:spacing w:after="0" w:line="244" w:lineRule="auto"/>
        <w:rPr>
          <w:sz w:val="20"/>
          <w:szCs w:val="20"/>
          <w:color w:val="auto"/>
        </w:rPr>
      </w:pPr>
      <w:r>
        <w:rPr>
          <w:rFonts w:ascii="Courier New" w:cs="Courier New" w:eastAsia="Courier New" w:hAnsi="Courier New"/>
          <w:sz w:val="15"/>
          <w:szCs w:val="15"/>
          <w:color w:val="auto"/>
        </w:rPr>
        <w:t>dependent on its ability to minimize such impurities and to maximize its yield of acceptable, high-quality circuits. In this regard, the Company employs rigorous quality controls throughout the manufacturing, screening and testing processes.</w:t>
      </w:r>
    </w:p>
    <w:p>
      <w:pPr>
        <w:spacing w:after="0" w:line="176"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AMBYX(R) line of intelligent test and burn-in systems, the Company simultaneously conducts circuit testing of all die during the burn-in process, capturing quality and reliability data, and reducing testing time and cost.</w:t>
      </w:r>
    </w:p>
    <w:p>
      <w:pPr>
        <w:spacing w:after="0" w:line="181" w:lineRule="exact"/>
        <w:rPr>
          <w:sz w:val="20"/>
          <w:szCs w:val="20"/>
          <w:color w:val="auto"/>
        </w:rPr>
      </w:pPr>
    </w:p>
    <w:p>
      <w:pPr>
        <w:ind w:right="3019" w:firstLine="180"/>
        <w:spacing w:after="0" w:line="266" w:lineRule="auto"/>
        <w:rPr>
          <w:sz w:val="20"/>
          <w:szCs w:val="20"/>
          <w:color w:val="auto"/>
        </w:rPr>
      </w:pPr>
      <w:r>
        <w:rPr>
          <w:rFonts w:ascii="Courier New" w:cs="Courier New" w:eastAsia="Courier New" w:hAnsi="Courier New"/>
          <w:sz w:val="14"/>
          <w:szCs w:val="14"/>
          <w:color w:val="auto"/>
        </w:rPr>
        <w:t>Completion of MTI's semiconductor manufacturing facility in Lehi, Utah was suspended in February 1996 as a result of the decline in average selling prices for semiconductor memory products. Although additional test capacity for Boise production is anticipated to be provided in Lehi in 1998, completion of the remainder of the Lehi production facilities is dependent upon market conditions.</w:t>
      </w:r>
    </w:p>
    <w:p>
      <w:pPr>
        <w:spacing w:after="0" w:line="16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PC system manufacturing process is designed to provide custom-configured PC products to its customers, and includes assembling components, loading software and testing each system prior to shipment. The Company's PC systems are generally assembled to order based on customer specifications. Parts and components required for each customer order are selected from inventory and are prepared for assembly into a customized PC system. The Company's desktop PC systems are generally assembled in its own facilities. The Company's notebook PC systems are designed to include feature sets defined by the Company, and are assembled by a third-party supplier and sent to the Company for final custom configuration and testing.</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 MANUFACTURING</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Nearly all of the products manufactured by the Company's contract manufacturing operations are assembled utilizing surface mount technology ("SMT") whereby the leads on integrated circuits and other electronic components are soldered to the surface of printed circuit boards. SMT assembly requires expensive capital equipment and a high level of process expertise. The Company also utilizes chip on board technology in its manufacturing processes and has the capability to utilize ball grid array packaging technology in its assembly process.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AVAILABILITY OF RAW MATERIALS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raw materials utilized by the Company's semiconductor memory manufacturing operation generally must meet exacting product specifications. The Company generally uses multiple sources of supply, but the number of suppliers capable of delivering certain raw materials is very limited. The availability of raw materials, such as silicon wafers, molding compound and lead frames,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memory manufacturing operations. Interruption of any one raw material source could adversely affect the Company's operations.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5" w:name="page6"/>
    <w:bookmarkEnd w:id="5"/>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Company relies on third-party suppliers for its PC system components and seeks to identify suppliers which can provide state-of-the-art technology, product quality and prompt delivery at competitive prices. The Company purchases substantially all of its PC components, subassemblies and software from suppliers on a purchase order basis and generally does not have long-term supply arrangements with its suppliers. Although the Company attempts to use standard components, subassemblies and software available from multiple suppliers, certain of its components, subassemblies and software are available only from sole suppliers or a limited number of suppliers. The microprocessors used in the Company's PC systems are manufactured exclusively by Intel. From time to time, the Company has been unable to obtain a sufficient supply of the latest Intel microprocessors. Any interruption in the supply of any of the components, subassemblies and software currently obtained from a single source or relatively few sources, or a decrease in the general availability of any other components, subassemblies or software used in the Company's PC systems, could result in production delays and adversely affect the Company's business and results of operations.</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 MANUFACTURING</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contract manufacturing operations use numerous suppliers for the electronic components and materials, including RAM components, used in its operations. Shortages of certain types of electronic components have occurred in the past and may occur in the future. The Company's contract manufacturing operations procure its materials and components based on purchase orders received and accepted from its customers while seeking to minimize its overall level of inventory. Component shortages or price fluctuations could have an adverse effect on the Company's business and results of operations.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CUSTOMERS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relatively short product life cycles, frequent product introductions and enhancements, difficult product transitions and volatile market conditions. Historically, the semiconductor industry, and the DRAM market in particular, have been highly cyclical.</w:t>
      </w:r>
    </w:p>
    <w:p>
      <w:pPr>
        <w:spacing w:after="0" w:line="177"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The Company also maintains semiconductor sales offices in the United Kingdom, Germany, Singapore, Japan and Taiwan. Sales representatives are compensated on a commission basis and obtain orders subject to final acceptance by the Company. Shipments against these orders are made directly to the customer by the Company. Distributors carry the Company's products in inventory and typically sell a variety of other semiconductor products, including competitors' products. Semiconductor memory products sold through distributors approximated 7%, 8% and 10% of total net sales of such products in 1997, 1996 and 1995, respectively.</w:t>
      </w:r>
    </w:p>
    <w:p>
      <w:pPr>
        <w:spacing w:after="0" w:line="341"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Many of the Company's customers require a thorough review or "qualification" of new semiconductor memory products and processes which may take several months. As the Company diversifies its product lines and reduces the die sizes of existing memory products, acceptance of these products and processes is subject to this qualification procedure. There can be no assurance that new products or processes will be qualified for purchase by existing or potential customers.</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Sales to Dell Computer Corporation represented approximately 11% of the Company's net sales of semiconductor memory products in 1997. Sales to Compaq Computer Corporation represented approximately 11%</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 w:name="page7"/>
    <w:bookmarkEnd w:id="6"/>
    <w:p>
      <w:pPr>
        <w:ind w:right="3199"/>
        <w:spacing w:after="0" w:line="244" w:lineRule="auto"/>
        <w:rPr>
          <w:sz w:val="20"/>
          <w:szCs w:val="20"/>
          <w:color w:val="auto"/>
        </w:rPr>
      </w:pPr>
      <w:r>
        <w:rPr>
          <w:rFonts w:ascii="Courier New" w:cs="Courier New" w:eastAsia="Courier New" w:hAnsi="Courier New"/>
          <w:sz w:val="15"/>
          <w:szCs w:val="15"/>
          <w:color w:val="auto"/>
        </w:rPr>
        <w:t>of the Company's net sales of semiconductor memory products for 1996 and 1995. Sales to Intel Corporation represented approximately 11% of the Company's net sales of semiconductor memory products in fiscal 1995. No other customer individually accounted for 10% or more of the Company's net sales of semiconductor memory products in 1997, 1996 or 1995.</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direct marketing approach is aimed toward PC users who evaluate products based on performance, price, reliability, service and support. The Company's PC customer base is comprised primarily of individuals, small to medium sized businesses, and governmental and educational entities. The Company markets its PC systems primarily by strategically placing advertisements in personal computer trade publications, submitting its products for review and evaluation by these publications and advertising its products on its home page on the Internet. The Company also markets its PC systems through direct-mail campaigns and sells a limited number of PCs through its three factory outlet stores located in Idaho, Minnesota and Utah. In addition, the Company sells its PC products through strategic relationships with third parties having large government procurement contracts.</w:t>
      </w:r>
    </w:p>
    <w:p>
      <w:pPr>
        <w:spacing w:after="0" w:line="18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By focusing on the direct sales channel, the Company avoids dealer markups typically experienced in the retail sales channel, limits inventory carrying costs and maintains closer contact with its target markets. Direct sales orders are received primarily via telephone, facsimile, the Company's home page on the Internet and through its direct sales force. The Company's sales representatives assist customers in determining system configuration, compatibility and current pricing. Customers generally order systems configured with varying feature sets differentiated by microprocessor speed, hard drive capacity, amount of memory, monitor size and resolution and bundled software, as well as other features. The Company offers its customers a variety of payment alternatives, including commercial trade terms, lease financing, cash on delivery, its own private label credit card and other credit cards. The Company's NetFRAME servers are sold through the Company's direct sales force and through value added resellers worldwide.</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 MANUFACTURING</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markets its contract manufacturing services through a direct sales force that interfaces with independent sales representatives and OEMs. The Company's contract manufacturing marketing efforts include participating in industry conferences and publishing articles in trade journals.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EXPORT SALES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Export sales totaled approximately $735 million for fiscal 1997, including approximately $291 million to Europe, $242 million to Asia Pacific, $65 million to Canada and $52 million to Japan. Export sales approximated $938 million and $754 million for fiscal 1996 and 1995, respectively. Export sales are transacted primarily in United States dollars. The Company incurs import duties on sales into Europe of up to 3.5% of the product value.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For the foregoing reasons, and because of the possibility of customer changes in delivery schedules or cancellation of orders without significant penalty, the Company does not believe that its backlog of semiconductor memory products as of any particular date is firm or a reliable indicator of actual sales for any succeeding period.</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sectPr>
      </w:pPr>
    </w:p>
    <w:bookmarkStart w:id="7" w:name="page8"/>
    <w:bookmarkEnd w:id="7"/>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Levels of unfilled orders for PC systems fluctuate depending upon component availability, demand for certain products, the timing of large volume customer orders and the Company's production schedules. Customers frequently change delivery schedules and orders depending on market conditions and other reasons. Unfilled orders can be canceled by the customer prior to shipment. As of August 28, 1997, the Company had unfilled orders for PC systems of approximately $42 million compared to $63 million as of August 29, 1996. The Company anticipates that substantially all of the unfilled orders as of August 28, 1997, other than those subsequently canceled, will be shipped within 30 days. Due to a customer's ability to cancel or reschedule orders without penalty, industry seasonality and customer buying patterns, unfilled orders may not be representative of actual sales for any succeeding period.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 MANUFACTURING</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backlog for contract manufacturing services generally consists of purchase orders believed to be firm that are expected to be filled within the next three months. Backlog for the Company's contract manufacturing operations as of August 28, 1997 and August 29, 1996 was approximately $61 million and $52 million, respectively. Because of variations in the timing of orders, delivery intervals, material availability, customer and product mix and delivery schedules, among other reasons, the Company's contract manufacturing backlog as of any particular date may not be representative of actual sales for any succeeding period.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WARRANTY</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Consistent with semiconductor memory industry practice, the Company generally provides a limited warranty that its semiconductor memory and contract manufacturing services are in compliance with specifications existing at the time of delivery. Liability for a stated warranty period is usually limited to replacement of defective items or return of amounts paid.</w:t>
      </w:r>
    </w:p>
    <w:p>
      <w:pPr>
        <w:spacing w:after="0" w:line="17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Customers may generally return PC products within 30 days after shipment for a full refund of the purchase price. The Company generally sells each PC system with the Micron Power warranty, including a five-year limited warranty on the microprocessor and main memory in its PC systems and a three-year limited warranty on the remaining hardware, covering repair or replacement for defects in workmanship or materials.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SEMICONDUCTOR MEMORY PRODUCTS</w:t>
      </w:r>
    </w:p>
    <w:p>
      <w:pPr>
        <w:spacing w:after="0" w:line="178"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Company's semiconductor memory operations experience intense competition from a number of substantially larger foreign and domestic companies, including Fujitsu, Ltd., Hitachi, Ltd., Hyundai Electronics, Co., Ltd., LG Semicon, Mitsubishi Electric Corp., NEC Corp., Samsung Semiconductor, Inc., Texas Instruments Incorporated and Toshiba Corporation. Although the Company has captured an increasing percentage of the semiconductor memory market compared to prior periods, it may be at a disadvantage in competing against manufacturers with significantly greater capital resources or manufacturing capacities, larger engineer and employee bases, larger portfolios of intellectual property and more diverse product lines. The Company's larger competitors may also have long-term advantages in research and new product development and in their ability to withstand current or future downturns in the semiconductor memory market. In addition, the Company believes its competitors have sufficient resources and manufacturing capacity to influence market pricing.</w:t>
      </w:r>
    </w:p>
    <w:p>
      <w:pPr>
        <w:spacing w:after="0" w:line="341"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Although some of the Company's competitors have adjusted the rate at which they will implement capacity expansion programs, many of the Company's competitors have recently completed new wafer fabrication facilities, significantly increasing worldwide capacity for the production of semiconductor memory products. Excess supply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 w:name="page9"/>
    <w:bookmarkEnd w:id="8"/>
    <w:p>
      <w:pPr>
        <w:ind w:right="3379"/>
        <w:spacing w:after="0" w:line="244" w:lineRule="auto"/>
        <w:rPr>
          <w:sz w:val="20"/>
          <w:szCs w:val="20"/>
          <w:color w:val="auto"/>
        </w:rPr>
      </w:pPr>
      <w:r>
        <w:rPr>
          <w:rFonts w:ascii="Courier New" w:cs="Courier New" w:eastAsia="Courier New" w:hAnsi="Courier New"/>
          <w:sz w:val="15"/>
          <w:szCs w:val="15"/>
          <w:color w:val="auto"/>
        </w:rPr>
        <w:t>resulting from increased worldwide semiconductor manufacturing capacity, improved manufacturing yields and changes in demand for semiconductor memory have resulted in downward pricing pressure.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PERSONAL COMPUTER SYSTEMS</w:t>
      </w:r>
    </w:p>
    <w:p>
      <w:pPr>
        <w:spacing w:after="0" w:line="178" w:lineRule="exact"/>
        <w:rPr>
          <w:sz w:val="20"/>
          <w:szCs w:val="20"/>
          <w:color w:val="auto"/>
        </w:rPr>
      </w:pPr>
    </w:p>
    <w:p>
      <w:pPr>
        <w:ind w:right="3019" w:firstLine="180"/>
        <w:spacing w:after="0" w:line="262" w:lineRule="auto"/>
        <w:rPr>
          <w:sz w:val="20"/>
          <w:szCs w:val="20"/>
          <w:color w:val="auto"/>
        </w:rPr>
      </w:pPr>
      <w:r>
        <w:rPr>
          <w:rFonts w:ascii="Courier New" w:cs="Courier New" w:eastAsia="Courier New" w:hAnsi="Courier New"/>
          <w:sz w:val="14"/>
          <w:szCs w:val="14"/>
          <w:color w:val="auto"/>
        </w:rPr>
        <w:t>Competition in the PC industry is based primarily upon brand name recognition, performance, price, reliability and service and support. The PC industry is highly competitive and has been characterized by intense pricing pressure, generally low gross margin percentages, rapid technological advances in hardware and software, frequent introduction of new products and rapidly declining component costs. The Company believes that the rate of growth in worldwide sales of PC systems, particularly in the United States, where the Company sells a substantial majority of its PC systems, has declined and may remain below the growth rates experienced in recent years. Any general decline in demand, or a decline in the rate of increase of demand, for PC systems could increase price competition and could have a material adverse effect on the Company's business and results of operations. To remain competitive, the Company must frequently introduce new products and price its products and offer customers lead times comparable to its competitors. In addition, to remain competitive, the Company generally reduces the selling prices of its PC systems in connection with declines in its cost of components. The Company competes with a number of PC manufacturers which sell their products primarily through direct channels, including Dell Computer, Inc. and Gateway 2000, Inc. The Company also competes with PC manufacturers, such as Apple Computer, Inc., Compaq Computer Corporation, Hewlett Packard Company, International Business Machines Corporation and Toshiba Corporation, among others, which have traditionally sold their products through national and regional distributors, dealers and value added resellers, retail stores and direct sales forces. In addition, the Company's server products compete with manufacturers of high-end personal computers and workstations as well as manufacturers of mini and mainframe computers, including Data General Corporation, Sun Microsystems, Inc., and Sequest Computer Systems, Inc. Many of the Company's PC competitors offer broader product lines and have substantially greater financial, technical, marketing and other resources than the Company and may enjoy access to more favorable component volume purchasing arrangements than does the Company.</w:t>
      </w:r>
    </w:p>
    <w:p>
      <w:pPr>
        <w:spacing w:after="0" w:line="200" w:lineRule="exact"/>
        <w:rPr>
          <w:sz w:val="20"/>
          <w:szCs w:val="20"/>
          <w:color w:val="auto"/>
        </w:rPr>
      </w:pPr>
    </w:p>
    <w:p>
      <w:pPr>
        <w:spacing w:after="0" w:line="32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As a result of PC industry standards, the Company and its competitors generally use many of the same components, typically from the same set of suppliers, which limits the Company's ability to technologically and functionally differentiate its PC products. In the future, the Company expects to face increased competition in the U.S. direct sales market from foreign PC suppliers and from indirect domestic suppliers of PC products that decide to implement, or devote additional resources to, a direct sales strategy. In order to gain an increased share of the U.S. PC direct sales market, these competitors may effect a pricing strategy that is more aggressive than the current pricing in the direct sales market. The Company's ability to continue to produce competitively priced products and to maintain existing gross margin percentages will depend, in large part, on the Company's ability to sustain high levels of sales and contain and reduce manufacturing and component costs. Any failure by the Company to transition to new products effectively or to accurately forecast demand for its products may adversely affect the Company's business and results of operations.</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 MANUFACTURING</w:t>
      </w:r>
    </w:p>
    <w:p>
      <w:pPr>
        <w:spacing w:after="0" w:line="178"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contract manufacturing industry is highly competitive. The Company's contract manufacturing operations compete against numerous domestic and offshore contract manufacturers, including a significant number of local and regional companies. In addition, the Company competes against in-house manufacturing capabilities of certain of its existing customers as well as with certain large computer manufacturers which also offer third-party contract manufacturing services. The Company's contract manufacturing competitors include, among others, Avex Electronics, Inc., Benchmark Electronics, Inc., Celestica Inc., DOVAtron International, Inc., Flextronics International, Group Technologies Corporation, Jabil Circuits, Inc., Sanmina Corporation, SCI Systems, Inc. and Solectron Corporation. Many of the Company's competitors have substantially greater manufacturing, financial and marketing resources than the Company and have manufacturing operations at multiple domestic and overseas locations.</w:t>
      </w:r>
    </w:p>
    <w:p>
      <w:pPr>
        <w:spacing w:after="0" w:line="16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believes the significant competitive factors in contract manufacturing include level of service, range of services offered, quality, price, technology, location and the ability to offer flexible delivery schedules and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ind w:right="3019"/>
        <w:spacing w:after="0" w:line="264" w:lineRule="auto"/>
        <w:rPr>
          <w:sz w:val="20"/>
          <w:szCs w:val="20"/>
          <w:color w:val="auto"/>
        </w:rPr>
      </w:pPr>
      <w:r>
        <w:rPr>
          <w:rFonts w:ascii="Courier New" w:cs="Courier New" w:eastAsia="Courier New" w:hAnsi="Courier New"/>
          <w:sz w:val="14"/>
          <w:szCs w:val="14"/>
          <w:color w:val="auto"/>
        </w:rPr>
        <w:t>deliver finished products on an expeditious and timely basis in accordance with customers' expectations. The Company may be at a disadvantage as to certain competitive factors when compared to manufacturers with greater resources than the Company, substantial offshore facilities or substantially larger domestic facilities. There can be no assurance that the Company will compete successfully in the future with regard to these competitive factors. In order to remain competitive, the Company may be required to expand its contract manufacturing capacity and may be required to establish additional international operations.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ind w:right="3019" w:firstLine="180"/>
        <w:spacing w:after="0" w:line="264" w:lineRule="auto"/>
        <w:rPr>
          <w:sz w:val="20"/>
          <w:szCs w:val="20"/>
          <w:color w:val="auto"/>
        </w:rPr>
      </w:pPr>
      <w:r>
        <w:rPr>
          <w:rFonts w:ascii="Courier New" w:cs="Courier New" w:eastAsia="Courier New" w:hAnsi="Courier New"/>
          <w:sz w:val="14"/>
          <w:szCs w:val="14"/>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semiconductor expertise. Total research and development expenditures for the Company were $209 million, $192 million and $129 million in 1997, 1996 and 1995, respectively.</w:t>
      </w:r>
    </w:p>
    <w:p>
      <w:pPr>
        <w:spacing w:after="0" w:line="165"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Application of current developments in advanced process technology is focused on shrink versions of the Company's 16 Meg DRAM and development of the 16 Meg, 64 Meg and 256 Meg SDRAMs. In 1997, the Company transitioned a substantial portion of it's manufacturing capacity to .30 micron (mu) line width processing from .35 (mu) line width processing. The Company anticipates that it will utilize .30 (mu) line width processing for all of</w:t>
      </w:r>
    </w:p>
    <w:p>
      <w:pPr>
        <w:spacing w:after="0" w:line="7"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its semiconductor fabrication by the end of 1998. It is currently anticipated that process technology will move to line widths of .25(mu), .21 (mu)</w:t>
      </w:r>
    </w:p>
    <w:p>
      <w:pPr>
        <w:spacing w:after="0" w:line="3"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and .18 (mu) in the next several years as needed for development of future generation semiconductor products.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LICENSES</w:t>
      </w:r>
    </w:p>
    <w:p>
      <w:pPr>
        <w:spacing w:after="0" w:line="178" w:lineRule="exact"/>
        <w:rPr>
          <w:sz w:val="20"/>
          <w:szCs w:val="20"/>
          <w:color w:val="auto"/>
        </w:rPr>
      </w:pPr>
    </w:p>
    <w:p>
      <w:pPr>
        <w:ind w:right="3379" w:firstLine="180"/>
        <w:spacing w:after="0" w:line="244" w:lineRule="auto"/>
        <w:rPr>
          <w:sz w:val="20"/>
          <w:szCs w:val="20"/>
          <w:color w:val="auto"/>
        </w:rPr>
      </w:pPr>
      <w:r>
        <w:rPr>
          <w:rFonts w:ascii="Courier New" w:cs="Courier New" w:eastAsia="Courier New" w:hAnsi="Courier New"/>
          <w:sz w:val="15"/>
          <w:szCs w:val="15"/>
          <w:color w:val="auto"/>
        </w:rPr>
        <w:t>As of August 28, 1997, the Company owned approximately 1,400 United States patents and 110 foreign patents relating to the use of its products and processes. In addition, the Company has numerous United States and foreign patent applications pending.</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 has entered into a number of cross-license agreements with third</w:t>
      </w:r>
    </w:p>
    <w:p>
      <w:pPr>
        <w:spacing w:after="0" w:line="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parties.</w:t>
        <w:tab/>
        <w:t>The agreements typically require one-time and/or periodic royalty</w:t>
      </w:r>
    </w:p>
    <w:p>
      <w:pPr>
        <w:spacing w:after="0" w:line="3" w:lineRule="exact"/>
        <w:rPr>
          <w:sz w:val="20"/>
          <w:szCs w:val="20"/>
          <w:color w:val="auto"/>
        </w:rPr>
      </w:pPr>
    </w:p>
    <w:p>
      <w:pPr>
        <w:spacing w:after="0"/>
        <w:tabs>
          <w:tab w:leader="none" w:pos="3480" w:val="left"/>
        </w:tabs>
        <w:rPr>
          <w:sz w:val="20"/>
          <w:szCs w:val="20"/>
          <w:color w:val="auto"/>
        </w:rPr>
      </w:pPr>
      <w:r>
        <w:rPr>
          <w:rFonts w:ascii="Courier New" w:cs="Courier New" w:eastAsia="Courier New" w:hAnsi="Courier New"/>
          <w:sz w:val="15"/>
          <w:szCs w:val="15"/>
          <w:color w:val="auto"/>
        </w:rPr>
        <w:t>payments and expire at various times.</w:t>
        <w:tab/>
        <w:t>One-time payments are typically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and amortized over the shorter of the estimated useful life of the</w:t>
      </w:r>
    </w:p>
    <w:p>
      <w:pPr>
        <w:spacing w:after="0" w:line="3"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technology, the patent term or the term of the agreement.</w:t>
      </w:r>
      <w:r>
        <w:rPr>
          <w:sz w:val="20"/>
          <w:szCs w:val="20"/>
          <w:color w:val="auto"/>
        </w:rPr>
        <w:tab/>
      </w:r>
      <w:r>
        <w:rPr>
          <w:rFonts w:ascii="Courier New" w:cs="Courier New" w:eastAsia="Courier New" w:hAnsi="Courier New"/>
          <w:sz w:val="14"/>
          <w:szCs w:val="14"/>
          <w:color w:val="auto"/>
        </w:rPr>
        <w:t>Royalty and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process technology expenses were $197 million, $150 million and</w:t>
      </w:r>
    </w:p>
    <w:p>
      <w:pPr>
        <w:spacing w:after="0" w:line="3"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5"/>
          <w:szCs w:val="15"/>
          <w:color w:val="auto"/>
        </w:rPr>
        <w:t>$203 million in fiscal 1997, 1996, and 1995, respectively.</w:t>
        <w:tab/>
        <w:t>In the future, 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necessary or advantageous for the Company to obtain additional patent</w:t>
      </w:r>
    </w:p>
    <w:p>
      <w:pPr>
        <w:spacing w:after="0" w:line="3"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licenses or to renew existing license agreements.</w:t>
      </w:r>
      <w:r>
        <w:rPr>
          <w:sz w:val="20"/>
          <w:szCs w:val="20"/>
          <w:color w:val="auto"/>
        </w:rPr>
        <w:tab/>
      </w:r>
      <w:r>
        <w:rPr>
          <w:rFonts w:ascii="Courier New" w:cs="Courier New" w:eastAsia="Courier New" w:hAnsi="Courier New"/>
          <w:sz w:val="14"/>
          <w:szCs w:val="14"/>
          <w:color w:val="auto"/>
        </w:rPr>
        <w:t>The Company is unable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predict whether these license agreements can be obtained or renewed on terms</w:t>
      </w:r>
    </w:p>
    <w:p>
      <w:pPr>
        <w:spacing w:after="0" w:line="3"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5"/>
          <w:szCs w:val="15"/>
          <w:color w:val="auto"/>
        </w:rPr>
        <w:t>acceptable to the Company.</w:t>
        <w:tab/>
        <w:t>Adverse determinations that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processes or products have infringed on the product or process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held by others could subject the Company to significant liabilities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parties or require material changes in production processes or products,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of which could have a material adverse effect on the Company's business,</w:t>
      </w:r>
    </w:p>
    <w:p>
      <w:pPr>
        <w:spacing w:after="0" w:line="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5"/>
          <w:szCs w:val="15"/>
          <w:color w:val="auto"/>
        </w:rPr>
        <w:t>results of operations and financial condition.</w:t>
        <w:tab/>
        <w:t>See "Item 7. Management's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and Analysis of Financial Condition and Results of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Factors."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As of August 28, 1997, the Company had approximately 12,200 full-time employees, including approximately 7,700 in the semiconductor memory manufacturing operation (including component recovery operations), 3,000 in the PC operation and 1,300 in the contract manufacturing operation. Employment levels can vary depending on market conditions and the level of the Company's production, research and product and process development and administrative support activities. Many of the Company's employees are highly-skilled and the Company's continued success will depend in part upon its ability to attract and retain such employees. None of the Company's employees are represented by a labor organization, the Company has never had a work stoppage as a result of labor issues and the Company considers relations with employees to be satisfactory.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Government regulations impose various environmental controls on discharges, emissions and solid wastes from the Company's manufacturing processes. The Company believes that its activities conform to present environmental regulations. In September 1997, the Environmental Protection Agency (Region 10) gave the Company's semiconductor memory operations its Evergreen Award. To earn this award, companies must demonstrate full compliance with environmental laws, significant pollution prevention achievements, an overall commitment to the environment, and a history of environmental leadership. MTI is one of only six companies in Region 10 of the United States to receive the Evergreen Award. In 1997, the Company also became ISO 14001 certified. To achieve certification, the Company met requirements in environmental policy,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OFFICERS AND DIRECTORS OF THE REGISTRANT</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As of August 28, 1997, the following executive officers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Age</w:t>
            </w:r>
          </w:p>
        </w:tc>
        <w:tc>
          <w:tcPr>
            <w:tcW w:w="5940" w:type="dxa"/>
            <w:vAlign w:val="bottom"/>
          </w:tcPr>
          <w:p>
            <w:pPr>
              <w:ind w:left="252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 - - ----------------------------------</w:t>
            </w:r>
          </w:p>
        </w:tc>
        <w:tc>
          <w:tcPr>
            <w:tcW w:w="5940" w:type="dxa"/>
            <w:vAlign w:val="bottom"/>
          </w:tcPr>
          <w:p>
            <w:pPr>
              <w:spacing w:after="0"/>
              <w:rPr>
                <w:sz w:val="20"/>
                <w:szCs w:val="20"/>
                <w:color w:val="auto"/>
              </w:rPr>
            </w:pPr>
            <w:r>
              <w:rPr>
                <w:rFonts w:ascii="Courier New" w:cs="Courier New" w:eastAsia="Courier New" w:hAnsi="Courier New"/>
                <w:sz w:val="15"/>
                <w:szCs w:val="15"/>
                <w:color w:val="auto"/>
                <w:w w:val="99"/>
              </w:rPr>
              <w:t>---------  -------------------------------------------------------</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Steven R. Appleton................</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Chief Executive Officer, President and Chairman of the</w:t>
            </w:r>
          </w:p>
        </w:tc>
      </w:tr>
      <w:tr>
        <w:trPr>
          <w:trHeight w:val="173"/>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Board of Directors</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Donald D. Baldwin.................</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Sales and Marketing</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Kipp A. Bedard....................</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Corporate Affairs</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Robert M. Donnelly................</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Memory Products</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D. Mark Durcan....................</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36</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Chief Technical Officer and Vice President of Research</w:t>
            </w:r>
          </w:p>
        </w:tc>
      </w:tr>
      <w:tr>
        <w:trPr>
          <w:trHeight w:val="173"/>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&amp; Development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Jay L. Hawkins....................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37</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Operations</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Roderic W. Lewis..................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Legal Affairs, General Counsel and</w:t>
            </w:r>
          </w:p>
        </w:tc>
      </w:tr>
      <w:tr>
        <w:trPr>
          <w:trHeight w:val="173"/>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Corporate Secretary</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Wilbur G. Stover, Jr..............</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Chief Financial Officer and Vice President of Finance</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James W. Bagley...................</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Jerry M. Hess.....................</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59</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Robert A. Lothrop.................</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Thomas T. Nicholson...............</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Don J. Simplot....................</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John R. Simplot...................</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88</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Gordon C. Smith...................</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68</w:t>
            </w:r>
          </w:p>
        </w:tc>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r>
    </w:tbl>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Steven R. Appleton joined MTI in February 1983 and has served in various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capacities with the Company and its subsidiaries. Mr. Appleton first became an officer of MTI in August 1989 and has served in various officer positions, including overseeing the Company's semiconductor operations as President and Chief Executive Officer of Micron Semiconductor, Inc. ("MSI"), then a wholly-owned subsidiary of MTI, from July 1992 to November 1994. Since May 1994 Mr. Appleton has served as a member of MTI's Board of Directors and since September 1994 Mr. Appleton has served as the Chief Executive Officer, President and Chairman of the Board of Directors of MTI. Mr. Appleton also serves as a member of the Board of Directors of MEI. Mr. Appleton holds a BA in Business Management from Boise State University.</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Donald D. Baldwin joined MTI in April 1984 and has served in various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capacities with the Company and its subsidiaries. Mr. Baldwin first became an officer of MTI in May 1991 and has served in various officer positions, including Vice President, Sales of MSI from July 1992 to November 1994. Mr. Baldwin served as Vice President, Sales for MTI from November 1994 through June 1997, at which time he became Vice President of Sales and Marketing. Mr. Baldwin holds a BA in Marketing from Boise State University.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Kipp A. Bedard joined MTI in November 1983 and has served in various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manufacturing and sales positions with the Company and its subsidiaries. Mr. Bedard first became an officer of MTI in April 1990 and has served in various officer positions, including Vice President, Corporate Affairs of MSI from July 1992 to January 1994. Mr. Bedard has served as Vice President of Corporate Affairs for MTI since January 1994. Mr. Bedard holds a BBA in Accounting from Boise State University.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Robert M. Donnelly joined MTI in September 1988 and has served in various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served as Vice President, SRAM Design and Product Engineering for MTI from October 1995 through November 1996, at which time he became Vice President of Memory Products. Mr. Donnelly holds a BS in Electrical Engineering from the University of Louisville.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left="180"/>
        <w:spacing w:after="0"/>
        <w:tabs>
          <w:tab w:leader="none" w:pos="5560" w:val="left"/>
        </w:tabs>
        <w:rPr>
          <w:sz w:val="20"/>
          <w:szCs w:val="20"/>
          <w:color w:val="auto"/>
        </w:rPr>
      </w:pPr>
      <w:r>
        <w:rPr>
          <w:rFonts w:ascii="Courier New" w:cs="Courier New" w:eastAsia="Courier New" w:hAnsi="Courier New"/>
          <w:sz w:val="15"/>
          <w:szCs w:val="15"/>
          <w:color w:val="auto"/>
        </w:rPr>
        <w:t>D. Mark Durcan joined MTI in 1984 as a diffusion engineer.</w:t>
      </w:r>
      <w:r>
        <w:rPr>
          <w:sz w:val="20"/>
          <w:szCs w:val="20"/>
          <w:color w:val="auto"/>
        </w:rPr>
        <w:tab/>
      </w:r>
      <w:r>
        <w:rPr>
          <w:rFonts w:ascii="Courier New" w:cs="Courier New" w:eastAsia="Courier New" w:hAnsi="Courier New"/>
          <w:sz w:val="14"/>
          <w:szCs w:val="14"/>
          <w:color w:val="auto"/>
        </w:rPr>
        <w:t>Since that time he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has held a series of positions of increasing responsibility with the Company and its subsidiaries, including Manager of Process Research and Development. Mr. Durcan served as Vice President, Process Research and Development from July 1996 through June 1997, at which time he became Chief Technical Officer and Vice President of Research &amp; Development. Mr. Durcan holds a BS and MS in Chemical Engineering from Rice University.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Jay L. Hawkins joined MTI in March 1984 and has served in various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manufacturing positions for the Company and its subsidiaries, including Director of Manufacturing for MSI from July 1992 to November 1994 and Director of Manufacturing for MTI from November 1994 to February 1996. Mr. Hawkins served as Vice President, Manufacturing Administration from February 1996 through June 1997, at which time he became Vice President of Operations. Mr. Hawkins holds a BBA in Marketing from Boise State University.</w:t>
      </w:r>
    </w:p>
    <w:p>
      <w:pPr>
        <w:spacing w:after="0" w:line="176" w:lineRule="exact"/>
        <w:rPr>
          <w:sz w:val="20"/>
          <w:szCs w:val="20"/>
          <w:color w:val="auto"/>
        </w:rPr>
      </w:pPr>
    </w:p>
    <w:p>
      <w:pPr>
        <w:ind w:left="180"/>
        <w:spacing w:after="0"/>
        <w:tabs>
          <w:tab w:leader="none" w:pos="6200" w:val="left"/>
        </w:tabs>
        <w:rPr>
          <w:sz w:val="20"/>
          <w:szCs w:val="20"/>
          <w:color w:val="auto"/>
        </w:rPr>
      </w:pPr>
      <w:r>
        <w:rPr>
          <w:rFonts w:ascii="Courier New" w:cs="Courier New" w:eastAsia="Courier New" w:hAnsi="Courier New"/>
          <w:sz w:val="15"/>
          <w:szCs w:val="15"/>
          <w:color w:val="auto"/>
        </w:rPr>
        <w:t>Roderic W. Lewis joined MTI in 1991 as Associate General Counsel.</w:t>
      </w:r>
      <w:r>
        <w:rPr>
          <w:sz w:val="20"/>
          <w:szCs w:val="20"/>
          <w:color w:val="auto"/>
        </w:rPr>
        <w:tab/>
      </w:r>
      <w:r>
        <w:rPr>
          <w:rFonts w:ascii="Courier New" w:cs="Courier New" w:eastAsia="Courier New" w:hAnsi="Courier New"/>
          <w:sz w:val="14"/>
          <w:szCs w:val="14"/>
          <w:color w:val="auto"/>
        </w:rPr>
        <w:t>He became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Assistant General Counsel in 1993. From April 1995 to July 1996, Mr. Lewis served as Vice President, General Counsel and Corporate Secretary for MEI. Since July 1996, Mr. Lewis has served as Vice President, General Counsel and Corporate Secretary for MTI. Mr. Lewis holds a BA in Economics and Asian Studies from Brigham Young University and a JD from Columbia University School of Law. He became Vice President of Legal Affairs, General Counsel and Corporate Secretary on November 25, 1996.</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Wilbur G. Stover, Jr. joined MTI in June 1989 and has served in various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financial positions with the Company and its subsidiaries, including Controller from February 1990 to July 1992 and Vice President, Finance and Chief Financial Officer of MSI from August 1992 to September 1994. Since September 1994, Mr.</w:t>
      </w:r>
    </w:p>
    <w:p>
      <w:pPr>
        <w:spacing w:after="0" w:line="2"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Stover has served as MTI's Chief Financial Officer and Vice President of Finance. From October 1994 through September 1996, Mr. Stover served as a member of the MTI Board of Directors. Mr. Stover holds a BA in Business Administration from Washington State University.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James W. Bagley became the Chief Executive Officer and a director of Lam</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Research, Inc.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Kulicke &amp; Soffe Industries, Inc. and Semi/SEMATECH.</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Jerry M. Hess has served as Chairman and Chief Executive Officer of J.M. Hess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Construction Company, Inc. since 1959. Mr. Hess was elected to the Board of Directors of MTI in 1994. Mr. Hess also serves as a director of MEI.</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Robert A. Lothrop served as Senior Vice President of the J.R. Simplot Company,</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food processing, fertilizer and agricultural chemicals manufacturing company, from January 1986 until his retirement in January 1991. He was elected to the Board of Directors of MTI in 1986. In 1992, he was elected to the Board of Directors of MSI and resigned as a director of MTI. Mr. Lothrop was re-elected to MTI's Board of Directors in 1994. Mr. Lothrop also serves as a director of MEI.</w:t>
      </w:r>
    </w:p>
    <w:p>
      <w:pPr>
        <w:spacing w:after="0" w:line="176" w:lineRule="exact"/>
        <w:rPr>
          <w:sz w:val="20"/>
          <w:szCs w:val="20"/>
          <w:color w:val="auto"/>
        </w:rPr>
      </w:pPr>
    </w:p>
    <w:p>
      <w:pPr>
        <w:ind w:left="180"/>
        <w:spacing w:after="0"/>
        <w:tabs>
          <w:tab w:leader="none" w:pos="6200" w:val="left"/>
        </w:tabs>
        <w:rPr>
          <w:sz w:val="20"/>
          <w:szCs w:val="20"/>
          <w:color w:val="auto"/>
        </w:rPr>
      </w:pPr>
      <w:r>
        <w:rPr>
          <w:rFonts w:ascii="Courier New" w:cs="Courier New" w:eastAsia="Courier New" w:hAnsi="Courier New"/>
          <w:sz w:val="15"/>
          <w:szCs w:val="15"/>
          <w:color w:val="auto"/>
        </w:rPr>
        <w:t>Thomas T. Nicholson serves as Vice President of Honda of Seattle.</w:t>
      </w:r>
      <w:r>
        <w:rPr>
          <w:sz w:val="20"/>
          <w:szCs w:val="20"/>
          <w:color w:val="auto"/>
        </w:rPr>
        <w:tab/>
      </w:r>
      <w:r>
        <w:rPr>
          <w:rFonts w:ascii="Courier New" w:cs="Courier New" w:eastAsia="Courier New" w:hAnsi="Courier New"/>
          <w:sz w:val="14"/>
          <w:szCs w:val="14"/>
          <w:color w:val="auto"/>
        </w:rPr>
        <w:t>Mr.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Nicholson also serves as President of Mountain View Equipment, a farm equipment dealership, and is a partner of CCT Land &amp; Cattle. He has served on MTI's Board of Directors since 1980.</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Don J. Simplot served as the President of Simplot Financial Corporation, 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wholly-owned subsidiary of the J.R. Simplot Company, from February 1985 until January 1992. In April 1994, Mr. Don J. Simplot was appointed as a member of the Office of the Chairman of the J.R. Simplot Company. He has served on the Board of Directors of MTI since 1982. Mr. Don Simplot is also a Director of AirSensors, Inc., an alternative fuel conversion equipment company.</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8" w:right="1440" w:bottom="1440" w:gutter="0" w:footer="0" w:header="0"/>
        </w:sectPr>
      </w:pPr>
    </w:p>
    <w:bookmarkStart w:id="13" w:name="page14"/>
    <w:bookmarkEnd w:id="13"/>
    <w:p>
      <w:pPr>
        <w:ind w:left="180"/>
        <w:spacing w:after="0"/>
        <w:rPr>
          <w:sz w:val="20"/>
          <w:szCs w:val="20"/>
          <w:color w:val="auto"/>
        </w:rPr>
      </w:pPr>
      <w:r>
        <w:rPr>
          <w:rFonts w:ascii="Courier New" w:cs="Courier New" w:eastAsia="Courier New" w:hAnsi="Courier New"/>
          <w:sz w:val="15"/>
          <w:szCs w:val="15"/>
          <w:color w:val="auto"/>
        </w:rPr>
        <w:t>John R. Simplot founded and served as the Chairman of the Board of Directors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the J.R. Simplot Company prior to his retirement in April 1994. Mr. John R. Simplot currently serves as Chairman Emeritus of the J.R. Simplot Company. He has served on MTI's Board of Directors since 1980. Mr. Simplot also serves as a director of MEI.</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Gordon C. Smith served in various management positions from July 1980 until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January 1992 for Simplot Financial Corporation, a wholly-owned subsidiary of the J.R. Simplot Company. From May 1988 until his retirement in March 1994, Mr. Smith served as the President and Chief Executive Officer of the J.R. Simplot Company. He was elected to the Board of Directors of MTI in 1990.</w:t>
      </w:r>
    </w:p>
    <w:p>
      <w:pPr>
        <w:spacing w:after="0" w:line="176" w:lineRule="exact"/>
        <w:rPr>
          <w:sz w:val="20"/>
          <w:szCs w:val="20"/>
          <w:color w:val="auto"/>
        </w:rPr>
      </w:pPr>
    </w:p>
    <w:p>
      <w:pPr>
        <w:jc w:val="both"/>
        <w:ind w:right="3199" w:firstLine="180"/>
        <w:spacing w:after="0" w:line="244" w:lineRule="auto"/>
        <w:rPr>
          <w:sz w:val="20"/>
          <w:szCs w:val="20"/>
          <w:color w:val="auto"/>
        </w:rPr>
      </w:pPr>
      <w:r>
        <w:rPr>
          <w:rFonts w:ascii="Courier New" w:cs="Courier New" w:eastAsia="Courier New" w:hAnsi="Courier New"/>
          <w:sz w:val="15"/>
          <w:szCs w:val="15"/>
          <w:color w:val="auto"/>
        </w:rPr>
        <w:t>There is no family relationship between any director or executive officer of the Company, except between John R. Simplot and Don J. Simplot, who are father and son, respectively.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8" w:right="1440" w:bottom="1440" w:gutter="0" w:footer="0" w:header="0"/>
        </w:sectPr>
      </w:pPr>
    </w:p>
    <w:bookmarkStart w:id="14" w:name="page15"/>
    <w:bookmarkEnd w:id="14"/>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Company's principal semiconductor manufacturing, engineering, administrative, and support facilities are located on an approximately 830 acre site in Boise, Idaho. All facilities have been constructed since 1981 and are owned by the Company. The Company has approximately 1.9 million square feet of building space at this primary site. Of the total, approximately 518,000 square feet is production space, 570,000 square feet is facility support space, and 805,000 square feet is office and other space.</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In fiscal 1995 the Company initiated construction of an approximate 2 million square foot semiconductor memory manufacturing facility in Lehi, Utah. Although additional test capacity for Boise production is anticipated to be provided in Lehi in 1998, completion of the remainder of the Lehi production facilities is on indefinite hold. As of August 28, 1997, the Company had incurred construction costs of approximately $612 million to build the facility. Market conditions for semiconductor memory products will dictate if and when the Lehi complex is completed.</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MEI's principal PC manufacturing, contract manufacturing and component recovery operations are located on a 100 acre site in Nampa, Idaho. All facilities are owned by MEI. MEI has approximately 577,000 square feet of building space at the Nampa site. Of the total, approximately 123,000 square feet is PC manufacturing space, 146,000 square feet is contract manufacturing space, 40,000 square feet is component recovery space, and the balance is office and other space. MEI has a 60,000 square foot leased facility in Minneapolis, Minnesota for sales, support and administration of PC operations and a 75,000 square foot facility in Meridian, Idaho dedicated to a PC call center, as well as an 85,000 square foot facility in Milpitas, California dedicated to its enterprise server products and research and development efforts associated therewith, with a total of approximately 29,000 square feet dedicated to manufacturing.</w:t>
      </w:r>
    </w:p>
    <w:p>
      <w:pPr>
        <w:spacing w:after="0" w:line="182"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MEI also occupies a 61,000 square foot leased facility in Durham, North Carolina, with approximately 43,000 square feet dedicated to contract manufacturing. In addition, MEI's contract manufacturing operation occupies an 18,000 square foot leased facility in Penang, Malaysia.</w:t>
      </w:r>
    </w:p>
    <w:p>
      <w:pPr>
        <w:spacing w:after="0" w:line="176" w:lineRule="exact"/>
        <w:rPr>
          <w:sz w:val="20"/>
          <w:szCs w:val="20"/>
          <w:color w:val="auto"/>
        </w:rPr>
      </w:pPr>
    </w:p>
    <w:p>
      <w:pPr>
        <w:ind w:right="3279" w:firstLine="180"/>
        <w:spacing w:after="0" w:line="243" w:lineRule="auto"/>
        <w:rPr>
          <w:sz w:val="20"/>
          <w:szCs w:val="20"/>
          <w:color w:val="auto"/>
        </w:rPr>
      </w:pPr>
      <w:r>
        <w:rPr>
          <w:rFonts w:ascii="Courier New" w:cs="Courier New" w:eastAsia="Courier New" w:hAnsi="Courier New"/>
          <w:sz w:val="15"/>
          <w:szCs w:val="15"/>
          <w:color w:val="auto"/>
        </w:rPr>
        <w:t>Equipment with a net book value of approximately $313 million is pledged as collateral for outstanding debt and capital leases as of August 28, 1997.</w:t>
      </w:r>
    </w:p>
    <w:p>
      <w:pPr>
        <w:spacing w:after="0" w:line="3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The Company is a party in various legal actions arising out of the normal course of business, none of which is expected to have a material effect on the Company's business and results of operations. See "Item 7. Management's Discussion and Analysis of Financial Condition and Results of Operations-- Certain Factors."</w:t>
      </w:r>
    </w:p>
    <w:p>
      <w:pPr>
        <w:spacing w:after="0" w:line="34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8" w:lineRule="exact"/>
        <w:rPr>
          <w:sz w:val="20"/>
          <w:szCs w:val="20"/>
          <w:color w:val="auto"/>
        </w:rPr>
      </w:pPr>
    </w:p>
    <w:p>
      <w:pPr>
        <w:ind w:right="3559" w:firstLine="180"/>
        <w:spacing w:after="0" w:line="243" w:lineRule="auto"/>
        <w:rPr>
          <w:sz w:val="20"/>
          <w:szCs w:val="20"/>
          <w:color w:val="auto"/>
        </w:rPr>
      </w:pPr>
      <w:r>
        <w:rPr>
          <w:rFonts w:ascii="Courier New" w:cs="Courier New" w:eastAsia="Courier New" w:hAnsi="Courier New"/>
          <w:sz w:val="15"/>
          <w:szCs w:val="15"/>
          <w:color w:val="auto"/>
        </w:rPr>
        <w:t>There were no matters submitted to a vote of security holders during the fourth quarter of fiscal 1997.</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jc w:val="center"/>
        <w:ind w:right="360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tab/>
        <w:t>MARKET FOR REGISTRANT'S COMMON EQUITY AND RELATED STOCKHOLDER MATTERS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FOR COMMON STOCK</w:t>
      </w:r>
    </w:p>
    <w:p>
      <w:pPr>
        <w:spacing w:after="0" w:line="178" w:lineRule="exact"/>
        <w:rPr>
          <w:sz w:val="20"/>
          <w:szCs w:val="20"/>
          <w:color w:val="auto"/>
        </w:rPr>
      </w:pPr>
    </w:p>
    <w:p>
      <w:pPr>
        <w:ind w:right="3520" w:firstLine="180"/>
        <w:spacing w:after="0" w:line="244" w:lineRule="auto"/>
        <w:rPr>
          <w:sz w:val="20"/>
          <w:szCs w:val="20"/>
          <w:color w:val="auto"/>
        </w:rPr>
      </w:pPr>
      <w:r>
        <w:rPr>
          <w:rFonts w:ascii="Courier New" w:cs="Courier New" w:eastAsia="Courier New" w:hAnsi="Courier New"/>
          <w:sz w:val="15"/>
          <w:szCs w:val="15"/>
          <w:color w:val="auto"/>
        </w:rPr>
        <w:t>Micron Technology, Inc.'s common stock is listed on the New York Stock Exchange and is traded under the symbol "MU." The following table represents the high and low closing sales prices for the Company's common stock for each quarter of fiscal 1997 and 1996, as reported by The Wall Street Journal.</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High</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5140" w:type="dxa"/>
            <w:vAlign w:val="bottom"/>
          </w:tcPr>
          <w:p>
            <w:pPr>
              <w:spacing w:after="0"/>
              <w:rPr>
                <w:sz w:val="15"/>
                <w:szCs w:val="15"/>
                <w:color w:val="auto"/>
              </w:rPr>
            </w:pP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$60.063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$38.375</w:t>
            </w: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45.250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33.250</w:t>
            </w: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39.125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29.000</w:t>
            </w: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20.375</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4th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$32.125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$17.250</w:t>
            </w: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3rd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38.375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28.500</w:t>
            </w: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2nd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54.750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30.875</w:t>
            </w:r>
          </w:p>
        </w:tc>
      </w:tr>
      <w:tr>
        <w:trPr>
          <w:trHeight w:val="173"/>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1st quarter...........................................</w:t>
            </w:r>
          </w:p>
        </w:tc>
        <w:tc>
          <w:tcPr>
            <w:tcW w:w="1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94.375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47.750</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RECORD</w:t>
      </w:r>
    </w:p>
    <w:p>
      <w:pPr>
        <w:spacing w:after="0" w:line="178" w:lineRule="exact"/>
        <w:rPr>
          <w:sz w:val="20"/>
          <w:szCs w:val="20"/>
          <w:color w:val="auto"/>
        </w:rPr>
      </w:pPr>
    </w:p>
    <w:p>
      <w:pPr>
        <w:ind w:right="4320" w:firstLine="180"/>
        <w:spacing w:after="0" w:line="243" w:lineRule="auto"/>
        <w:rPr>
          <w:sz w:val="20"/>
          <w:szCs w:val="20"/>
          <w:color w:val="auto"/>
        </w:rPr>
      </w:pPr>
      <w:r>
        <w:rPr>
          <w:rFonts w:ascii="Courier New" w:cs="Courier New" w:eastAsia="Courier New" w:hAnsi="Courier New"/>
          <w:sz w:val="15"/>
          <w:szCs w:val="15"/>
          <w:color w:val="auto"/>
        </w:rPr>
        <w:t>As of August 28, 1997, there were 7,374 shareholders of record of the Company's common stock.</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700" w:firstLine="180"/>
        <w:spacing w:after="0" w:line="244" w:lineRule="auto"/>
        <w:rPr>
          <w:sz w:val="20"/>
          <w:szCs w:val="20"/>
          <w:color w:val="auto"/>
        </w:rPr>
      </w:pPr>
      <w:r>
        <w:rPr>
          <w:rFonts w:ascii="Courier New" w:cs="Courier New" w:eastAsia="Courier New" w:hAnsi="Courier New"/>
          <w:sz w:val="15"/>
          <w:szCs w:val="15"/>
          <w:color w:val="auto"/>
        </w:rPr>
        <w:t>The Company did not declare or pay any dividends during fiscal 1997. The Company declared and paid cash dividends of $0.15 per share during each of fiscal 1996 and fiscal 1995. Future dividends, if any, will vary depending on the Company's profitability and anticipated capital requirements.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20"/>
        </w:trPr>
        <w:tc>
          <w:tcPr>
            <w:tcW w:w="404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4040" w:type="dxa"/>
            <w:vAlign w:val="bottom"/>
          </w:tcPr>
          <w:p>
            <w:pPr>
              <w:spacing w:after="0"/>
              <w:rPr>
                <w:sz w:val="15"/>
                <w:szCs w:val="15"/>
                <w:color w:val="auto"/>
              </w:rPr>
            </w:pP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040" w:type="dxa"/>
            <w:vAlign w:val="bottom"/>
          </w:tcPr>
          <w:p>
            <w:pPr>
              <w:spacing w:after="0"/>
              <w:rPr>
                <w:sz w:val="24"/>
                <w:szCs w:val="24"/>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(Amounts in millions, except for per share data)</w:t>
            </w:r>
          </w:p>
        </w:tc>
        <w:tc>
          <w:tcPr>
            <w:tcW w:w="1180" w:type="dxa"/>
            <w:vAlign w:val="bottom"/>
          </w:tcPr>
          <w:p>
            <w:pPr>
              <w:spacing w:after="0"/>
              <w:rPr>
                <w:sz w:val="24"/>
                <w:szCs w:val="24"/>
                <w:color w:val="auto"/>
              </w:rPr>
            </w:pP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$3,515.5</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$3,653.8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$2,952.7</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$1,628.6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$828.3</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976.4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1,455.4</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1,624.0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311.1</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940.5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1,307.8</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167.7</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593.5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844.1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104.1</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Cash dividend declared per share............</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1,972.4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1,274.1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440.1</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2,761.2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2,708.1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1,385.6</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437.8</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4,851.3</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3,751.5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2,774.9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965.7</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749.9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664.5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604.8</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210.8</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762.3</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314.6</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2,883.1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2,502.0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1,896.2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1,049.3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639.5</w:t>
            </w:r>
          </w:p>
        </w:tc>
      </w:tr>
    </w:tbl>
    <w:p>
      <w:pPr>
        <w:spacing w:after="0" w:line="351" w:lineRule="exact"/>
        <w:rPr>
          <w:sz w:val="20"/>
          <w:szCs w:val="20"/>
          <w:color w:val="auto"/>
        </w:rPr>
      </w:pPr>
    </w:p>
    <w:p>
      <w:pPr>
        <w:ind w:right="3700" w:firstLine="180"/>
        <w:spacing w:after="0" w:line="243" w:lineRule="auto"/>
        <w:rPr>
          <w:sz w:val="20"/>
          <w:szCs w:val="20"/>
          <w:color w:val="auto"/>
        </w:rPr>
      </w:pPr>
      <w:r>
        <w:rPr>
          <w:rFonts w:ascii="Courier New" w:cs="Courier New" w:eastAsia="Courier New" w:hAnsi="Courier New"/>
          <w:sz w:val="15"/>
          <w:szCs w:val="15"/>
          <w:color w:val="auto"/>
        </w:rPr>
        <w:t>See "Item 7. Management's Discussion and Analysis of Financial Condition and Results of Operations Certain Factors."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0"/>
          </w:cols>
          <w:pgMar w:left="240" w:top="638" w:right="939" w:bottom="1440" w:gutter="0" w:footer="0" w:header="0"/>
        </w:sectPr>
      </w:pPr>
    </w:p>
    <w:bookmarkStart w:id="16" w:name="page17"/>
    <w:bookmarkEnd w:id="16"/>
    <w:p>
      <w:pPr>
        <w:spacing w:after="0"/>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OF OPERATIONS</w:t>
      </w:r>
    </w:p>
    <w:p>
      <w:pPr>
        <w:spacing w:after="0" w:line="351" w:lineRule="exact"/>
        <w:rPr>
          <w:sz w:val="20"/>
          <w:szCs w:val="20"/>
          <w:color w:val="auto"/>
        </w:rPr>
      </w:pPr>
    </w:p>
    <w:p>
      <w:pPr>
        <w:ind w:right="3080" w:firstLine="180"/>
        <w:spacing w:after="0" w:line="264"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All period references are to the Company's fiscal periods ended August 28, 1997, August 29, 1996 or August 31, 1995, unless otherwise indicated.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080" w:firstLine="180"/>
        <w:spacing w:after="0" w:line="244" w:lineRule="auto"/>
        <w:rPr>
          <w:sz w:val="20"/>
          <w:szCs w:val="20"/>
          <w:color w:val="auto"/>
        </w:rPr>
      </w:pPr>
      <w:r>
        <w:rPr>
          <w:rFonts w:ascii="Courier New" w:cs="Courier New" w:eastAsia="Courier New" w:hAnsi="Courier New"/>
          <w:sz w:val="15"/>
          <w:szCs w:val="15"/>
          <w:color w:val="auto"/>
        </w:rPr>
        <w:t>Net income for 1997 was $332 million, or $1.53 per fully diluted share, on net sales of $3,516 million. Net income for 1996 was $593 million, or $2.76 per fully diluted share, on net sales of $3,654 million. The slightly lower level of net sales in 1997 principally resulted from a sharp decline in average selling prices for semiconductor memory products, largely offset by increased volumes of semiconductor memory products sold and increased unit sales of PC systems. The sharp decline in average selling prices for the Company's semiconductor memory products in 1997 also resulted in lower net income in 1997 as compared to 1996, as the declines exceeded the Company's ability to reduce its cost per megabit.</w:t>
      </w:r>
    </w:p>
    <w:p>
      <w:pPr>
        <w:spacing w:after="0" w:line="180" w:lineRule="exact"/>
        <w:rPr>
          <w:sz w:val="20"/>
          <w:szCs w:val="20"/>
          <w:color w:val="auto"/>
        </w:rPr>
      </w:pPr>
    </w:p>
    <w:p>
      <w:pPr>
        <w:ind w:right="3080" w:firstLine="180"/>
        <w:spacing w:after="0" w:line="244" w:lineRule="auto"/>
        <w:rPr>
          <w:sz w:val="20"/>
          <w:szCs w:val="20"/>
          <w:color w:val="auto"/>
        </w:rPr>
      </w:pPr>
      <w:r>
        <w:rPr>
          <w:rFonts w:ascii="Courier New" w:cs="Courier New" w:eastAsia="Courier New" w:hAnsi="Courier New"/>
          <w:sz w:val="15"/>
          <w:szCs w:val="15"/>
          <w:color w:val="auto"/>
        </w:rPr>
        <w:t>Results of operations for 1997 included a $94 million after-tax gain on the sale of a portion of the Company's holdings in MEI common stock, which decreased the Company's ownership in MEI to approximately 64%. Results of operations for 1997 also included net after-tax gains of $13 million on sales of other investments. Fully diluted earnings per share for 1997 benefited by $0.49 from these gain transactions.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SALES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spacing w:after="0"/>
              <w:rPr>
                <w:sz w:val="14"/>
                <w:szCs w:val="14"/>
                <w:color w:val="auto"/>
              </w:rPr>
            </w:pP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spacing w:after="0"/>
              <w:rPr>
                <w:sz w:val="14"/>
                <w:szCs w:val="14"/>
                <w:color w:val="auto"/>
              </w:rPr>
            </w:pPr>
          </w:p>
        </w:tc>
      </w:tr>
      <w:tr>
        <w:trPr>
          <w:trHeight w:val="173"/>
        </w:trPr>
        <w:tc>
          <w:tcPr>
            <w:tcW w:w="3320" w:type="dxa"/>
            <w:vAlign w:val="bottom"/>
          </w:tcPr>
          <w:p>
            <w:pPr>
              <w:spacing w:after="0"/>
              <w:rPr>
                <w:sz w:val="15"/>
                <w:szCs w:val="15"/>
                <w:color w:val="auto"/>
              </w:rPr>
            </w:pPr>
          </w:p>
        </w:tc>
        <w:tc>
          <w:tcPr>
            <w:tcW w:w="2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(dollars in millions)</w:t>
            </w:r>
          </w:p>
        </w:tc>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7"/>
        </w:trPr>
        <w:tc>
          <w:tcPr>
            <w:tcW w:w="33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Semiconductor memory products.......</w:t>
            </w: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$1,738.1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$2,210.0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$2,287.0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3"/>
        </w:trPr>
        <w:tc>
          <w:tcPr>
            <w:tcW w:w="33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PC systems..........................</w:t>
            </w: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1,463.5</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w:t>
            </w: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1,128.3</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429.1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33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w:t>
            </w: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313.9</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315.5</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236.6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3"/>
        </w:trPr>
        <w:tc>
          <w:tcPr>
            <w:tcW w:w="3320" w:type="dxa"/>
            <w:vAlign w:val="bottom"/>
          </w:tcPr>
          <w:p>
            <w:pPr>
              <w:spacing w:after="0"/>
              <w:rPr>
                <w:sz w:val="15"/>
                <w:szCs w:val="15"/>
                <w:color w:val="auto"/>
              </w:rPr>
            </w:pP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net sales...................</w:t>
            </w: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$3,515.5</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100%</w:t>
            </w: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$3,653.8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$2,952.7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3320" w:type="dxa"/>
            <w:vAlign w:val="bottom"/>
          </w:tcPr>
          <w:p>
            <w:pPr>
              <w:spacing w:after="0"/>
              <w:rPr>
                <w:sz w:val="15"/>
                <w:szCs w:val="15"/>
                <w:color w:val="auto"/>
              </w:rPr>
            </w:pPr>
          </w:p>
        </w:tc>
        <w:tc>
          <w:tcPr>
            <w:tcW w:w="1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r>
    </w:tbl>
    <w:p>
      <w:pPr>
        <w:spacing w:after="0" w:line="351" w:lineRule="exact"/>
        <w:rPr>
          <w:sz w:val="20"/>
          <w:szCs w:val="20"/>
          <w:color w:val="auto"/>
        </w:rPr>
      </w:pPr>
    </w:p>
    <w:p>
      <w:pPr>
        <w:ind w:right="3080" w:firstLine="180"/>
        <w:spacing w:after="0" w:line="265" w:lineRule="auto"/>
        <w:rPr>
          <w:sz w:val="20"/>
          <w:szCs w:val="20"/>
          <w:color w:val="auto"/>
        </w:rPr>
      </w:pPr>
      <w:r>
        <w:rPr>
          <w:rFonts w:ascii="Courier New" w:cs="Courier New" w:eastAsia="Courier New" w:hAnsi="Courier New"/>
          <w:sz w:val="14"/>
          <w:szCs w:val="14"/>
          <w:color w:val="auto"/>
        </w:rPr>
        <w:t>Net sales reported under "semiconductor memory products" include sales of MTI semiconductor memory products incorporated in MEI PC systems and other products, which amounted to $87.5 million, $183.7 million and $182.5 million in 1997, 1996 and 1995, respectively. The caption "Other" primarily includes revenue from contract manufacturing and module assembly services, construction management services, government research and development contracts, and licensing fees.</w:t>
      </w:r>
    </w:p>
    <w:p>
      <w:pPr>
        <w:spacing w:after="0" w:line="163" w:lineRule="exact"/>
        <w:rPr>
          <w:sz w:val="20"/>
          <w:szCs w:val="20"/>
          <w:color w:val="auto"/>
        </w:rPr>
      </w:pPr>
    </w:p>
    <w:p>
      <w:pPr>
        <w:ind w:right="3160" w:firstLine="180"/>
        <w:spacing w:after="0" w:line="244" w:lineRule="auto"/>
        <w:rPr>
          <w:sz w:val="20"/>
          <w:szCs w:val="20"/>
          <w:color w:val="auto"/>
        </w:rPr>
      </w:pPr>
      <w:r>
        <w:rPr>
          <w:rFonts w:ascii="Courier New" w:cs="Courier New" w:eastAsia="Courier New" w:hAnsi="Courier New"/>
          <w:sz w:val="15"/>
          <w:szCs w:val="15"/>
          <w:color w:val="auto"/>
        </w:rPr>
        <w:t>Net sales in 1997 decreased by 4% compared to 1996, principally due to an approximate 75% decline in average selling prices of semiconductor memory products for the year, offset by increased volumes of semiconductor memory products sold and increased unit sales of PC systems. Total megabits of semiconductor memory shipped in 1997 increased by more than 200% over 1996 levels. This increase was principally a result of the transition to the 16 Meg DRAM as the Company's principal memory product, ongoing transitions to successive reduced die size ("shrink") versions of existing memory products, enhanced yields on existing memory products, the conversion of all of the Company's fabs to 8-inch wafer processing at the end of 1996 and an increase in total wafer outs.</w:t>
      </w:r>
    </w:p>
    <w:p>
      <w:pPr>
        <w:spacing w:after="0" w:line="180" w:lineRule="exact"/>
        <w:rPr>
          <w:sz w:val="20"/>
          <w:szCs w:val="20"/>
          <w:color w:val="auto"/>
        </w:rPr>
      </w:pPr>
    </w:p>
    <w:p>
      <w:pPr>
        <w:ind w:right="3260" w:firstLine="180"/>
        <w:spacing w:after="0" w:line="244" w:lineRule="auto"/>
        <w:rPr>
          <w:sz w:val="20"/>
          <w:szCs w:val="20"/>
          <w:color w:val="auto"/>
        </w:rPr>
      </w:pPr>
      <w:r>
        <w:rPr>
          <w:rFonts w:ascii="Courier New" w:cs="Courier New" w:eastAsia="Courier New" w:hAnsi="Courier New"/>
          <w:sz w:val="15"/>
          <w:szCs w:val="15"/>
          <w:color w:val="auto"/>
        </w:rPr>
        <w:t>The Company's 16 Meg DRAM comprised approximately 80% of net sales of semiconductor memory in 1997. The Company's principal semiconductor memory product in 1996 and 1995 was the 4 Meg DRAM, which comprised approximately 87% of net sales of semiconductor memory in each year.</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80"/>
          </w:cols>
          <w:pgMar w:left="240" w:top="638" w:right="1379" w:bottom="1440" w:gutter="0" w:footer="0" w:header="0"/>
        </w:sectPr>
      </w:pPr>
    </w:p>
    <w:bookmarkStart w:id="17" w:name="page18"/>
    <w:bookmarkEnd w:id="17"/>
    <w:p>
      <w:pPr>
        <w:ind w:right="4060" w:firstLine="180"/>
        <w:spacing w:after="0" w:line="270" w:lineRule="auto"/>
        <w:rPr>
          <w:sz w:val="20"/>
          <w:szCs w:val="20"/>
          <w:color w:val="auto"/>
        </w:rPr>
      </w:pPr>
      <w:r>
        <w:rPr>
          <w:rFonts w:ascii="Courier New" w:cs="Courier New" w:eastAsia="Courier New" w:hAnsi="Courier New"/>
          <w:sz w:val="14"/>
          <w:szCs w:val="14"/>
          <w:color w:val="auto"/>
        </w:rPr>
        <w:t>Unit sales of PC systems in 1997 were approximately 37% higher than in 1996, while average selling prices for PC systems declined. Higher unit sales were largely attributable to significantly higher government and corporate sales.</w:t>
      </w:r>
    </w:p>
    <w:p>
      <w:pPr>
        <w:spacing w:after="0" w:line="158"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Net sales in 1996 increased by 24% compared to 1995 principally due to a higher level of net sales of PC systems. The effect on net sales of increased production of semiconductor memory products was offset by a sharp decline in average selling prices. Total megabits shipped in 1996 increased by approximately 77% from 1995 levels. This increase was principally due to the conversion of all of the Company's fabs to 8-inch wafer processing, ongoing transitions to successive shrink versions of existing memory products, particularly the 4 Meg DRAM, an increase in total wafer outs, a shift in the Company's mix of semiconductor memory products to a higher average density and enhanced yields on existing memory products. Unit sales of PC systems increased by 111% in 1996 compared to 1995, principally due to an increase in sales through the direct channel resulting from increased name recognition and market acceptance of Micron brand desktop PC products. Increased sales to governmental entities and increased sales of notebook systems also contributed to higher overall unit sales in 1996.</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GROSS MARGIN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3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140" w:type="dxa"/>
            <w:vAlign w:val="bottom"/>
          </w:tcPr>
          <w:p>
            <w:pPr>
              <w:spacing w:after="0"/>
              <w:rPr>
                <w:sz w:val="15"/>
                <w:szCs w:val="15"/>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320" w:type="dxa"/>
            <w:vAlign w:val="bottom"/>
            <w:gridSpan w:val="3"/>
          </w:tcPr>
          <w:p>
            <w:pPr>
              <w:jc w:val="right"/>
              <w:ind w:right="1085"/>
              <w:spacing w:after="0"/>
              <w:rPr>
                <w:sz w:val="20"/>
                <w:szCs w:val="20"/>
                <w:color w:val="auto"/>
              </w:rPr>
            </w:pPr>
            <w:r>
              <w:rPr>
                <w:rFonts w:ascii="Courier New" w:cs="Courier New" w:eastAsia="Courier New" w:hAnsi="Courier New"/>
                <w:sz w:val="15"/>
                <w:szCs w:val="15"/>
                <w:color w:val="auto"/>
              </w:rPr>
              <w:t>(dollars in millions)</w:t>
            </w:r>
          </w:p>
        </w:tc>
        <w:tc>
          <w:tcPr>
            <w:tcW w:w="136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$976.4</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$1,455.4</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$1,624.0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w:t>
            </w:r>
          </w:p>
        </w:tc>
        <w:tc>
          <w:tcPr>
            <w:tcW w:w="144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w:t>
            </w:r>
          </w:p>
        </w:tc>
        <w:tc>
          <w:tcPr>
            <w:tcW w:w="1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bl>
    <w:p>
      <w:pPr>
        <w:spacing w:after="0" w:line="351"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The Company's gross margin percentage declined primarily as a result of lower average selling prices for semiconductor memory products and increasing net sales of PC systems as a percentage of total net sales. The Company's gross margin percentage on sales of semiconductor memory products for 1997 was 39%, compared to 56% and 65% in 1996 and 1995, respectively. The lower gross margin on sales of semiconductor memory products in 1997 was primarily the result of sharp declines in average selling prices for such products, partially offset by lower per megabit manufacturing costs. Decreases in the Company's manufacturing costs per megabit were achieved through the transition to the 16 Meg DRAM as the Company's principal memory product, ongoing transitions to successive shrink versions of existing memory products, enhanced yields on existing memory products, the conversion of all of the Company's fabs to 8-inch wafer processing at the end of 1996 and an increase in total wafer outs.</w:t>
      </w:r>
    </w:p>
    <w:p>
      <w:pPr>
        <w:spacing w:after="0" w:line="182" w:lineRule="exact"/>
        <w:rPr>
          <w:sz w:val="20"/>
          <w:szCs w:val="20"/>
          <w:color w:val="auto"/>
        </w:rPr>
      </w:pPr>
    </w:p>
    <w:p>
      <w:pPr>
        <w:ind w:right="3960" w:firstLine="180"/>
        <w:spacing w:after="0" w:line="244" w:lineRule="auto"/>
        <w:rPr>
          <w:sz w:val="20"/>
          <w:szCs w:val="20"/>
          <w:color w:val="auto"/>
        </w:rPr>
      </w:pPr>
      <w:r>
        <w:rPr>
          <w:rFonts w:ascii="Courier New" w:cs="Courier New" w:eastAsia="Courier New" w:hAnsi="Courier New"/>
          <w:sz w:val="15"/>
          <w:szCs w:val="15"/>
          <w:color w:val="auto"/>
        </w:rPr>
        <w:t>Cost of goods sold includes estimated costs of settlement or adjudication of asserted and unasserted claims for patent infringement prior to the balance sheet date and costs of product and process technology licensing arrangements. The 1996 gross margin was increased by a net reduction of approximately $55 million in prior year accruals for product and process rights contingencies for both semiconductor and personal computer operations.</w:t>
      </w:r>
    </w:p>
    <w:p>
      <w:pPr>
        <w:spacing w:after="0" w:line="177"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ramp of its 16 Meg SDRAM reached approximately 50% of DRAM wafer starts at fiscal year end. The Company has also introduced its 64 Meg DRAM into production and expects to ramp production as customer demand shifts away from the 16 Meg DRAM. Future gross margins will be adversely impacted if the Company is unable to transition to these products in a timely fashion or at gross margin rates comparable to those of the Company's current primary products.</w:t>
      </w:r>
    </w:p>
    <w:p>
      <w:pPr>
        <w:spacing w:after="0" w:line="178" w:lineRule="exact"/>
        <w:rPr>
          <w:sz w:val="20"/>
          <w:szCs w:val="20"/>
          <w:color w:val="auto"/>
        </w:rPr>
      </w:pPr>
    </w:p>
    <w:p>
      <w:pPr>
        <w:ind w:right="3960" w:firstLine="180"/>
        <w:spacing w:after="0" w:line="244" w:lineRule="auto"/>
        <w:rPr>
          <w:sz w:val="20"/>
          <w:szCs w:val="20"/>
          <w:color w:val="auto"/>
        </w:rPr>
      </w:pPr>
      <w:r>
        <w:rPr>
          <w:rFonts w:ascii="Courier New" w:cs="Courier New" w:eastAsia="Courier New" w:hAnsi="Courier New"/>
          <w:sz w:val="15"/>
          <w:szCs w:val="15"/>
          <w:color w:val="auto"/>
        </w:rPr>
        <w:t>The gross margin percentage for the Company's PC operations for 1997 was 17%, compared to 15% and 10% in 1996 and 1995, respectively. The gross margin percentage for sales of the Company's PC systems was higher in 1997 compared to 1996, primarily due to relatively lower component costs, partially offset by lower selling prices for the Company's PC systems. Gross margins in 1997 were adversely affected by intense price competition, a shift in product mix toward the Company's lower-priced PC systems and the effect of a higher level of sales to governmental entities. The Company continues to experience significant pressure on its gross margins as a result of intense competition in the PC industry and consumer expectations of more powerful PC systems at lower prices.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080"/>
          </w:cols>
          <w:pgMar w:left="240" w:top="638" w:right="579" w:bottom="1440" w:gutter="0" w:footer="0" w:header="0"/>
        </w:sectPr>
      </w:pPr>
    </w:p>
    <w:bookmarkStart w:id="18" w:name="page19"/>
    <w:bookmarkEnd w:id="18"/>
    <w:p>
      <w:pPr>
        <w:ind w:right="4060" w:firstLine="180"/>
        <w:spacing w:after="0" w:line="244" w:lineRule="auto"/>
        <w:rPr>
          <w:sz w:val="20"/>
          <w:szCs w:val="20"/>
          <w:color w:val="auto"/>
        </w:rPr>
      </w:pPr>
      <w:r>
        <w:rPr>
          <w:rFonts w:ascii="Courier New" w:cs="Courier New" w:eastAsia="Courier New" w:hAnsi="Courier New"/>
          <w:sz w:val="15"/>
          <w:szCs w:val="15"/>
          <w:color w:val="auto"/>
        </w:rPr>
        <w:t>The decrease in gross margin percentage for 1996 compared to 1995 was principally a result of lower average selling prices for semiconductor memory products and higher net sales of PC systems as a percentage of total net sales. The lower gross margin percentage on sales of semiconductor memory products in 1996 was principally due to a sharp decline in average selling prices for such products as compared to more gradual decreases in per megabit manufacturing costs. Decreases in the Company's manufacturing costs per megabit were achieved through significant increases in volume production which principally resulted from a greater number of die per wafer achieved through conversion of all fabs to 8-inch wafers, transitions to shrink versions of existing products, improved manufacturing yields, increased wafer output and a shift in the Company's mix of semiconductor memory products to higher density devices. The lower gross margin percentage on sales of semiconductor memory products in 1996 was partially offset by the effect of a net reduction of approximately $55 million in accruals recorded in prior years relating to product and process rights contingencies for both semiconductor and personal computer operations. The effect on the Company's gross margin from the decrease in semiconductor gross margin was compounded by higher net sales of PC systems as a percentage of net sales, as sales of PC systems generally had a lower gross margin percentage than sales of the Company's semiconductor memory products in 1996.</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3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14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320" w:type="dxa"/>
            <w:vAlign w:val="bottom"/>
            <w:gridSpan w:val="3"/>
          </w:tcPr>
          <w:p>
            <w:pPr>
              <w:jc w:val="right"/>
              <w:ind w:right="1185"/>
              <w:spacing w:after="0"/>
              <w:rPr>
                <w:sz w:val="20"/>
                <w:szCs w:val="20"/>
                <w:color w:val="auto"/>
              </w:rPr>
            </w:pPr>
            <w:r>
              <w:rPr>
                <w:rFonts w:ascii="Courier New" w:cs="Courier New" w:eastAsia="Courier New" w:hAnsi="Courier New"/>
                <w:sz w:val="15"/>
                <w:szCs w:val="15"/>
                <w:color w:val="auto"/>
              </w:rPr>
              <w:t>(dollars in millions)</w:t>
            </w:r>
          </w:p>
        </w:tc>
        <w:tc>
          <w:tcPr>
            <w:tcW w:w="136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$365.0</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$293.4</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56.6%</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$187.4</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w:t>
            </w:r>
          </w:p>
        </w:tc>
        <w:tc>
          <w:tcPr>
            <w:tcW w:w="144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c>
          <w:tcPr>
            <w:tcW w:w="1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bl>
    <w:p>
      <w:pPr>
        <w:spacing w:after="0" w:line="351" w:lineRule="exact"/>
        <w:rPr>
          <w:sz w:val="20"/>
          <w:szCs w:val="20"/>
          <w:color w:val="auto"/>
        </w:rPr>
      </w:pPr>
    </w:p>
    <w:p>
      <w:pPr>
        <w:ind w:right="4140" w:firstLine="180"/>
        <w:spacing w:after="0" w:line="244" w:lineRule="auto"/>
        <w:rPr>
          <w:sz w:val="20"/>
          <w:szCs w:val="20"/>
          <w:color w:val="auto"/>
        </w:rPr>
      </w:pPr>
      <w:r>
        <w:rPr>
          <w:rFonts w:ascii="Courier New" w:cs="Courier New" w:eastAsia="Courier New" w:hAnsi="Courier New"/>
          <w:sz w:val="15"/>
          <w:szCs w:val="15"/>
          <w:color w:val="auto"/>
        </w:rPr>
        <w:t>The higher level of selling, general and administrative expenses during 1997 as compared to 1996 reflects an increased number of administrative employees associated with expanded PC operations, increased advertising costs associated with the Company's PC systems, a higher level of performance based compensation costs, increased technical and professional fees primarily associated with information technology consulting services for the Company's expanding PC operations. Selling, general and administrative expenses reflect pre-tax gains from the disposal of equipment of $3 million, $21 million and $7 million in 1997, 1996 and 1995, respectively.</w:t>
      </w:r>
    </w:p>
    <w:p>
      <w:pPr>
        <w:spacing w:after="0" w:line="179" w:lineRule="exact"/>
        <w:rPr>
          <w:sz w:val="20"/>
          <w:szCs w:val="20"/>
          <w:color w:val="auto"/>
        </w:rPr>
      </w:pPr>
    </w:p>
    <w:p>
      <w:pPr>
        <w:ind w:right="4060" w:firstLine="180"/>
        <w:spacing w:after="0" w:line="244" w:lineRule="auto"/>
        <w:rPr>
          <w:sz w:val="20"/>
          <w:szCs w:val="20"/>
          <w:color w:val="auto"/>
        </w:rPr>
      </w:pPr>
      <w:r>
        <w:rPr>
          <w:rFonts w:ascii="Courier New" w:cs="Courier New" w:eastAsia="Courier New" w:hAnsi="Courier New"/>
          <w:sz w:val="15"/>
          <w:szCs w:val="15"/>
          <w:color w:val="auto"/>
        </w:rPr>
        <w:t>The higher level of selling, general and administrative expenses for 1996 as compared to 1995 principally resulted from a higher level of personnel costs associated with the increased number of administrative employees and sales and technical support employees in the Company's PC operations and, to a lesser extent, increased legal costs associated with the development and resolution of product and process technology rights and contingencies, advertising costs for the Company's PC operations and depreciation expense resulting from the addition of new computer equipment in late 1995 and 1996. During 1996, the Company charged operations with a $9 million accrual relating to revisions of estimates for selling costs associated with sales of PC systems.</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3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14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320" w:type="dxa"/>
            <w:vAlign w:val="bottom"/>
            <w:gridSpan w:val="3"/>
          </w:tcPr>
          <w:p>
            <w:pPr>
              <w:jc w:val="right"/>
              <w:ind w:right="1185"/>
              <w:spacing w:after="0"/>
              <w:rPr>
                <w:sz w:val="20"/>
                <w:szCs w:val="20"/>
                <w:color w:val="auto"/>
              </w:rPr>
            </w:pPr>
            <w:r>
              <w:rPr>
                <w:rFonts w:ascii="Courier New" w:cs="Courier New" w:eastAsia="Courier New" w:hAnsi="Courier New"/>
                <w:sz w:val="15"/>
                <w:szCs w:val="15"/>
                <w:color w:val="auto"/>
              </w:rPr>
              <w:t>(dollars in millions)</w:t>
            </w:r>
          </w:p>
        </w:tc>
        <w:tc>
          <w:tcPr>
            <w:tcW w:w="136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$208.9</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$191.9</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w:t>
            </w:r>
          </w:p>
        </w:tc>
        <w:tc>
          <w:tcPr>
            <w:tcW w:w="1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$128.8</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as a % of net sales..........................</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c>
          <w:tcPr>
            <w:tcW w:w="1440" w:type="dxa"/>
            <w:vAlign w:val="bottom"/>
          </w:tcPr>
          <w:p>
            <w:pPr>
              <w:spacing w:after="0"/>
              <w:rPr>
                <w:sz w:val="15"/>
                <w:szCs w:val="15"/>
                <w:color w:val="auto"/>
              </w:rPr>
            </w:pP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w:t>
            </w:r>
          </w:p>
        </w:tc>
        <w:tc>
          <w:tcPr>
            <w:tcW w:w="1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bl>
    <w:p>
      <w:pPr>
        <w:spacing w:after="0" w:line="351" w:lineRule="exact"/>
        <w:rPr>
          <w:sz w:val="20"/>
          <w:szCs w:val="20"/>
          <w:color w:val="auto"/>
        </w:rPr>
      </w:pPr>
    </w:p>
    <w:p>
      <w:pPr>
        <w:ind w:right="4060" w:firstLine="180"/>
        <w:spacing w:after="0" w:line="244" w:lineRule="auto"/>
        <w:rPr>
          <w:sz w:val="20"/>
          <w:szCs w:val="20"/>
          <w:color w:val="auto"/>
        </w:rPr>
      </w:pPr>
      <w:r>
        <w:rPr>
          <w:rFonts w:ascii="Courier New" w:cs="Courier New" w:eastAsia="Courier New" w:hAnsi="Courier New"/>
          <w:sz w:val="15"/>
          <w:szCs w:val="15"/>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current developments in advanced process technology is focused on shrink versions of the Company's 16 Meg DRAM and development of the 16 Meg, 64 Meg and 256 Meg SDRAMs. The PC industry is in the process of transitioning from EDO to SDRAM. The Company's transition to SDRAM as the primary DRAM technology is expected to occur in late calendar 1997. Other research and development efforts are devoted to the design and development of FLASH, SRAM, remote intelligent communications (RIC) and flat panel display products.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260"/>
          </w:cols>
          <w:pgMar w:left="240" w:top="639" w:right="399" w:bottom="1440" w:gutter="0" w:footer="0" w:header="0"/>
        </w:sectPr>
      </w:pPr>
    </w:p>
    <w:bookmarkStart w:id="19" w:name="page20"/>
    <w:bookmarkEnd w:id="19"/>
    <w:p>
      <w:pPr>
        <w:ind w:right="3880" w:firstLine="180"/>
        <w:spacing w:after="0" w:line="244" w:lineRule="auto"/>
        <w:rPr>
          <w:sz w:val="20"/>
          <w:szCs w:val="20"/>
          <w:color w:val="auto"/>
        </w:rPr>
      </w:pPr>
      <w:r>
        <w:rPr>
          <w:rFonts w:ascii="Courier New" w:cs="Courier New" w:eastAsia="Courier New" w:hAnsi="Courier New"/>
          <w:sz w:val="15"/>
          <w:szCs w:val="15"/>
          <w:color w:val="auto"/>
        </w:rPr>
        <w:t>In 1997, the Company transitioned a substantial portion of its manufacturing capacity to .30 micron (mu) line width processing from .35 (mu) line width processing. The Company anticipates that all of its semiconductor fabrication will utilize .30 (mu) line width processing by the end of 1998. It is currently anticipated that process technology will move to line widths of .25 (mu), .21 (mu) and .18 (mu) in the next several years as needed for the development of future generation semiconductor products.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GAIN ON SALE OF INVESTMENTS AND SUBSIDIARY STOCK</w:t>
      </w:r>
    </w:p>
    <w:p>
      <w:pPr>
        <w:spacing w:after="0" w:line="178"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of the outstanding MEI common stock from approximately 79% to approximately 64%. The Company also recorded pre-tax gains totaling $22 million for 1997 relating to sales of investments. Fully diluted earnings per share for 1997 benefited by $0.49 from these gain transactions.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RESTRUCTURING CHARGE</w:t>
      </w:r>
    </w:p>
    <w:p>
      <w:pPr>
        <w:spacing w:after="0" w:line="178" w:lineRule="exact"/>
        <w:rPr>
          <w:sz w:val="20"/>
          <w:szCs w:val="20"/>
          <w:color w:val="auto"/>
        </w:rPr>
      </w:pPr>
    </w:p>
    <w:p>
      <w:pPr>
        <w:ind w:right="3800" w:firstLine="180"/>
        <w:spacing w:after="0" w:line="244" w:lineRule="auto"/>
        <w:rPr>
          <w:sz w:val="20"/>
          <w:szCs w:val="20"/>
          <w:color w:val="auto"/>
        </w:rPr>
      </w:pPr>
      <w:r>
        <w:rPr>
          <w:rFonts w:ascii="Courier New" w:cs="Courier New" w:eastAsia="Courier New" w:hAnsi="Courier New"/>
          <w:sz w:val="15"/>
          <w:szCs w:val="15"/>
          <w:color w:val="auto"/>
        </w:rPr>
        <w:t>Results of operations for 1996 were adversely affected by a $30 million pre-tax restructuring charge resulting from the decisions by its then approximately 79% owned subsidiary, Micron Electronics, Inc., to discontinue sales of ZEOS (R) brand PC systems and to close the related PC manufacturing operations in Minneapolis, Minnesota. The restructuring charge reduced 1996 fully diluted earnings per share by $0.09.</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TAX PROVISION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CHANGE</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140" w:type="dxa"/>
            <w:vAlign w:val="bottom"/>
          </w:tcPr>
          <w:p>
            <w:pPr>
              <w:spacing w:after="0"/>
              <w:rPr>
                <w:sz w:val="15"/>
                <w:szCs w:val="15"/>
                <w:color w:val="auto"/>
              </w:rPr>
            </w:pP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gridSpan w:val="3"/>
          </w:tcPr>
          <w:p>
            <w:pPr>
              <w:jc w:val="right"/>
              <w:ind w:right="1085"/>
              <w:spacing w:after="0"/>
              <w:rPr>
                <w:sz w:val="20"/>
                <w:szCs w:val="20"/>
                <w:color w:val="auto"/>
              </w:rPr>
            </w:pPr>
            <w:r>
              <w:rPr>
                <w:rFonts w:ascii="Courier New" w:cs="Courier New" w:eastAsia="Courier New" w:hAnsi="Courier New"/>
                <w:sz w:val="15"/>
                <w:szCs w:val="15"/>
                <w:color w:val="auto"/>
              </w:rPr>
              <w:t>(dollars in millions)</w:t>
            </w:r>
          </w:p>
        </w:tc>
        <w:tc>
          <w:tcPr>
            <w:tcW w:w="1280" w:type="dxa"/>
            <w:vAlign w:val="bottom"/>
          </w:tcPr>
          <w:p>
            <w:pPr>
              <w:spacing w:after="0"/>
              <w:rPr>
                <w:sz w:val="15"/>
                <w:szCs w:val="15"/>
                <w:color w:val="auto"/>
              </w:rPr>
            </w:pP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$267.3</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$357.0</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$506.4</w:t>
            </w:r>
          </w:p>
        </w:tc>
      </w:tr>
    </w:tbl>
    <w:p>
      <w:pPr>
        <w:spacing w:after="0" w:line="351" w:lineRule="exact"/>
        <w:rPr>
          <w:sz w:val="20"/>
          <w:szCs w:val="20"/>
          <w:color w:val="auto"/>
        </w:rPr>
      </w:pPr>
    </w:p>
    <w:p>
      <w:pPr>
        <w:ind w:right="3800" w:firstLine="180"/>
        <w:spacing w:after="0" w:line="244" w:lineRule="auto"/>
        <w:rPr>
          <w:sz w:val="20"/>
          <w:szCs w:val="20"/>
          <w:color w:val="auto"/>
        </w:rPr>
      </w:pPr>
      <w:r>
        <w:rPr>
          <w:rFonts w:ascii="Courier New" w:cs="Courier New" w:eastAsia="Courier New" w:hAnsi="Courier New"/>
          <w:sz w:val="15"/>
          <w:szCs w:val="15"/>
          <w:color w:val="auto"/>
        </w:rPr>
        <w:t>The effective tax rate for 1997 was 43.2%, which primarily reflects the statutory corporate tax rate, the net effect of state taxation and the effect of change in ownership of domestic subsidiaries. The effective tax rate for 1996 and 1995 was 37.2%. The change in the effective tax rate was principally due to provision for income taxes by the Company on earnings of its domestic subsidiaries, and the gain on the sale of MEI common stock by the Company and the gain on issuance of common stock by MEI. State income taxes have been reduced by state tax credits. As of June 1996, MEI was not consolidated with MTI for federal income tax purposes.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8" w:lineRule="exact"/>
        <w:rPr>
          <w:sz w:val="20"/>
          <w:szCs w:val="20"/>
          <w:color w:val="auto"/>
        </w:rPr>
      </w:pPr>
    </w:p>
    <w:p>
      <w:pPr>
        <w:ind w:right="3800" w:firstLine="271"/>
        <w:spacing w:after="0" w:line="244" w:lineRule="auto"/>
        <w:rPr>
          <w:sz w:val="20"/>
          <w:szCs w:val="20"/>
          <w:color w:val="auto"/>
        </w:rPr>
      </w:pPr>
      <w:r>
        <w:rPr>
          <w:rFonts w:ascii="Courier New" w:cs="Courier New" w:eastAsia="Courier New" w:hAnsi="Courier New"/>
          <w:sz w:val="15"/>
          <w:szCs w:val="15"/>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Basic and diluted EPS pursuant to the requirements of SFAS No. 128, as well as a description of SFAS No. 130 and SFAS No. 131 are disclosed in the notes to the financial statements.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4060" w:firstLine="180"/>
        <w:spacing w:after="0" w:line="243" w:lineRule="auto"/>
        <w:rPr>
          <w:sz w:val="20"/>
          <w:szCs w:val="20"/>
          <w:color w:val="auto"/>
        </w:rPr>
      </w:pPr>
      <w:r>
        <w:rPr>
          <w:rFonts w:ascii="Courier New" w:cs="Courier New" w:eastAsia="Courier New" w:hAnsi="Courier New"/>
          <w:sz w:val="15"/>
          <w:szCs w:val="15"/>
          <w:color w:val="auto"/>
        </w:rPr>
        <w:t>As of August 28, 1997, the Company had cash and liquid investments totaling $988 million, representing an increase of $701 million during 1997.</w:t>
      </w:r>
    </w:p>
    <w:p>
      <w:pPr>
        <w:spacing w:after="0" w:line="176"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The Company's principal sources of liquidity during 1997 were cash flows from operations of $604 million, net proceeds of $487 million from the issuance of convertible subordinated notes, net cash proceeds from the sale of MEI common stock of $248 million and equipment financing of $78 million. The principal uses of funds in 1997 were $517 million for property, plant and equipment, $155 million for repayments of equipment contracts and long-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000"/>
          </w:cols>
          <w:pgMar w:left="240" w:top="638" w:right="659" w:bottom="1440" w:gutter="0" w:footer="0" w:header="0"/>
        </w:sectPr>
      </w:pPr>
    </w:p>
    <w:bookmarkStart w:id="20" w:name="page21"/>
    <w:bookmarkEnd w:id="20"/>
    <w:p>
      <w:pPr>
        <w:ind w:right="3019"/>
        <w:spacing w:after="0" w:line="244" w:lineRule="auto"/>
        <w:rPr>
          <w:sz w:val="20"/>
          <w:szCs w:val="20"/>
          <w:color w:val="auto"/>
        </w:rPr>
      </w:pPr>
      <w:r>
        <w:rPr>
          <w:rFonts w:ascii="Courier New" w:cs="Courier New" w:eastAsia="Courier New" w:hAnsi="Courier New"/>
          <w:sz w:val="15"/>
          <w:szCs w:val="15"/>
          <w:color w:val="auto"/>
        </w:rPr>
        <w:t>term debt, and $90 million for net repayments of the Company's bank line. In addition, during 1997 the Company's inventories increased by $203 million primarily as a result of increased levels of production; of this increase, $83 million is attributable to an increase in work in progress inventories resulting principally from capacity constraints in Assembly and Test due to the Company's transition to SDRAM. The Company expects to work through these capacity constraints by early calendar 1998.</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Cash flow from operations depends significantly on average selling prices and variable cost per unit for the Company's semiconductor memory products. Cash flow from operations for 1997 was lower than cash flow from operations for 1996 primarily as a result of lower overall average selling prices for semiconductor memory products.</w:t>
      </w:r>
    </w:p>
    <w:p>
      <w:pPr>
        <w:spacing w:after="0" w:line="177"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As of August 28, 1997, the Company had entered into contracts extending into fiscal 1999 for approximately $562 million for equipment purchases and approximately $43 million for the construction of facilities. The Company estimates it will spend approximately $1.2 billion in the next fiscal year for purchases of equipment and construction and improvement of buildings. Should market conditions deteriorate, the Company would likely reduce substantially its budget for capital expenditures. These expenditures will be used primarily to enhance capacity and product and process technology at the Company's existing facilities. As the Company considers its product and process technology enhancement programs and technology diversification objectives, the Company has evaluated, and continues to evaluate, the purchase of the minority interest of its subsidiaries, possible acquisitions and strategic alliances. In the fourth quarter of 1997, the Company took advantage of favorable market conditions in the capital markets and issued $500 million in 7% convertible subordinated notes. The notes were offered under a $1 billion shelf registration statement pursuant to which the Company may issue from time to time up to an additional $500 million in debt or equity securities.</w:t>
      </w:r>
    </w:p>
    <w:p>
      <w:pPr>
        <w:spacing w:after="0" w:line="33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MTI has a $500 million revolving credit agreement expiring in May 2000. The agreement contains certain restrictive covenants, including a minimum fixed charge coverage ratio, a maximum operating losses covenant and a limitation on the payment of dividends. As of August 28, 1997, the Company was in compliance with all covenants under the facility and had no borrowings outstanding under the agreement. There can be no assurance that the Company will continue to be able to meet the terms of the covenants and conditions or be able to borrow the full amount of the credit facility. MEI has credit agreements providing for aggregate borrowings of $158 million. The agreements contain certain restrictive covenants. As of August 28, 1997, MEI was eligible to borrow the full $158 million and had aggregate borrowings of $10 million outstanding under the agreements. Cash generated by MEI is not readily available or anticipated to be available to finance operations or other expenditures of MTI.</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FACTORS</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In addition to the factors discussed elsewhere in this Annual Report on Form 10-K, the following are important factors which could cause actual results or events to differ materially from those contained in any forward-looking statement made by or on behalf of the Company.</w:t>
      </w:r>
    </w:p>
    <w:p>
      <w:pPr>
        <w:spacing w:after="0" w:line="349"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w:t>
      </w:r>
    </w:p>
    <w:p>
      <w:pPr>
        <w:spacing w:after="0" w:line="180"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985" w:right="1440" w:bottom="1440" w:gutter="0" w:footer="0" w:header="0"/>
        </w:sectPr>
      </w:pPr>
    </w:p>
    <w:bookmarkStart w:id="21" w:name="page22"/>
    <w:bookmarkEnd w:id="21"/>
    <w:p>
      <w:pPr>
        <w:ind w:right="3019"/>
        <w:spacing w:after="0" w:line="244" w:lineRule="auto"/>
        <w:rPr>
          <w:sz w:val="20"/>
          <w:szCs w:val="20"/>
          <w:color w:val="auto"/>
        </w:rPr>
      </w:pPr>
      <w:r>
        <w:rPr>
          <w:rFonts w:ascii="Courier New" w:cs="Courier New" w:eastAsia="Courier New" w:hAnsi="Courier New"/>
          <w:sz w:val="15"/>
          <w:szCs w:val="15"/>
          <w:color w:val="auto"/>
        </w:rPr>
        <w:t>manufacturing costs, and, as a result, the Company's cash flows were significantly adversely affected, particularly in the second half of 1996. For most of 1997 the rate at which the Company was able to decrease per unit manufacturing costs exceeded the rate of decline in average selling prices, due mainly to a transition to a higher density product. However, in the fourth quarter of 1997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86"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Approximately 76% of the Company's sales of semiconductor memory products during 1997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80"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fluctuations, on a quarterly and an annual basis, as a result of a wide variety of factors, including, but not limited to, industry competition, fluctuating market pricing for PCs and semiconductor memory products, fluctuating component costs, changes in product mix, inventory obsolescence, the timing of new product introductions by the Company and its competitors, the timing of orders from and shipments to OEM customers, seasonal government purchasing cycles, manufacturing and production constraints, the effects of product reviews and industry awards, seasonal cycles common in the PC industry, critical component availability, and failure by MEI to succeed in its strategies with respect to NetFRAME /(R)/. Changing circumstances, including but not limited to, changes in the Company's core operations, uses of capital, strategic objectives and market conditions, could result in the Company changing its ownership interest in its subsidiaries.</w:t>
      </w:r>
    </w:p>
    <w:p>
      <w:pPr>
        <w:spacing w:after="0" w:line="16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Company is engaged in ongoing efforts to enhance its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1997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83"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ramp of its 16 Meg SDRAM reached approximately 50% of wafer starts at fiscal year end. The Company has also introduced its 64 Meg DRAM into production and expects to ramp production as customer demand shifts away from the 16 Meg DRAM. Future gross margins will be adversely impacted if the Company is unable to transition to these products in a timely fashion or at gross margin rates comparable to the Company's current primary products. A rapid shift to a higher product mix of either the 16 Meg SDRAM, or particularly the 64 Meg DRAM, could have a negative effect on the Company's results of operations.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8" w:right="1440" w:bottom="1440" w:gutter="0" w:footer="0" w:header="0"/>
        </w:sectPr>
      </w:pPr>
    </w:p>
    <w:bookmarkStart w:id="22" w:name="page23"/>
    <w:bookmarkEnd w:id="22"/>
    <w:p>
      <w:pPr>
        <w:ind w:right="3099" w:firstLine="180"/>
        <w:spacing w:after="0" w:line="244" w:lineRule="auto"/>
        <w:rPr>
          <w:sz w:val="20"/>
          <w:szCs w:val="20"/>
          <w:color w:val="auto"/>
        </w:rPr>
      </w:pPr>
      <w:r>
        <w:rPr>
          <w:rFonts w:ascii="Courier New" w:cs="Courier New" w:eastAsia="Courier New" w:hAnsi="Courier New"/>
          <w:sz w:val="15"/>
          <w:szCs w:val="15"/>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or anticipated to be available to finance the Company's semiconductor operations. The Company has aggregate credit agreements of $658 million, including a $500 million revolving credit agreement expiring in May 2000.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185"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Completion of the Company's semiconductor manufacturing facility in Lehi, Utah was suspended in February 1996, as a result of the decline in average selling prices for semiconductor memory products. As of August 28, 1997, the Company had invested approximately $612 million in the Lehi facility. The cost to complete the Lehi facility is estimated to approximate $1.7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if required,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85"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85" w:lineRule="exact"/>
        <w:rPr>
          <w:sz w:val="20"/>
          <w:szCs w:val="20"/>
          <w:color w:val="auto"/>
        </w:rPr>
      </w:pPr>
    </w:p>
    <w:p>
      <w:pPr>
        <w:ind w:right="3019" w:firstLine="180"/>
        <w:spacing w:after="0" w:line="263"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or that any of MTI's personnel will remain employed by MTI. Any loss of key personnel or the inability to hire or retain qualified personnel could have a material adverse effect on the Company's business and results of operations.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8" w:right="1440" w:bottom="1440" w:gutter="0" w:footer="0" w:header="0"/>
        </w:sectPr>
      </w:pPr>
    </w:p>
    <w:bookmarkStart w:id="23" w:name="page24"/>
    <w:bookmarkEnd w:id="23"/>
    <w:p>
      <w:pPr>
        <w:spacing w:after="0"/>
        <w:tabs>
          <w:tab w:leader="none" w:pos="8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w:t>
      </w:r>
    </w:p>
    <w:p>
      <w:pPr>
        <w:spacing w:after="0" w:line="3" w:lineRule="exact"/>
        <w:rPr>
          <w:sz w:val="20"/>
          <w:szCs w:val="20"/>
          <w:color w:val="auto"/>
        </w:rPr>
      </w:pPr>
    </w:p>
    <w:p>
      <w:pPr>
        <w:ind w:left="80" w:right="3019" w:hanging="89"/>
        <w:spacing w:after="0" w:line="243" w:lineRule="auto"/>
        <w:rPr>
          <w:sz w:val="20"/>
          <w:szCs w:val="20"/>
          <w:color w:val="auto"/>
        </w:rPr>
      </w:pPr>
      <w:r>
        <w:rPr>
          <w:rFonts w:ascii="Courier New" w:cs="Courier New" w:eastAsia="Courier New" w:hAnsi="Courier New"/>
          <w:sz w:val="15"/>
          <w:szCs w:val="15"/>
          <w:color w:val="auto"/>
        </w:rPr>
        <w:t>As a result, the Company believes that the market risk arising from its holdings of financial instruments is minimal.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8" w:right="1440" w:bottom="1440" w:gutter="0" w:footer="0" w:header="0"/>
        </w:sectPr>
      </w:pPr>
    </w:p>
    <w:bookmarkStart w:id="24" w:name="page25"/>
    <w:bookmarkEnd w:id="24"/>
    <w:p>
      <w:pPr>
        <w:spacing w:after="0"/>
        <w:tabs>
          <w:tab w:leader="none" w:pos="78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2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36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6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Consolidated Financial Statements as of</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August 28, 1997 and August 29, 1996 and for fiscal years</w:t>
            </w:r>
          </w:p>
        </w:tc>
        <w:tc>
          <w:tcPr>
            <w:tcW w:w="820" w:type="dxa"/>
            <w:vAlign w:val="bottom"/>
          </w:tcPr>
          <w:p>
            <w:pPr>
              <w:spacing w:after="0"/>
              <w:rPr>
                <w:sz w:val="24"/>
                <w:szCs w:val="24"/>
                <w:color w:val="auto"/>
              </w:rPr>
            </w:pPr>
          </w:p>
        </w:tc>
      </w:tr>
      <w:tr>
        <w:trPr>
          <w:trHeight w:val="173"/>
        </w:trPr>
        <w:tc>
          <w:tcPr>
            <w:tcW w:w="3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ended August 28, 1997, August 29, 1996</w:t>
            </w:r>
          </w:p>
        </w:tc>
        <w:tc>
          <w:tcPr>
            <w:tcW w:w="5680" w:type="dxa"/>
            <w:vAlign w:val="bottom"/>
          </w:tcPr>
          <w:p>
            <w:pPr>
              <w:spacing w:after="0"/>
              <w:rPr>
                <w:sz w:val="20"/>
                <w:szCs w:val="20"/>
                <w:color w:val="auto"/>
              </w:rPr>
            </w:pPr>
            <w:r>
              <w:rPr>
                <w:rFonts w:ascii="Courier New" w:cs="Courier New" w:eastAsia="Courier New" w:hAnsi="Courier New"/>
                <w:sz w:val="15"/>
                <w:szCs w:val="15"/>
                <w:color w:val="auto"/>
              </w:rPr>
              <w:t>and August 31, 1995:</w:t>
            </w:r>
          </w:p>
        </w:tc>
        <w:tc>
          <w:tcPr>
            <w:tcW w:w="820" w:type="dxa"/>
            <w:vAlign w:val="bottom"/>
          </w:tcPr>
          <w:p>
            <w:pPr>
              <w:spacing w:after="0"/>
              <w:rPr>
                <w:sz w:val="15"/>
                <w:szCs w:val="15"/>
                <w:color w:val="auto"/>
              </w:rPr>
            </w:pPr>
          </w:p>
        </w:tc>
      </w:tr>
      <w:tr>
        <w:trPr>
          <w:trHeight w:val="347"/>
        </w:trPr>
        <w:tc>
          <w:tcPr>
            <w:tcW w:w="9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Operations...............................................................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7"/>
        </w:trPr>
        <w:tc>
          <w:tcPr>
            <w:tcW w:w="9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Balance Sheets.........................................................................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47"/>
        </w:trPr>
        <w:tc>
          <w:tcPr>
            <w:tcW w:w="9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47"/>
        </w:trPr>
        <w:tc>
          <w:tcPr>
            <w:tcW w:w="9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Statements of Cash Flows...............................................................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47"/>
        </w:trPr>
        <w:tc>
          <w:tcPr>
            <w:tcW w:w="9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47"/>
        </w:trPr>
        <w:tc>
          <w:tcPr>
            <w:tcW w:w="9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520"/>
        </w:trPr>
        <w:tc>
          <w:tcPr>
            <w:tcW w:w="3600" w:type="dxa"/>
            <w:vAlign w:val="bottom"/>
          </w:tcPr>
          <w:p>
            <w:pPr>
              <w:ind w:left="3420"/>
              <w:spacing w:after="0"/>
              <w:rPr>
                <w:sz w:val="20"/>
                <w:szCs w:val="20"/>
                <w:color w:val="auto"/>
              </w:rPr>
            </w:pPr>
            <w:r>
              <w:rPr>
                <w:rFonts w:ascii="Courier New" w:cs="Courier New" w:eastAsia="Courier New" w:hAnsi="Courier New"/>
                <w:sz w:val="15"/>
                <w:szCs w:val="15"/>
                <w:color w:val="auto"/>
                <w:w w:val="88"/>
              </w:rPr>
              <w:t>25</w:t>
            </w:r>
          </w:p>
        </w:tc>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25" w:name="page26"/>
    <w:bookmarkEnd w:id="25"/>
    <w:p>
      <w:pPr>
        <w:jc w:val="center"/>
        <w:ind w:right="3440"/>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(AMOUNTS IN MILLIONS, EXCEPT FOR EARNINGS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Fiscal year ended</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August 28,</w:t>
            </w:r>
          </w:p>
        </w:tc>
        <w:tc>
          <w:tcPr>
            <w:tcW w:w="18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August 29,</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August 31,</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18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1996</w:t>
            </w:r>
          </w:p>
        </w:tc>
        <w:tc>
          <w:tcPr>
            <w:tcW w:w="17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$3,515.5</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$3,653.8</w:t>
            </w: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$2,952.7</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goods sold.....................................</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2,539.2</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2,198.4</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1,328.7</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365.0</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293.4</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208.9</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191.9</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128.8</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Restructuring charge...................................</w:t>
            </w:r>
          </w:p>
        </w:tc>
        <w:tc>
          <w:tcPr>
            <w:tcW w:w="100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29.6</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costs and expenses............................</w:t>
            </w:r>
          </w:p>
        </w:tc>
        <w:tc>
          <w:tcPr>
            <w:tcW w:w="10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3,113.1</w:t>
            </w:r>
          </w:p>
        </w:tc>
        <w:tc>
          <w:tcPr>
            <w:tcW w:w="10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2,713.3</w:t>
            </w:r>
          </w:p>
        </w:tc>
        <w:tc>
          <w:tcPr>
            <w:tcW w:w="10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1,644.9</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income.........................................</w:t>
            </w:r>
          </w:p>
        </w:tc>
        <w:tc>
          <w:tcPr>
            <w:tcW w:w="10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402.4</w:t>
            </w:r>
          </w:p>
        </w:tc>
        <w:tc>
          <w:tcPr>
            <w:tcW w:w="10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940.5</w:t>
            </w:r>
          </w:p>
        </w:tc>
        <w:tc>
          <w:tcPr>
            <w:tcW w:w="10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1,307.8</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Gain on sale of investments and subsidiary stock, net</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215.8</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Gain from merger transaction.............................</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Interest income, net.....................................</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before income taxes...............................</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619.1</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958.9</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1,362.0</w:t>
            </w:r>
          </w:p>
        </w:tc>
      </w:tr>
      <w:tr>
        <w:trPr>
          <w:trHeight w:val="347"/>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tax provision.....................................</w:t>
            </w:r>
          </w:p>
        </w:tc>
        <w:tc>
          <w:tcPr>
            <w:tcW w:w="10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(267.3)</w:t>
            </w:r>
          </w:p>
        </w:tc>
        <w:tc>
          <w:tcPr>
            <w:tcW w:w="100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(357.0)</w:t>
            </w:r>
          </w:p>
        </w:tc>
        <w:tc>
          <w:tcPr>
            <w:tcW w:w="10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(506.4)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Minority interests.......................................</w:t>
            </w:r>
          </w:p>
        </w:tc>
        <w:tc>
          <w:tcPr>
            <w:tcW w:w="10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w:t>
            </w:r>
          </w:p>
        </w:tc>
        <w:tc>
          <w:tcPr>
            <w:tcW w:w="10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0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income...............................................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844.1</w:t>
            </w:r>
          </w:p>
        </w:tc>
      </w:tr>
      <w:tr>
        <w:trPr>
          <w:trHeight w:val="173"/>
        </w:trPr>
        <w:tc>
          <w:tcPr>
            <w:tcW w:w="52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Primary................................................</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Fully diluted..........................................</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Number of shares used in per share calculation:</w:t>
            </w: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Primary................................................</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216.3</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215.0</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213.9</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Fully diluted..........................................</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217.5</w:t>
            </w:r>
          </w:p>
        </w:tc>
        <w:tc>
          <w:tcPr>
            <w:tcW w:w="100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215.0</w:t>
            </w:r>
          </w:p>
        </w:tc>
        <w:tc>
          <w:tcPr>
            <w:tcW w:w="10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216.2</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540"/>
          </w:cols>
          <w:pgMar w:left="240" w:top="638" w:right="1119" w:bottom="1440" w:gutter="0" w:footer="0" w:header="0"/>
        </w:sectPr>
      </w:pPr>
    </w:p>
    <w:bookmarkStart w:id="26" w:name="page27"/>
    <w:bookmarkEnd w:id="26"/>
    <w:p>
      <w:pPr>
        <w:jc w:val="center"/>
        <w:ind w:right="3260"/>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(DOLLARS IN MILLIONS, EXCEPT FOR PAR VALUE DATA)</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7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As of</w:t>
            </w:r>
          </w:p>
        </w:tc>
        <w:tc>
          <w:tcPr>
            <w:tcW w:w="720" w:type="dxa"/>
            <w:vAlign w:val="bottom"/>
          </w:tcPr>
          <w:p>
            <w:pPr>
              <w:spacing w:after="0"/>
              <w:rPr>
                <w:sz w:val="24"/>
                <w:szCs w:val="24"/>
                <w:color w:val="auto"/>
              </w:rPr>
            </w:pPr>
          </w:p>
        </w:tc>
      </w:tr>
      <w:tr>
        <w:trPr>
          <w:trHeight w:val="173"/>
        </w:trPr>
        <w:tc>
          <w:tcPr>
            <w:tcW w:w="7560" w:type="dxa"/>
            <w:vAlign w:val="bottom"/>
          </w:tcPr>
          <w:p>
            <w:pPr>
              <w:spacing w:after="0"/>
              <w:rPr>
                <w:sz w:val="15"/>
                <w:szCs w:val="15"/>
                <w:color w:val="auto"/>
              </w:rPr>
            </w:pPr>
          </w:p>
        </w:tc>
        <w:tc>
          <w:tcPr>
            <w:tcW w:w="28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August 28,</w:t>
            </w:r>
          </w:p>
        </w:tc>
        <w:tc>
          <w:tcPr>
            <w:tcW w:w="13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August 29,</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3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7560" w:type="dxa"/>
            <w:vAlign w:val="bottom"/>
          </w:tcPr>
          <w:p>
            <w:pPr>
              <w:jc w:val="right"/>
              <w:ind w:right="3525"/>
              <w:spacing w:after="0"/>
              <w:rPr>
                <w:sz w:val="20"/>
                <w:szCs w:val="20"/>
                <w:color w:val="auto"/>
              </w:rPr>
            </w:pPr>
            <w:r>
              <w:rPr>
                <w:rFonts w:ascii="Courier New" w:cs="Courier New" w:eastAsia="Courier New" w:hAnsi="Courier New"/>
                <w:sz w:val="15"/>
                <w:szCs w:val="15"/>
                <w:color w:val="auto"/>
              </w:rPr>
              <w:t>ASSETS</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7"/>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equivalents................................................................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276.1</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Liquid investments..................................................................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368.2</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Receivables.........................................................................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458.9</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347.4</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Inventories.........................................................................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454.2</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251.4</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Prepaid expenses....................................................................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Deferred income taxes...............................................................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1,972.4</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964.0</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Product and process technology, net.................................................</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43.2</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2,761.2</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2,708.1</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assets........................................................................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66.6</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36.2</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$4,851.3</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$3,751.5</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560" w:type="dxa"/>
            <w:vAlign w:val="bottom"/>
          </w:tcPr>
          <w:p>
            <w:pPr>
              <w:jc w:val="right"/>
              <w:ind w:right="1985"/>
              <w:spacing w:after="0"/>
              <w:rPr>
                <w:sz w:val="20"/>
                <w:szCs w:val="20"/>
                <w:color w:val="auto"/>
              </w:rPr>
            </w:pPr>
            <w:r>
              <w:rPr>
                <w:rFonts w:ascii="Courier New" w:cs="Courier New" w:eastAsia="Courier New" w:hAnsi="Courier New"/>
                <w:sz w:val="15"/>
                <w:szCs w:val="15"/>
                <w:color w:val="auto"/>
              </w:rPr>
              <w:t>LIABILITIES AND SHAREHOLDERS' EQUITY</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7"/>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Accounts payable and accrued expenses...............................................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423.7</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Short-term debt.....................................................................</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90.0</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Deferred income.....................................................................</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Equipment purchase contracts........................................................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62.7</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67.8</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Current portion of long-term debt...................................................</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116.0</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749.9</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664.5</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Long-term debt......................................................................</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762.3</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314.6</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Deferred income taxes...............................................................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239.8</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157.4</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Non-current product and process technology..........................................</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44.1</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43.5</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liabilities...................................................................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1,831.7</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1,195.7</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Minority interests..................................................................</w:t>
            </w:r>
          </w:p>
        </w:tc>
        <w:tc>
          <w:tcPr>
            <w:tcW w:w="72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136.5</w:t>
            </w:r>
          </w:p>
        </w:tc>
        <w:tc>
          <w:tcPr>
            <w:tcW w:w="64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53.8</w:t>
            </w:r>
          </w:p>
        </w:tc>
      </w:tr>
      <w:tr>
        <w:trPr>
          <w:trHeight w:val="347"/>
        </w:trPr>
        <w:tc>
          <w:tcPr>
            <w:tcW w:w="75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756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 1.0 billion shares, issued and</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outstanding 211.3 million and 208.8 million shares, respectively...................</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Additional capital..................................................................</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483.8</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434.7</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w w:val="99"/>
              </w:rPr>
              <w:t>Retained earnings...................................................................</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2,378.2</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2,046.4</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7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2,883.1</w:t>
            </w:r>
          </w:p>
        </w:tc>
        <w:tc>
          <w:tcPr>
            <w:tcW w:w="64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2,502.0</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5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$4,851.3</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$3,751.5</w:t>
            </w:r>
          </w:p>
        </w:tc>
      </w:tr>
      <w:tr>
        <w:trPr>
          <w:trHeight w:val="173"/>
        </w:trPr>
        <w:tc>
          <w:tcPr>
            <w:tcW w:w="756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360"/>
          </w:cols>
          <w:pgMar w:left="240" w:top="638" w:right="1299" w:bottom="1440" w:gutter="0" w:footer="0" w:header="0"/>
        </w:sectPr>
      </w:pPr>
    </w:p>
    <w:bookmarkStart w:id="27" w:name="page28"/>
    <w:bookmarkEnd w:id="27"/>
    <w:p>
      <w:pPr>
        <w:jc w:val="center"/>
        <w:ind w:right="3720"/>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(DOLLARS AND SHARES 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Fiscal year ended</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320" w:type="dxa"/>
            <w:vAlign w:val="bottom"/>
            <w:gridSpan w:val="9"/>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5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August 28, 1997</w:t>
            </w:r>
          </w:p>
        </w:tc>
        <w:tc>
          <w:tcPr>
            <w:tcW w:w="2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August 29, 1996</w:t>
            </w:r>
          </w:p>
        </w:tc>
        <w:tc>
          <w:tcPr>
            <w:tcW w:w="23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August 31, 1995</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3"/>
              </w:rPr>
              <w:t>-------------------------</w:t>
            </w:r>
          </w:p>
        </w:tc>
        <w:tc>
          <w:tcPr>
            <w:tcW w:w="640" w:type="dxa"/>
            <w:vAlign w:val="bottom"/>
          </w:tcPr>
          <w:p>
            <w:pPr>
              <w:spacing w:after="0"/>
              <w:rPr>
                <w:sz w:val="15"/>
                <w:szCs w:val="15"/>
                <w:color w:val="auto"/>
              </w:rPr>
            </w:pPr>
          </w:p>
        </w:tc>
        <w:tc>
          <w:tcPr>
            <w:tcW w:w="24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Shares</w:t>
            </w:r>
          </w:p>
        </w:tc>
        <w:tc>
          <w:tcPr>
            <w:tcW w:w="11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10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AMOUNT</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9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347"/>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beginning of year...........</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208.8</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101.9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 sold.............................</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 option plan......................</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Stock split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102.9</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end of year.................</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211.3</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206.4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ADDITIONAL</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beginning of year...........</w:t>
            </w:r>
          </w:p>
        </w:tc>
        <w:tc>
          <w:tcPr>
            <w:tcW w:w="1360" w:type="dxa"/>
            <w:vAlign w:val="bottom"/>
          </w:tcPr>
          <w:p>
            <w:pPr>
              <w:spacing w:after="0"/>
              <w:rPr>
                <w:sz w:val="15"/>
                <w:szCs w:val="15"/>
                <w:color w:val="auto"/>
              </w:rPr>
            </w:pP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434.7</w:t>
            </w:r>
          </w:p>
        </w:tc>
        <w:tc>
          <w:tcPr>
            <w:tcW w:w="13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391.5</w:t>
            </w:r>
          </w:p>
        </w:tc>
        <w:tc>
          <w:tcPr>
            <w:tcW w:w="132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368.3</w:t>
            </w: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 sold.............................</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 option plan......................</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Tax effect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of stock purchase plans.....</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Stock split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end of year.................</w:t>
            </w:r>
          </w:p>
        </w:tc>
        <w:tc>
          <w:tcPr>
            <w:tcW w:w="1360" w:type="dxa"/>
            <w:vAlign w:val="bottom"/>
          </w:tcPr>
          <w:p>
            <w:pPr>
              <w:spacing w:after="0"/>
              <w:rPr>
                <w:sz w:val="15"/>
                <w:szCs w:val="15"/>
                <w:color w:val="auto"/>
              </w:rPr>
            </w:pP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483.8</w:t>
            </w:r>
          </w:p>
        </w:tc>
        <w:tc>
          <w:tcPr>
            <w:tcW w:w="13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434.7</w:t>
            </w:r>
          </w:p>
        </w:tc>
        <w:tc>
          <w:tcPr>
            <w:tcW w:w="132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391.5</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RETAINED EARNINGS</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beginning of year...........</w:t>
            </w:r>
          </w:p>
        </w:tc>
        <w:tc>
          <w:tcPr>
            <w:tcW w:w="13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$2,046.4</w:t>
            </w:r>
          </w:p>
        </w:tc>
        <w:tc>
          <w:tcPr>
            <w:tcW w:w="1300" w:type="dxa"/>
            <w:vAlign w:val="bottom"/>
          </w:tcPr>
          <w:p>
            <w:pPr>
              <w:spacing w:after="0"/>
              <w:rPr>
                <w:sz w:val="15"/>
                <w:szCs w:val="15"/>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$1,484.1</w:t>
            </w:r>
          </w:p>
        </w:tc>
        <w:tc>
          <w:tcPr>
            <w:tcW w:w="132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670.8</w:t>
            </w: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332.2</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593.5</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844.1</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translation adjustment......</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Dividends paid.........................</w:t>
            </w: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(31.2)</w:t>
            </w: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end of year.................</w:t>
            </w:r>
          </w:p>
        </w:tc>
        <w:tc>
          <w:tcPr>
            <w:tcW w:w="13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$2,378.2</w:t>
            </w:r>
          </w:p>
        </w:tc>
        <w:tc>
          <w:tcPr>
            <w:tcW w:w="1300" w:type="dxa"/>
            <w:vAlign w:val="bottom"/>
          </w:tcPr>
          <w:p>
            <w:pPr>
              <w:spacing w:after="0"/>
              <w:rPr>
                <w:sz w:val="15"/>
                <w:szCs w:val="15"/>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$2,046.4</w:t>
            </w:r>
          </w:p>
        </w:tc>
        <w:tc>
          <w:tcPr>
            <w:tcW w:w="1320" w:type="dxa"/>
            <w:vAlign w:val="bottom"/>
          </w:tcPr>
          <w:p>
            <w:pPr>
              <w:spacing w:after="0"/>
              <w:rPr>
                <w:sz w:val="15"/>
                <w:szCs w:val="15"/>
                <w:color w:val="auto"/>
              </w:rPr>
            </w:pP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$1,484.1</w:t>
            </w:r>
          </w:p>
        </w:tc>
      </w:tr>
      <w:tr>
        <w:trPr>
          <w:trHeight w:val="173"/>
        </w:trPr>
        <w:tc>
          <w:tcPr>
            <w:tcW w:w="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gridSpan w:val="3"/>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1320" w:type="dxa"/>
            <w:vAlign w:val="bottom"/>
          </w:tcPr>
          <w:p>
            <w:pPr>
              <w:spacing w:after="0"/>
              <w:rPr>
                <w:sz w:val="15"/>
                <w:szCs w:val="15"/>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820"/>
          </w:cols>
          <w:pgMar w:left="240" w:top="638" w:right="839" w:bottom="1440" w:gutter="0" w:footer="0" w:header="0"/>
        </w:sectPr>
      </w:pPr>
    </w:p>
    <w:bookmarkStart w:id="28" w:name="page29"/>
    <w:bookmarkEnd w:id="28"/>
    <w:p>
      <w:pPr>
        <w:jc w:val="center"/>
        <w:ind w:right="3119"/>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(DOLLARS 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28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Fiscal year ended</w:t>
            </w:r>
          </w:p>
        </w:tc>
        <w:tc>
          <w:tcPr>
            <w:tcW w:w="720" w:type="dxa"/>
            <w:vAlign w:val="bottom"/>
          </w:tcPr>
          <w:p>
            <w:pPr>
              <w:spacing w:after="0"/>
              <w:rPr>
                <w:sz w:val="14"/>
                <w:szCs w:val="14"/>
                <w:color w:val="auto"/>
              </w:rPr>
            </w:pPr>
          </w:p>
        </w:tc>
      </w:tr>
      <w:tr>
        <w:trPr>
          <w:trHeight w:val="173"/>
        </w:trPr>
        <w:tc>
          <w:tcPr>
            <w:tcW w:w="6480" w:type="dxa"/>
            <w:vAlign w:val="bottom"/>
          </w:tcPr>
          <w:p>
            <w:pPr>
              <w:spacing w:after="0"/>
              <w:rPr>
                <w:sz w:val="15"/>
                <w:szCs w:val="15"/>
                <w:color w:val="auto"/>
              </w:rPr>
            </w:pPr>
          </w:p>
        </w:tc>
        <w:tc>
          <w:tcPr>
            <w:tcW w:w="352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August 28,</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August 29,</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August 31,</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$ 332.2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593.5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844.1</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480" w:type="dxa"/>
            <w:vAlign w:val="bottom"/>
          </w:tcPr>
          <w:p>
            <w:pPr>
              <w:jc w:val="right"/>
              <w:ind w:right="4425"/>
              <w:spacing w:after="0"/>
              <w:rPr>
                <w:sz w:val="20"/>
                <w:szCs w:val="20"/>
                <w:color w:val="auto"/>
              </w:rPr>
            </w:pPr>
            <w:r>
              <w:rPr>
                <w:rFonts w:ascii="Courier New" w:cs="Courier New" w:eastAsia="Courier New" w:hAnsi="Courier New"/>
                <w:sz w:val="15"/>
                <w:szCs w:val="15"/>
                <w:color w:val="auto"/>
              </w:rPr>
              <w:t>operating activities: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461.7</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363.7</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199.0</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Decrease (increase) in receivables....................................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(97.7)</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107.5</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(197.9)</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in inventories...............................................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(194.2)</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payable and accrued expenses..........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120.3</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(80.6)</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249.4</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in non-current product and process liability.................</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Net gains from subsidiary stock and investment sales..................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(215.8)</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Restructuring charge..................................................</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29.6</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Gain from equipment sales.............................................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Increase in deferred income taxes.....................................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93.9</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48.1</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Gain from merger transaction..........................................</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105.5</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44.6</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29.7</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603.6</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1,060.5</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1,038.8</w:t>
            </w:r>
          </w:p>
        </w:tc>
      </w:tr>
      <w:tr>
        <w:trPr>
          <w:trHeight w:val="347"/>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Expenditures for property, plant and equipment..........................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(516.9)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(1,524.9)</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(852.4)</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Purchase of available-for-sale and held-to-maturity securities..........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(446.8)</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(194.6)</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(719.6)</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sale of subsidiary stock..................................</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sales and maturities of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89.1</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613.8</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651.8</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sale of equipment.........................................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33.8</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used for investing activities..................................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(678.9)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(1,079.5)</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r>
      <w:tr>
        <w:trPr>
          <w:trHeight w:val="347"/>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issuance of debt..........................................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587.8</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264.7</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62.4</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proceeds from (repayments of) borrowings on lines of credit.........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Payments on equipment purchase contracts................................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(127.0)</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Repayments of debt......................................................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(101.1)</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(63.4)</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issuance of common stock..................................</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34.8</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Proceeds from issuance of stock by subsidiaries.........................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55.4</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Debt issuance costs.....................................................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Payment of dividends....................................................</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cash provided by (used for) financing activities....................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418.7</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167.0</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(96.1)</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Net increase in cash and equivalents....................................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343.4</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49.7</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equivalents at beginning of year...............................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276.1</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128.1</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Cash and equivalents at end of year.....................................</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$ 619.5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128.1</w:t>
            </w:r>
          </w:p>
        </w:tc>
      </w:tr>
      <w:tr>
        <w:trPr>
          <w:trHeight w:val="173"/>
        </w:trPr>
        <w:tc>
          <w:tcPr>
            <w:tcW w:w="64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48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Income taxes paid, net..................................................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(403.4)</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(438.6)</w:t>
            </w: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Interest paid, net of amounts capitalized...............................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3"/>
        </w:trPr>
        <w:tc>
          <w:tcPr>
            <w:tcW w:w="648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41.5</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180.3</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w:t>
            </w:r>
          </w:p>
        </w:tc>
      </w:tr>
      <w:tr>
        <w:trPr>
          <w:trHeight w:val="173"/>
        </w:trPr>
        <w:tc>
          <w:tcPr>
            <w:tcW w:w="64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Assets acquired, net of cash and liabilities assumed in</w:t>
            </w: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480" w:type="dxa"/>
            <w:vAlign w:val="bottom"/>
          </w:tcPr>
          <w:p>
            <w:pPr>
              <w:jc w:val="right"/>
              <w:spacing w:after="0"/>
              <w:rPr>
                <w:sz w:val="20"/>
                <w:szCs w:val="20"/>
                <w:color w:val="auto"/>
              </w:rPr>
            </w:pPr>
            <w:r>
              <w:rPr>
                <w:rFonts w:ascii="Courier New" w:cs="Courier New" w:eastAsia="Courier New" w:hAnsi="Courier New"/>
                <w:sz w:val="15"/>
                <w:szCs w:val="15"/>
                <w:color w:val="auto"/>
              </w:rPr>
              <w:t>merger transaction..................................................</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w:t>
            </w:r>
          </w:p>
        </w:tc>
      </w:tr>
    </w:tbl>
    <w:p>
      <w:pPr>
        <w:spacing w:after="0" w:line="35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8" w:right="1440" w:bottom="1440" w:gutter="0" w:footer="0" w:header="0"/>
        </w:sectPr>
      </w:pPr>
    </w:p>
    <w:bookmarkStart w:id="29" w:name="page30"/>
    <w:bookmarkEnd w:id="29"/>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(ALL TABULAR DOLLAR AND SHARE AMOUNTS ARE STATED IN MILLIONS)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78" w:lineRule="exact"/>
        <w:rPr>
          <w:sz w:val="20"/>
          <w:szCs w:val="20"/>
          <w:color w:val="auto"/>
        </w:rPr>
      </w:pPr>
    </w:p>
    <w:p>
      <w:pPr>
        <w:ind w:right="3019" w:firstLine="180"/>
        <w:spacing w:after="0" w:line="264" w:lineRule="auto"/>
        <w:rPr>
          <w:sz w:val="20"/>
          <w:szCs w:val="20"/>
          <w:color w:val="auto"/>
        </w:rPr>
      </w:pPr>
      <w:r>
        <w:rPr>
          <w:rFonts w:ascii="Courier New" w:cs="Courier New" w:eastAsia="Courier New" w:hAnsi="Courier New"/>
          <w:sz w:val="14"/>
          <w:szCs w:val="14"/>
          <w:color w:val="auto"/>
        </w:rPr>
        <w:t>BASIS OF PRESENTATION: The consolidated financial statements include the accounts of Micron Technology, Inc. and its domestic and foreign subsidiaries (the "Company"). The Company designs, develops, manufactures, and markets semiconductor memory products, primarily DRAM, principally for use in personal computers ("PCs"). Through its majority-owned subsidiary, Micron Electronics, Inc. ("MEI"), the Company also designs, develops, manufactures, markets, and supports PC systems and network servers under the Micron /(TM)/ and NetFRAME /(R)/ brand names and operates a contract manufacturing and component recovery business. All significant intercompany accounts and transactions have been eliminated. The Company's fiscal year ends on the Thursday closest to August 31.</w:t>
      </w:r>
    </w:p>
    <w:p>
      <w:pPr>
        <w:spacing w:after="0" w:line="163" w:lineRule="exact"/>
        <w:rPr>
          <w:sz w:val="20"/>
          <w:szCs w:val="20"/>
          <w:color w:val="auto"/>
        </w:rPr>
      </w:pPr>
    </w:p>
    <w:p>
      <w:pPr>
        <w:ind w:right="3459" w:firstLine="180"/>
        <w:spacing w:after="0" w:line="244" w:lineRule="auto"/>
        <w:rPr>
          <w:sz w:val="20"/>
          <w:szCs w:val="20"/>
          <w:color w:val="auto"/>
        </w:rPr>
      </w:pPr>
      <w:r>
        <w:rPr>
          <w:rFonts w:ascii="Courier New" w:cs="Courier New" w:eastAsia="Courier New" w:hAnsi="Courier New"/>
          <w:sz w:val="15"/>
          <w:szCs w:val="15"/>
          <w:color w:val="auto"/>
        </w:rPr>
        <w:t>CERTAIN CONCENTRATIONS AND ESTIMATES: Approximately 76% of the Company's sales of semiconductor memory products are to the PC or peripheral markets. Certain components used by the Company in manufacturing of PC systems are purchased from a limited number of suppliers.</w:t>
      </w:r>
    </w:p>
    <w:p>
      <w:pPr>
        <w:spacing w:after="0" w:line="176"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6"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construction management fees earned, and revenues under cross-license agreements with third parties and under government research contracts.</w:t>
      </w:r>
    </w:p>
    <w:p>
      <w:pPr>
        <w:spacing w:after="0" w:line="17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EARNINGS PER SHARE: Primary earnings per share is based on the weighted average number of shares of common stock and common stock equivalents outstanding during the year. Common stock equivalents consist of stock options. Fully diluted net earnings per share further assumes the conversion of the Company's convertible subordinated notes for the period they were outstanding, unless such assumed conversion would result in anti-dilution.</w:t>
      </w:r>
    </w:p>
    <w:p>
      <w:pPr>
        <w:spacing w:after="0" w:line="177"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August 28, 1997 approximated $850.6 million. The fair value estimates presented herein were based on market interest rates and other market information available to management as of August 28, 1997.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182"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a substantial portion of the Company's customers are affiliated with the computer, telecommunications and office</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30" w:name="page31"/>
    <w:bookmarkEnd w:id="30"/>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automation industries. The Company performs ongoing credit evaluations of customers worldwide and generally does not require collateral from its customers. Historically, the Company has not experienced significant losses on receivables.</w:t>
      </w:r>
    </w:p>
    <w:p>
      <w:pPr>
        <w:spacing w:after="0" w:line="176"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INVENTORIES: Inventories are stated at the lower of average cost or market. Cost includes labor, material and overhead costs, including product and process technology costs.</w:t>
      </w:r>
    </w:p>
    <w:p>
      <w:pPr>
        <w:spacing w:after="0" w:line="175" w:lineRule="exact"/>
        <w:rPr>
          <w:sz w:val="20"/>
          <w:szCs w:val="20"/>
          <w:color w:val="auto"/>
        </w:rPr>
      </w:pPr>
    </w:p>
    <w:p>
      <w:pPr>
        <w:ind w:right="3279" w:firstLine="180"/>
        <w:spacing w:after="0" w:line="244" w:lineRule="auto"/>
        <w:rPr>
          <w:sz w:val="20"/>
          <w:szCs w:val="20"/>
          <w:color w:val="auto"/>
        </w:rPr>
      </w:pPr>
      <w:r>
        <w:rPr>
          <w:rFonts w:ascii="Courier New" w:cs="Courier New" w:eastAsia="Courier New" w:hAnsi="Courier New"/>
          <w:sz w:val="15"/>
          <w:szCs w:val="15"/>
          <w:color w:val="auto"/>
        </w:rPr>
        <w:t>PROPERTY, PLANT AND EQUIPMENT: Property, plant and equipment are stated at cost. Depreciation is computed using the straight-line method over the estimated useful lives of 5 to 30 years for buildings and 2 to 30 years for equipment.</w:t>
      </w:r>
    </w:p>
    <w:p>
      <w:pPr>
        <w:spacing w:after="0" w:line="176"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royalty-bearing license agreements that allow it to manufacture and sell semiconductor memory devices, PC hardware and software.</w:t>
      </w:r>
    </w:p>
    <w:p>
      <w:pPr>
        <w:spacing w:after="0" w:line="178" w:lineRule="exact"/>
        <w:rPr>
          <w:sz w:val="20"/>
          <w:szCs w:val="20"/>
          <w:color w:val="auto"/>
        </w:rPr>
      </w:pPr>
    </w:p>
    <w:p>
      <w:pPr>
        <w:ind w:right="3639" w:firstLine="180"/>
        <w:spacing w:after="0" w:line="243" w:lineRule="auto"/>
        <w:rPr>
          <w:sz w:val="20"/>
          <w:szCs w:val="20"/>
          <w:color w:val="auto"/>
        </w:rPr>
      </w:pPr>
      <w:r>
        <w:rPr>
          <w:rFonts w:ascii="Courier New" w:cs="Courier New" w:eastAsia="Courier New" w:hAnsi="Courier New"/>
          <w:sz w:val="15"/>
          <w:szCs w:val="15"/>
          <w:color w:val="auto"/>
        </w:rPr>
        <w:t>SUBSIDIARY STOCK SALES: Gains on issuance of stock by a subsidiary are recognized in income.</w:t>
      </w:r>
    </w:p>
    <w:p>
      <w:pPr>
        <w:spacing w:after="0" w:line="176" w:lineRule="exact"/>
        <w:rPr>
          <w:sz w:val="20"/>
          <w:szCs w:val="20"/>
          <w:color w:val="auto"/>
        </w:rPr>
      </w:pPr>
    </w:p>
    <w:p>
      <w:pPr>
        <w:ind w:right="3459" w:firstLine="180"/>
        <w:spacing w:after="0" w:line="244" w:lineRule="auto"/>
        <w:rPr>
          <w:sz w:val="20"/>
          <w:szCs w:val="20"/>
          <w:color w:val="auto"/>
        </w:rPr>
      </w:pPr>
      <w:r>
        <w:rPr>
          <w:rFonts w:ascii="Courier New" w:cs="Courier New" w:eastAsia="Courier New" w:hAnsi="Courier New"/>
          <w:sz w:val="15"/>
          <w:szCs w:val="15"/>
          <w:color w:val="auto"/>
        </w:rPr>
        <w:t>ADVERTISING: Advertising costs are charged to operations as incurred. Advertising costs expensed in 1997, 1996 and 1995 were $35.7 million, $25.4 million, and $12.7 million, respectively.</w:t>
      </w:r>
    </w:p>
    <w:p>
      <w:pPr>
        <w:spacing w:after="0" w:line="175"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RECENTLY ISSUED ACCOUNTING STANDARDS: In February 1997, the Financial Accounting Standards Board issued Statement of Financial Accounting Standards ("SFAS") No. 128 Earnings Per Share. The requirements of this Statement are first effective for the Company's interim period ended February 26,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Fiscal Year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2520" w:type="dxa"/>
            <w:vAlign w:val="bottom"/>
          </w:tcPr>
          <w:p>
            <w:pPr>
              <w:spacing w:after="0"/>
              <w:rPr>
                <w:sz w:val="15"/>
                <w:szCs w:val="15"/>
                <w:color w:val="auto"/>
              </w:rPr>
            </w:pPr>
          </w:p>
        </w:tc>
        <w:tc>
          <w:tcPr>
            <w:tcW w:w="352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w:t>
            </w:r>
          </w:p>
        </w:tc>
      </w:tr>
      <w:tr>
        <w:trPr>
          <w:trHeight w:val="347"/>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8/28/97</w:t>
            </w:r>
          </w:p>
        </w:tc>
        <w:tc>
          <w:tcPr>
            <w:tcW w:w="540" w:type="dxa"/>
            <w:vAlign w:val="bottom"/>
          </w:tcPr>
          <w:p>
            <w:pPr>
              <w:spacing w:after="0"/>
              <w:rPr>
                <w:sz w:val="24"/>
                <w:szCs w:val="2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8/29/96</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8/31/95</w:t>
            </w:r>
          </w:p>
        </w:tc>
      </w:tr>
      <w:tr>
        <w:trPr>
          <w:trHeight w:val="173"/>
        </w:trPr>
        <w:tc>
          <w:tcPr>
            <w:tcW w:w="252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r>
      <w:tr>
        <w:trPr>
          <w:trHeight w:val="173"/>
        </w:trPr>
        <w:tc>
          <w:tcPr>
            <w:tcW w:w="25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bl>
    <w:p>
      <w:pPr>
        <w:spacing w:after="0" w:line="351"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In June 1997, the FASB issued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79" w:lineRule="exact"/>
        <w:rPr>
          <w:sz w:val="20"/>
          <w:szCs w:val="20"/>
          <w:color w:val="auto"/>
        </w:rPr>
      </w:pPr>
    </w:p>
    <w:p>
      <w:pPr>
        <w:ind w:right="3019" w:firstLine="180"/>
        <w:spacing w:after="0" w:line="270" w:lineRule="auto"/>
        <w:rPr>
          <w:sz w:val="20"/>
          <w:szCs w:val="20"/>
          <w:color w:val="auto"/>
        </w:rPr>
      </w:pPr>
      <w:r>
        <w:rPr>
          <w:rFonts w:ascii="Courier New" w:cs="Courier New" w:eastAsia="Courier New" w:hAnsi="Courier New"/>
          <w:sz w:val="14"/>
          <w:szCs w:val="14"/>
          <w:color w:val="auto"/>
        </w:rPr>
        <w:t>FOREIGN CURRENCY: The U.S. dollar is the Company's functional currency for substantially all of its operations. For international operations where the local currency is the functional currency, assets and liabilities are translated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8" w:right="1440" w:bottom="1440" w:gutter="0" w:footer="0" w:header="0"/>
        </w:sectPr>
      </w:pPr>
    </w:p>
    <w:bookmarkStart w:id="31" w:name="page32"/>
    <w:bookmarkEnd w:id="31"/>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into U.S. dollars at exchange rates in effect at the balance sheet date and income and expense items are translated at the average exchange rates prevailing during the period.</w:t>
      </w:r>
    </w:p>
    <w:p>
      <w:pPr>
        <w:spacing w:after="0" w:line="175"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RESTATEMENTS AND RECLASSIFICATIONS: The 1996 and 1995 Statements of Cash Flows include reclassifications relating to payments and acquisitions on equipment purchase contracts. The cost and accumulated amortization of product and process technology have been restated to exclude fully amortized costs from the subtotals. Certain other reclassifications have been made, none of which affected results of operations, to present the financial statements on a consistent basis.</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On December 31, 1995, the Company reclassified a portion of its held-to-maturity liquid investment securities to available-for-sale concurrent with the Company's adoption of the FASB's special report on implementing Statement 115, "Accounting for Certain Investments in Debt and Equity Securities."</w:t>
      </w:r>
    </w:p>
    <w:p>
      <w:pPr>
        <w:spacing w:after="0" w:line="176"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On March 27, 1995, the Company's Board of Directors announced a 2 for 1 stock split effected in the form of a stock dividend to shareholders of record as of May 4, 1995. The Company's par value of $0.10 per share remained unchanged. Historical share and per share amounts have been restated to reflect retroactively the stock split.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Supplemental Balance Sheet Information</w:t>
            </w:r>
          </w:p>
        </w:tc>
        <w:tc>
          <w:tcPr>
            <w:tcW w:w="1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8/28/97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 INVESTMENTS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36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Available-for-sale securities: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7"/>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Commercial paper...............................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U.S. Government agency.........................</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248.7</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Bankers' acceptances...........................</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96.1</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State and local governments....................</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728.0</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Held-to-maturity securities: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Commercial paper...............................</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72.7</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80.3</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State and local governments....................</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45.2</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U.S. Government agency.........................</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39.3</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Bankers' acceptances...........................</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161.0</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151.4</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Total investments.................................</w:t>
            </w:r>
          </w:p>
        </w:tc>
        <w:tc>
          <w:tcPr>
            <w:tcW w:w="3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889.0</w:t>
            </w:r>
          </w:p>
        </w:tc>
        <w:tc>
          <w:tcPr>
            <w:tcW w:w="4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159.4</w:t>
            </w:r>
          </w:p>
        </w:tc>
      </w:tr>
      <w:tr>
        <w:trPr>
          <w:trHeight w:val="173"/>
        </w:trPr>
        <w:tc>
          <w:tcPr>
            <w:tcW w:w="47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Less cash equivalents.............................</w:t>
            </w:r>
          </w:p>
        </w:tc>
        <w:tc>
          <w:tcPr>
            <w:tcW w:w="3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(520.8)</w:t>
            </w:r>
          </w:p>
        </w:tc>
        <w:tc>
          <w:tcPr>
            <w:tcW w:w="4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(148.7)</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Securities classified as available-for-sale are stated at fair value which approximates cost. Securities classified as held-to-maturity are stated at amortized cost. As of August 28, 1997 the total securities classified as available for sale included $722.7 million that mature within one year and held-to-maturity securities included $150.9 maturing within 90 days.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w w:val="70"/>
              </w:rPr>
              <w:t>Trade receivables..................................</w:t>
            </w:r>
          </w:p>
        </w:tc>
        <w:tc>
          <w:tcPr>
            <w:tcW w:w="2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$447.2</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$288.2</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70"/>
              </w:rPr>
              <w:t>Income taxes receivable............................</w:t>
            </w:r>
          </w:p>
        </w:tc>
        <w:tc>
          <w:tcPr>
            <w:tcW w:w="2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69.1</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70"/>
              </w:rPr>
              <w:t>Allowance for returns and discounts................</w:t>
            </w:r>
          </w:p>
        </w:tc>
        <w:tc>
          <w:tcPr>
            <w:tcW w:w="2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70"/>
              </w:rPr>
              <w:t>Allowance for doubtful accounts....................</w:t>
            </w:r>
          </w:p>
        </w:tc>
        <w:tc>
          <w:tcPr>
            <w:tcW w:w="2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70"/>
              </w:rPr>
              <w:t>Other receivables..................................</w:t>
            </w:r>
          </w:p>
        </w:tc>
        <w:tc>
          <w:tcPr>
            <w:tcW w:w="2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17.6</w:t>
            </w:r>
          </w:p>
        </w:tc>
      </w:tr>
      <w:tr>
        <w:trPr>
          <w:trHeight w:val="173"/>
        </w:trPr>
        <w:tc>
          <w:tcPr>
            <w:tcW w:w="3240" w:type="dxa"/>
            <w:vAlign w:val="bottom"/>
          </w:tcPr>
          <w:p>
            <w:pPr>
              <w:spacing w:after="0"/>
              <w:rPr>
                <w:sz w:val="15"/>
                <w:szCs w:val="15"/>
                <w:color w:val="auto"/>
              </w:rPr>
            </w:pPr>
          </w:p>
        </w:tc>
        <w:tc>
          <w:tcPr>
            <w:tcW w:w="2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2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$458.9</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$347.4</w:t>
            </w:r>
          </w:p>
        </w:tc>
      </w:tr>
      <w:tr>
        <w:trPr>
          <w:trHeight w:val="173"/>
        </w:trPr>
        <w:tc>
          <w:tcPr>
            <w:tcW w:w="3240" w:type="dxa"/>
            <w:vAlign w:val="bottom"/>
          </w:tcPr>
          <w:p>
            <w:pPr>
              <w:spacing w:after="0"/>
              <w:rPr>
                <w:sz w:val="15"/>
                <w:szCs w:val="15"/>
                <w:color w:val="auto"/>
              </w:rPr>
            </w:pPr>
          </w:p>
        </w:tc>
        <w:tc>
          <w:tcPr>
            <w:tcW w:w="2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3240" w:type="dxa"/>
            <w:vAlign w:val="bottom"/>
          </w:tcPr>
          <w:p>
            <w:pPr>
              <w:spacing w:after="0"/>
              <w:rPr>
                <w:sz w:val="24"/>
                <w:szCs w:val="24"/>
                <w:color w:val="auto"/>
              </w:rPr>
            </w:pPr>
          </w:p>
        </w:tc>
        <w:tc>
          <w:tcPr>
            <w:tcW w:w="2740" w:type="dxa"/>
            <w:vAlign w:val="bottom"/>
          </w:tcPr>
          <w:p>
            <w:pPr>
              <w:jc w:val="right"/>
              <w:ind w:right="2485"/>
              <w:spacing w:after="0"/>
              <w:rPr>
                <w:sz w:val="20"/>
                <w:szCs w:val="20"/>
                <w:color w:val="auto"/>
              </w:rPr>
            </w:pPr>
            <w:r>
              <w:rPr>
                <w:rFonts w:ascii="Courier New" w:cs="Courier New" w:eastAsia="Courier New" w:hAnsi="Courier New"/>
                <w:sz w:val="15"/>
                <w:szCs w:val="15"/>
                <w:color w:val="auto"/>
                <w:w w:val="88"/>
              </w:rPr>
              <w:t>32</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32" w:name="page33"/>
    <w:bookmarkEnd w:id="32"/>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NOTES TO</w:t>
            </w:r>
          </w:p>
        </w:tc>
        <w:tc>
          <w:tcPr>
            <w:tcW w:w="4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FINANCIAL STATEMENTS (CONTINUED)</w:t>
            </w:r>
          </w:p>
        </w:tc>
        <w:tc>
          <w:tcPr>
            <w:tcW w:w="900" w:type="dxa"/>
            <w:vAlign w:val="bottom"/>
          </w:tcPr>
          <w:p>
            <w:pPr>
              <w:spacing w:after="0"/>
              <w:rPr>
                <w:sz w:val="14"/>
                <w:szCs w:val="14"/>
                <w:color w:val="auto"/>
              </w:rPr>
            </w:pPr>
          </w:p>
        </w:tc>
      </w:tr>
      <w:tr>
        <w:trPr>
          <w:trHeight w:val="347"/>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SUPPLEMENTAL BALANCE</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SHEET INFORMATION (CONTINUED)</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8/28/97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3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$ 54.3</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112.8</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Raw materials and supplies.........................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84.3</w:t>
            </w:r>
          </w:p>
        </w:tc>
      </w:tr>
      <w:tr>
        <w:trPr>
          <w:trHeight w:val="173"/>
        </w:trPr>
        <w:tc>
          <w:tcPr>
            <w:tcW w:w="48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$251.4</w:t>
            </w:r>
          </w:p>
        </w:tc>
      </w:tr>
      <w:tr>
        <w:trPr>
          <w:trHeight w:val="173"/>
        </w:trPr>
        <w:tc>
          <w:tcPr>
            <w:tcW w:w="482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AND PROCESS TECHNOLOGY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at cost............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108.1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93.1</w:t>
            </w:r>
          </w:p>
        </w:tc>
      </w:tr>
      <w:tr>
        <w:trPr>
          <w:trHeight w:val="173"/>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32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(57.0)</w:t>
            </w: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(49.9)</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8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w:t>
            </w:r>
          </w:p>
        </w:tc>
      </w:tr>
      <w:tr>
        <w:trPr>
          <w:trHeight w:val="173"/>
        </w:trPr>
        <w:tc>
          <w:tcPr>
            <w:tcW w:w="4820" w:type="dxa"/>
            <w:vAlign w:val="bottom"/>
          </w:tcPr>
          <w:p>
            <w:pPr>
              <w:spacing w:after="0"/>
              <w:rPr>
                <w:sz w:val="15"/>
                <w:szCs w:val="15"/>
                <w:color w:val="auto"/>
              </w:rPr>
            </w:pPr>
          </w:p>
        </w:tc>
        <w:tc>
          <w:tcPr>
            <w:tcW w:w="11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379" w:firstLine="180"/>
        <w:spacing w:after="0" w:line="243" w:lineRule="auto"/>
        <w:rPr>
          <w:sz w:val="20"/>
          <w:szCs w:val="20"/>
          <w:color w:val="auto"/>
        </w:rPr>
      </w:pPr>
      <w:r>
        <w:rPr>
          <w:rFonts w:ascii="Courier New" w:cs="Courier New" w:eastAsia="Courier New" w:hAnsi="Courier New"/>
          <w:sz w:val="15"/>
          <w:szCs w:val="15"/>
          <w:color w:val="auto"/>
        </w:rPr>
        <w:t>Amortization of capitalized product and process technology costs was $11.4 million in 1997; $13.6 million in 1996; and $10.3 million in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35.4</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37.3</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8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817.9</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674.4</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2,416.2</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2,073.4</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8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681.9</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753.9</w:t>
            </w:r>
          </w:p>
        </w:tc>
      </w:tr>
      <w:tr>
        <w:trPr>
          <w:trHeight w:val="173"/>
        </w:trPr>
        <w:tc>
          <w:tcPr>
            <w:tcW w:w="4780" w:type="dxa"/>
            <w:vAlign w:val="bottom"/>
          </w:tcPr>
          <w:p>
            <w:pPr>
              <w:spacing w:after="0"/>
              <w:rPr>
                <w:sz w:val="15"/>
                <w:szCs w:val="15"/>
                <w:color w:val="auto"/>
              </w:rPr>
            </w:pPr>
          </w:p>
        </w:tc>
        <w:tc>
          <w:tcPr>
            <w:tcW w:w="12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3,951.4</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3,539.0</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(1,190.2)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(830.9)</w:t>
            </w:r>
          </w:p>
        </w:tc>
      </w:tr>
      <w:tr>
        <w:trPr>
          <w:trHeight w:val="173"/>
        </w:trPr>
        <w:tc>
          <w:tcPr>
            <w:tcW w:w="4780" w:type="dxa"/>
            <w:vAlign w:val="bottom"/>
          </w:tcPr>
          <w:p>
            <w:pPr>
              <w:spacing w:after="0"/>
              <w:rPr>
                <w:sz w:val="15"/>
                <w:szCs w:val="15"/>
                <w:color w:val="auto"/>
              </w:rPr>
            </w:pPr>
          </w:p>
        </w:tc>
        <w:tc>
          <w:tcPr>
            <w:tcW w:w="12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2,761.2</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$2,708.1</w:t>
            </w:r>
          </w:p>
        </w:tc>
      </w:tr>
      <w:tr>
        <w:trPr>
          <w:trHeight w:val="173"/>
        </w:trPr>
        <w:tc>
          <w:tcPr>
            <w:tcW w:w="4780" w:type="dxa"/>
            <w:vAlign w:val="bottom"/>
          </w:tcPr>
          <w:p>
            <w:pPr>
              <w:spacing w:after="0"/>
              <w:rPr>
                <w:sz w:val="15"/>
                <w:szCs w:val="15"/>
                <w:color w:val="auto"/>
              </w:rPr>
            </w:pPr>
          </w:p>
        </w:tc>
        <w:tc>
          <w:tcPr>
            <w:tcW w:w="12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As of August 28, 1997 property, plant and equipment included unamortized costs of $611.7 million for the Company's semiconductor memory manufacturing facility in Lehi, Utah, of which $575.5 million has not been placed in service and is not being depreciated. Additional test capacity for Boise production is anticipated to be provided in Lehi.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$232.4</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Salaries, wages and benefits.........................</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67.3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payable...............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r>
      <w:tr>
        <w:trPr>
          <w:trHeight w:val="173"/>
        </w:trPr>
        <w:tc>
          <w:tcPr>
            <w:tcW w:w="50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$546.1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$423.7</w:t>
            </w:r>
          </w:p>
        </w:tc>
      </w:tr>
      <w:tr>
        <w:trPr>
          <w:trHeight w:val="173"/>
        </w:trPr>
        <w:tc>
          <w:tcPr>
            <w:tcW w:w="50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000" w:type="dxa"/>
            <w:vAlign w:val="bottom"/>
          </w:tcPr>
          <w:p>
            <w:pPr>
              <w:ind w:left="3240"/>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33" w:name="page34"/>
    <w:bookmarkEnd w:id="3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5420" w:type="dxa"/>
            <w:vAlign w:val="bottom"/>
          </w:tcPr>
          <w:p>
            <w:pPr>
              <w:ind w:left="680"/>
              <w:spacing w:after="0"/>
              <w:rPr>
                <w:sz w:val="20"/>
                <w:szCs w:val="20"/>
                <w:color w:val="auto"/>
              </w:rPr>
            </w:pPr>
            <w:r>
              <w:rPr>
                <w:rFonts w:ascii="Courier New" w:cs="Courier New" w:eastAsia="Courier New" w:hAnsi="Courier New"/>
                <w:sz w:val="15"/>
                <w:szCs w:val="15"/>
                <w:color w:val="auto"/>
              </w:rPr>
              <w:t>MICRON TECHNOLOGY, INC.</w:t>
            </w:r>
          </w:p>
        </w:tc>
        <w:tc>
          <w:tcPr>
            <w:tcW w:w="2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NOTES TO</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CONSOLIDATED FINANCIAL STATEMENTS (CONTINUED)</w:t>
            </w:r>
          </w:p>
        </w:tc>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94"/>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8"/>
              </w:rPr>
              <w:t>SUPPLEMENTAL BALANCE</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SHEET INFORMATION (CONTINUED)</w:t>
            </w:r>
          </w:p>
        </w:tc>
        <w:tc>
          <w:tcPr>
            <w:tcW w:w="2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8/28/97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8/29/96</w:t>
            </w:r>
          </w:p>
        </w:tc>
      </w:tr>
    </w:tbl>
    <w:p>
      <w:pPr>
        <w:spacing w:after="0" w:line="3"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2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payable, due July 2004, interest rate of 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$ 500.0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8420" w:type="dxa"/>
            <w:vAlign w:val="bottom"/>
          </w:tcPr>
          <w:p>
            <w:pPr>
              <w:spacing w:after="0"/>
              <w:rPr>
                <w:sz w:val="20"/>
                <w:szCs w:val="20"/>
                <w:color w:val="auto"/>
              </w:rPr>
            </w:pPr>
            <w:r>
              <w:rPr>
                <w:rFonts w:ascii="Courier New" w:cs="Courier New" w:eastAsia="Courier New" w:hAnsi="Courier New"/>
                <w:sz w:val="15"/>
                <w:szCs w:val="15"/>
                <w:color w:val="auto"/>
              </w:rPr>
              <w:t>Notes payable in periodic installments through July 2015, weighted average</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8420" w:type="dxa"/>
            <w:vAlign w:val="bottom"/>
          </w:tcPr>
          <w:p>
            <w:pPr>
              <w:ind w:left="260"/>
              <w:spacing w:after="0"/>
              <w:rPr>
                <w:sz w:val="20"/>
                <w:szCs w:val="20"/>
                <w:color w:val="auto"/>
              </w:rPr>
            </w:pPr>
            <w:r>
              <w:rPr>
                <w:rFonts w:ascii="Courier New" w:cs="Courier New" w:eastAsia="Courier New" w:hAnsi="Courier New"/>
                <w:sz w:val="15"/>
                <w:szCs w:val="15"/>
                <w:color w:val="auto"/>
              </w:rPr>
              <w:t>interest rate 7.33% and 7.28%, respectively.............................................</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331.3</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322.0</w:t>
            </w:r>
          </w:p>
        </w:tc>
      </w:tr>
      <w:tr>
        <w:trPr>
          <w:trHeight w:val="173"/>
        </w:trPr>
        <w:tc>
          <w:tcPr>
            <w:tcW w:w="842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payable in monthly installments through August</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8420" w:type="dxa"/>
            <w:vAlign w:val="bottom"/>
          </w:tcPr>
          <w:p>
            <w:pPr>
              <w:ind w:left="260"/>
              <w:spacing w:after="0"/>
              <w:rPr>
                <w:sz w:val="20"/>
                <w:szCs w:val="20"/>
                <w:color w:val="auto"/>
              </w:rPr>
            </w:pPr>
            <w:r>
              <w:rPr>
                <w:rFonts w:ascii="Courier New" w:cs="Courier New" w:eastAsia="Courier New" w:hAnsi="Courier New"/>
                <w:sz w:val="15"/>
                <w:szCs w:val="15"/>
                <w:color w:val="auto"/>
              </w:rPr>
              <w:t>2002, weighted average interest rate of 7.68% and 7.72%, respectively...................</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42.8</w:t>
            </w:r>
          </w:p>
        </w:tc>
      </w:tr>
      <w:tr>
        <w:trPr>
          <w:trHeight w:val="173"/>
        </w:trPr>
        <w:tc>
          <w:tcPr>
            <w:tcW w:w="8420" w:type="dxa"/>
            <w:vAlign w:val="bottom"/>
          </w:tcPr>
          <w:p>
            <w:pPr>
              <w:spacing w:after="0"/>
              <w:rPr>
                <w:sz w:val="20"/>
                <w:szCs w:val="20"/>
                <w:color w:val="auto"/>
              </w:rPr>
            </w:pPr>
            <w:r>
              <w:rPr>
                <w:rFonts w:ascii="Courier New" w:cs="Courier New" w:eastAsia="Courier New" w:hAnsi="Courier New"/>
                <w:sz w:val="15"/>
                <w:szCs w:val="15"/>
                <w:color w:val="auto"/>
              </w:rPr>
              <w:t>Noninterest bearing obligations, $2.0 million due December 1997 and $1.1 million</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8420" w:type="dxa"/>
            <w:vAlign w:val="bottom"/>
          </w:tcPr>
          <w:p>
            <w:pPr>
              <w:ind w:left="260"/>
              <w:spacing w:after="0"/>
              <w:rPr>
                <w:sz w:val="20"/>
                <w:szCs w:val="20"/>
                <w:color w:val="auto"/>
              </w:rPr>
            </w:pPr>
            <w:r>
              <w:rPr>
                <w:rFonts w:ascii="Courier New" w:cs="Courier New" w:eastAsia="Courier New" w:hAnsi="Courier New"/>
                <w:sz w:val="15"/>
                <w:szCs w:val="15"/>
                <w:color w:val="auto"/>
              </w:rPr>
              <w:t>due March, 1998, weighted average imputed interest rate of 7.31% and 7.17%, respectively</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w:t>
            </w:r>
          </w:p>
        </w:tc>
      </w:tr>
      <w:tr>
        <w:trPr>
          <w:trHeight w:val="173"/>
        </w:trPr>
        <w:tc>
          <w:tcPr>
            <w:tcW w:w="8420" w:type="dxa"/>
            <w:vAlign w:val="bottom"/>
          </w:tcPr>
          <w:p>
            <w:pPr>
              <w:spacing w:after="0"/>
              <w:rPr>
                <w:sz w:val="20"/>
                <w:szCs w:val="20"/>
                <w:color w:val="auto"/>
              </w:rPr>
            </w:pPr>
            <w:r>
              <w:rPr>
                <w:rFonts w:ascii="Courier New" w:cs="Courier New" w:eastAsia="Courier New" w:hAnsi="Courier New"/>
                <w:sz w:val="15"/>
                <w:szCs w:val="15"/>
                <w:color w:val="auto"/>
              </w:rPr>
              <w:t>Notes payable, due June 1998, weighted average interest rate of 5.28% and 5.30%,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842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347"/>
        </w:trPr>
        <w:tc>
          <w:tcPr>
            <w:tcW w:w="84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c>
          <w:tcPr>
            <w:tcW w:w="26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w:t>
            </w:r>
          </w:p>
        </w:tc>
      </w:tr>
      <w:tr>
        <w:trPr>
          <w:trHeight w:val="173"/>
        </w:trPr>
        <w:tc>
          <w:tcPr>
            <w:tcW w:w="84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84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878.3</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389.8</w:t>
            </w:r>
          </w:p>
        </w:tc>
      </w:tr>
      <w:tr>
        <w:trPr>
          <w:trHeight w:val="173"/>
        </w:trPr>
        <w:tc>
          <w:tcPr>
            <w:tcW w:w="842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(116.0)</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r>
      <w:tr>
        <w:trPr>
          <w:trHeight w:val="173"/>
        </w:trPr>
        <w:tc>
          <w:tcPr>
            <w:tcW w:w="84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84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$ 762.3</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$314.6</w:t>
            </w:r>
          </w:p>
        </w:tc>
      </w:tr>
      <w:tr>
        <w:trPr>
          <w:trHeight w:val="173"/>
        </w:trPr>
        <w:tc>
          <w:tcPr>
            <w:tcW w:w="84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4060" w:firstLine="180"/>
        <w:spacing w:after="0" w:line="244" w:lineRule="auto"/>
        <w:rPr>
          <w:sz w:val="20"/>
          <w:szCs w:val="20"/>
          <w:color w:val="auto"/>
        </w:rPr>
      </w:pPr>
      <w:r>
        <w:rPr>
          <w:rFonts w:ascii="Courier New" w:cs="Courier New" w:eastAsia="Courier New" w:hAnsi="Courier New"/>
          <w:sz w:val="15"/>
          <w:szCs w:val="15"/>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77" w:lineRule="exact"/>
        <w:rPr>
          <w:sz w:val="20"/>
          <w:szCs w:val="20"/>
          <w:color w:val="auto"/>
        </w:rPr>
      </w:pPr>
    </w:p>
    <w:p>
      <w:pPr>
        <w:ind w:left="8" w:right="3800" w:firstLine="180"/>
        <w:spacing w:after="0" w:line="244" w:lineRule="auto"/>
        <w:rPr>
          <w:sz w:val="20"/>
          <w:szCs w:val="20"/>
          <w:color w:val="auto"/>
        </w:rPr>
      </w:pPr>
      <w:r>
        <w:rPr>
          <w:rFonts w:ascii="Courier New" w:cs="Courier New" w:eastAsia="Courier New" w:hAnsi="Courier New"/>
          <w:sz w:val="15"/>
          <w:szCs w:val="15"/>
          <w:color w:val="auto"/>
        </w:rPr>
        <w:t>The Company has a revolving credit facility that provides for borrowings up to $500 million and expires in May 2000. As of August 28, 1997 the Company had no borrowings outstanding under the facility. The interest rate on borrowed funds is based on various pricing options at the time of borrowing. The agreement contains certain restrictive covenants and conditions including a borrowing base tied to the Company's accounts receivable, an Earnings Before Interest, Taxes, Depreciation and Amortization (EBITDA) covenant, and a maximum net loss covenant.</w:t>
      </w:r>
    </w:p>
    <w:p>
      <w:pPr>
        <w:spacing w:after="0" w:line="178" w:lineRule="exact"/>
        <w:rPr>
          <w:sz w:val="20"/>
          <w:szCs w:val="20"/>
          <w:color w:val="auto"/>
        </w:rPr>
      </w:pPr>
    </w:p>
    <w:p>
      <w:pPr>
        <w:ind w:left="8" w:right="3800" w:firstLine="180"/>
        <w:spacing w:after="0" w:line="244" w:lineRule="auto"/>
        <w:rPr>
          <w:sz w:val="20"/>
          <w:szCs w:val="20"/>
          <w:color w:val="auto"/>
        </w:rPr>
      </w:pPr>
      <w:r>
        <w:rPr>
          <w:rFonts w:ascii="Courier New" w:cs="Courier New" w:eastAsia="Courier New" w:hAnsi="Courier New"/>
          <w:sz w:val="15"/>
          <w:szCs w:val="15"/>
          <w:color w:val="auto"/>
        </w:rPr>
        <w:t>MEI has credit agreements providing for aggregate borrowings of $158 million. The agreements contain certain restrictive covenants. As of August 28, 1997, MEI was eligible to borrow the full $158 million and had $10.1 million in short-term debt outstanding under its agreements due in installments through June 1998.</w:t>
      </w:r>
    </w:p>
    <w:p>
      <w:pPr>
        <w:spacing w:after="0" w:line="177" w:lineRule="exact"/>
        <w:rPr>
          <w:sz w:val="20"/>
          <w:szCs w:val="20"/>
          <w:color w:val="auto"/>
        </w:rPr>
      </w:pPr>
    </w:p>
    <w:p>
      <w:pPr>
        <w:ind w:left="8" w:right="3980" w:firstLine="180"/>
        <w:spacing w:after="0" w:line="244" w:lineRule="auto"/>
        <w:rPr>
          <w:sz w:val="20"/>
          <w:szCs w:val="20"/>
          <w:color w:val="auto"/>
        </w:rPr>
      </w:pPr>
      <w:r>
        <w:rPr>
          <w:rFonts w:ascii="Courier New" w:cs="Courier New" w:eastAsia="Courier New" w:hAnsi="Courier New"/>
          <w:sz w:val="15"/>
          <w:szCs w:val="15"/>
          <w:color w:val="auto"/>
        </w:rPr>
        <w:t>Certain notes payable are collateralized by plant and equipment with a total cost of approximately $441.6 million and accumulated depreciation of approximately $167.2 million as of August 28, 1997. Equipment under capital leases, and the accumulated depreciation thereon, were approximately $59.8 million and $21.6 million, respectively, as of August 28, 1997, and $53.3 million and $14.3 million, respectively, as of August 29, 1996.</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1008"/>
          </w:cols>
          <w:pgMar w:left="232" w:top="638" w:right="659" w:bottom="1440" w:gutter="0" w:footer="0" w:header="0"/>
        </w:sectPr>
      </w:pPr>
    </w:p>
    <w:bookmarkStart w:id="34" w:name="page35"/>
    <w:bookmarkEnd w:id="34"/>
    <w:p>
      <w:pPr>
        <w:jc w:val="center"/>
        <w:ind w:right="378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SUPPLEMENTAL BALANCE SHEET INFORMATION (CONTINUED)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700" w:firstLine="180"/>
        <w:spacing w:after="0" w:line="244" w:lineRule="auto"/>
        <w:rPr>
          <w:sz w:val="20"/>
          <w:szCs w:val="20"/>
          <w:color w:val="auto"/>
        </w:rPr>
      </w:pPr>
      <w:r>
        <w:rPr>
          <w:rFonts w:ascii="Courier New" w:cs="Courier New" w:eastAsia="Courier New" w:hAnsi="Courier New"/>
          <w:sz w:val="15"/>
          <w:szCs w:val="15"/>
          <w:color w:val="auto"/>
        </w:rPr>
        <w:t>The Company leases certain facilities and equipment under operating leases. Total rental expense on all operating leases was $8.0 million, $5.7 million and $2.6 million for 1997, 1996 and 1995, respectively. Minimum future rental commitments under operating leases aggregate $12.4 million as of August 28, 1997 and are payable as follows (in millions): 1998, $3.7; 1999, $3.7; 2000, $3.3; 2001, $1.3 and 2002, $0.4.</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NONINTEREST</w:t>
            </w:r>
          </w:p>
        </w:tc>
        <w:tc>
          <w:tcPr>
            <w:tcW w:w="1080" w:type="dxa"/>
            <w:vAlign w:val="bottom"/>
          </w:tcPr>
          <w:p>
            <w:pPr>
              <w:spacing w:after="0"/>
              <w:rPr>
                <w:sz w:val="14"/>
                <w:szCs w:val="14"/>
                <w:color w:val="auto"/>
              </w:rPr>
            </w:pPr>
          </w:p>
        </w:tc>
      </w:tr>
      <w:tr>
        <w:trPr>
          <w:trHeight w:val="173"/>
        </w:trPr>
        <w:tc>
          <w:tcPr>
            <w:tcW w:w="4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NOTES</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BEARING</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FISCAL YEAR</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PAYABLE</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OBLIGATIONS</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LEASES</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79.5</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76.9</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62.6</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AND THEREAFTER..................................................</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502.0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LESS DISCOUNT AND INTEREST...........................................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4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$834.3</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w:t>
            </w:r>
          </w:p>
        </w:tc>
      </w:tr>
      <w:tr>
        <w:trPr>
          <w:trHeight w:val="173"/>
        </w:trPr>
        <w:tc>
          <w:tcPr>
            <w:tcW w:w="4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700" w:firstLine="180"/>
        <w:spacing w:after="0" w:line="244" w:lineRule="auto"/>
        <w:rPr>
          <w:sz w:val="20"/>
          <w:szCs w:val="20"/>
          <w:color w:val="auto"/>
        </w:rPr>
      </w:pPr>
      <w:r>
        <w:rPr>
          <w:rFonts w:ascii="Courier New" w:cs="Courier New" w:eastAsia="Courier New" w:hAnsi="Courier New"/>
          <w:sz w:val="15"/>
          <w:szCs w:val="15"/>
          <w:color w:val="auto"/>
        </w:rPr>
        <w:t>Interest income in 1997, 1996, and 1995 is net of interest expense of $31.3 million, $8.6 million, and $7.3 million, respectively. Construction period interest of $6.0 million, $7.8 million and $5.0 million was capitalized in 1997, 1996 and 1995, respectively.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 PLANS</w:t>
      </w:r>
    </w:p>
    <w:p>
      <w:pPr>
        <w:spacing w:after="0" w:line="178" w:lineRule="exact"/>
        <w:rPr>
          <w:sz w:val="20"/>
          <w:szCs w:val="20"/>
          <w:color w:val="auto"/>
        </w:rPr>
      </w:pPr>
    </w:p>
    <w:p>
      <w:pPr>
        <w:ind w:right="3700" w:firstLine="180"/>
        <w:spacing w:after="0" w:line="244" w:lineRule="auto"/>
        <w:rPr>
          <w:sz w:val="20"/>
          <w:szCs w:val="20"/>
          <w:color w:val="auto"/>
        </w:rPr>
      </w:pPr>
      <w:r>
        <w:rPr>
          <w:rFonts w:ascii="Courier New" w:cs="Courier New" w:eastAsia="Courier New" w:hAnsi="Courier New"/>
          <w:sz w:val="15"/>
          <w:szCs w:val="15"/>
          <w:color w:val="auto"/>
        </w:rPr>
        <w:t>As of August 28, 1997, the Company had in place the 1994 Stock Option Plan, the NSO Plan and the 1997 NSO Plan, collectively the "Active Stock Plans." The NSO Plan and the 1997 NSO Plan were adopted in 1997. As of August 28, 1997, there was an aggregate of 17.2 million shares of the Company's common stock authorized for grant under the Active Stock Plans, of which options for 14.3 million shares have been granted. No options were available for grant under the Company's 1985 Incentive Stock Option Plan, which expired in 1995, however, options remain outstanding under that Plan. Options are subject to terms and conditions determined by the Board of Directors, and generally are exercisable in increments of 20% during each year of employment beginning one year from the date of grant and expire six years from the date of grant.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 activity under MTI's Stock Plans is summarized as follows:</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6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FISCAL YEAR ENDED</w:t>
            </w: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3240" w:type="dxa"/>
            <w:vAlign w:val="bottom"/>
          </w:tcPr>
          <w:p>
            <w:pPr>
              <w:spacing w:after="0"/>
              <w:rPr>
                <w:sz w:val="15"/>
                <w:szCs w:val="15"/>
                <w:color w:val="auto"/>
              </w:rPr>
            </w:pPr>
          </w:p>
        </w:tc>
        <w:tc>
          <w:tcPr>
            <w:tcW w:w="74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5"/>
              </w:rPr>
              <w:t>8/28/97</w:t>
            </w:r>
          </w:p>
        </w:tc>
        <w:tc>
          <w:tcPr>
            <w:tcW w:w="236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8/29/96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8/31/95</w:t>
            </w:r>
          </w:p>
        </w:tc>
        <w:tc>
          <w:tcPr>
            <w:tcW w:w="720" w:type="dxa"/>
            <w:vAlign w:val="bottom"/>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2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WEIGHTED</w:t>
            </w:r>
          </w:p>
        </w:tc>
        <w:tc>
          <w:tcPr>
            <w:tcW w:w="118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WEIGHTED</w:t>
            </w:r>
          </w:p>
        </w:tc>
      </w:tr>
      <w:tr>
        <w:trPr>
          <w:trHeight w:val="173"/>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AVERAGE</w:t>
            </w:r>
          </w:p>
        </w:tc>
        <w:tc>
          <w:tcPr>
            <w:tcW w:w="118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AVERAGE</w:t>
            </w:r>
          </w:p>
        </w:tc>
        <w:tc>
          <w:tcPr>
            <w:tcW w:w="140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3240" w:type="dxa"/>
            <w:vAlign w:val="bottom"/>
          </w:tcPr>
          <w:p>
            <w:pPr>
              <w:spacing w:after="0"/>
              <w:rPr>
                <w:sz w:val="15"/>
                <w:szCs w:val="15"/>
                <w:color w:val="auto"/>
              </w:rPr>
            </w:pP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NUMBER</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EXERCISE</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EXERCISE</w:t>
            </w:r>
          </w:p>
        </w:tc>
        <w:tc>
          <w:tcPr>
            <w:tcW w:w="14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NUMBER</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r>
      <w:tr>
        <w:trPr>
          <w:trHeight w:val="173"/>
        </w:trPr>
        <w:tc>
          <w:tcPr>
            <w:tcW w:w="3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OF SHARES</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SHARES</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OF SHARES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3240" w:type="dxa"/>
            <w:vAlign w:val="bottom"/>
          </w:tcPr>
          <w:p>
            <w:pPr>
              <w:spacing w:after="0"/>
              <w:rPr>
                <w:sz w:val="15"/>
                <w:szCs w:val="15"/>
                <w:color w:val="auto"/>
              </w:rPr>
            </w:pPr>
          </w:p>
        </w:tc>
        <w:tc>
          <w:tcPr>
            <w:tcW w:w="74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Outstanding at beginning of year...........</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$29.38</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$15.54</w:t>
            </w:r>
          </w:p>
        </w:tc>
        <w:tc>
          <w:tcPr>
            <w:tcW w:w="14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$ 7.81</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Granted....................................</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36.57</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71.61</w:t>
            </w:r>
          </w:p>
        </w:tc>
        <w:tc>
          <w:tcPr>
            <w:tcW w:w="14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27.73</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Terminated or cancelled....................</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49.28</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23.11</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Exercised..................................</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11.94</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6.94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Outstanding at end of year.................</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28.85</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29.38</w:t>
            </w:r>
          </w:p>
        </w:tc>
        <w:tc>
          <w:tcPr>
            <w:tcW w:w="14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13.7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15.54</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Exercisable at end of year.................</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17.63</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14.54</w:t>
            </w:r>
          </w:p>
        </w:tc>
        <w:tc>
          <w:tcPr>
            <w:tcW w:w="14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Shares available for future grants.........</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3.3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240" w:type="dxa"/>
            <w:vAlign w:val="bottom"/>
          </w:tcPr>
          <w:p>
            <w:pPr>
              <w:spacing w:after="0"/>
              <w:rPr>
                <w:sz w:val="24"/>
                <w:szCs w:val="24"/>
                <w:color w:val="auto"/>
              </w:rPr>
            </w:pPr>
          </w:p>
        </w:tc>
        <w:tc>
          <w:tcPr>
            <w:tcW w:w="1540" w:type="dxa"/>
            <w:vAlign w:val="bottom"/>
          </w:tcPr>
          <w:p>
            <w:pPr>
              <w:jc w:val="right"/>
              <w:ind w:right="1285"/>
              <w:spacing w:after="0"/>
              <w:rPr>
                <w:sz w:val="20"/>
                <w:szCs w:val="20"/>
                <w:color w:val="auto"/>
              </w:rPr>
            </w:pPr>
            <w:r>
              <w:rPr>
                <w:rFonts w:ascii="Courier New" w:cs="Courier New" w:eastAsia="Courier New" w:hAnsi="Courier New"/>
                <w:sz w:val="15"/>
                <w:szCs w:val="15"/>
                <w:color w:val="auto"/>
                <w:w w:val="88"/>
              </w:rPr>
              <w:t>35</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900"/>
          </w:cols>
          <w:pgMar w:left="240" w:top="638" w:right="759" w:bottom="1440" w:gutter="0" w:footer="0" w:header="0"/>
        </w:sectPr>
      </w:pPr>
    </w:p>
    <w:bookmarkStart w:id="35" w:name="page36"/>
    <w:bookmarkEnd w:id="35"/>
    <w:p>
      <w:pPr>
        <w:ind w:left="234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4320" w:firstLine="180"/>
        <w:spacing w:after="0" w:line="244" w:lineRule="auto"/>
        <w:rPr>
          <w:sz w:val="20"/>
          <w:szCs w:val="20"/>
          <w:color w:val="auto"/>
        </w:rPr>
      </w:pPr>
      <w:r>
        <w:rPr>
          <w:rFonts w:ascii="Courier New" w:cs="Courier New" w:eastAsia="Courier New" w:hAnsi="Courier New"/>
          <w:sz w:val="15"/>
          <w:szCs w:val="15"/>
          <w:color w:val="auto"/>
        </w:rPr>
        <w:t>Options outstanding under the Active Stock Plans as of August 28, 1997, were at per share prices ranging from $2.41 to $45.78. Options exercised were at per share prices ranging from $1.72 to $37.87 in 1997, $1.53 to $28.87 in 1996, and $1.30 to $21.33 in 1995.</w:t>
      </w:r>
    </w:p>
    <w:p>
      <w:pPr>
        <w:spacing w:after="0" w:line="176" w:lineRule="exact"/>
        <w:rPr>
          <w:sz w:val="20"/>
          <w:szCs w:val="20"/>
          <w:color w:val="auto"/>
        </w:rPr>
      </w:pPr>
    </w:p>
    <w:p>
      <w:pPr>
        <w:ind w:right="4240" w:firstLine="180"/>
        <w:spacing w:after="0" w:line="243" w:lineRule="auto"/>
        <w:rPr>
          <w:sz w:val="20"/>
          <w:szCs w:val="20"/>
          <w:color w:val="auto"/>
        </w:rPr>
      </w:pPr>
      <w:r>
        <w:rPr>
          <w:rFonts w:ascii="Courier New" w:cs="Courier New" w:eastAsia="Courier New" w:hAnsi="Courier New"/>
          <w:sz w:val="15"/>
          <w:szCs w:val="15"/>
          <w:color w:val="auto"/>
        </w:rPr>
        <w:t>The following table summarizes information about MTI options outstanding under the Active Stock Plans as of August 28, 1997:</w:t>
      </w:r>
    </w:p>
    <w:p>
      <w:pPr>
        <w:spacing w:after="0" w:line="200" w:lineRule="exact"/>
        <w:rPr>
          <w:sz w:val="20"/>
          <w:szCs w:val="20"/>
          <w:color w:val="auto"/>
        </w:rPr>
      </w:pPr>
    </w:p>
    <w:p>
      <w:pPr>
        <w:spacing w:after="0" w:line="322" w:lineRule="exact"/>
        <w:rPr>
          <w:sz w:val="20"/>
          <w:szCs w:val="20"/>
          <w:color w:val="auto"/>
        </w:rPr>
      </w:pPr>
    </w:p>
    <w:p>
      <w:pPr>
        <w:ind w:left="4500"/>
        <w:spacing w:after="0"/>
        <w:tabs>
          <w:tab w:leader="none" w:pos="8720" w:val="left"/>
        </w:tabs>
        <w:rPr>
          <w:sz w:val="20"/>
          <w:szCs w:val="20"/>
          <w:color w:val="auto"/>
        </w:rPr>
      </w:pPr>
      <w:r>
        <w:rPr>
          <w:rFonts w:ascii="Courier New" w:cs="Courier New" w:eastAsia="Courier New" w:hAnsi="Courier New"/>
          <w:sz w:val="15"/>
          <w:szCs w:val="15"/>
          <w:color w:val="auto"/>
        </w:rPr>
        <w:t>MTI OUTSTANDING OPTIONS</w:t>
      </w:r>
      <w:r>
        <w:rPr>
          <w:sz w:val="20"/>
          <w:szCs w:val="20"/>
          <w:color w:val="auto"/>
        </w:rPr>
        <w:tab/>
      </w:r>
      <w:r>
        <w:rPr>
          <w:rFonts w:ascii="Courier New" w:cs="Courier New" w:eastAsia="Courier New" w:hAnsi="Courier New"/>
          <w:sz w:val="15"/>
          <w:szCs w:val="15"/>
          <w:color w:val="auto"/>
        </w:rPr>
        <w:t>MTI EXERCISABLE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4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2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4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AVERAGE</w:t>
            </w:r>
          </w:p>
        </w:tc>
        <w:tc>
          <w:tcPr>
            <w:tcW w:w="1400" w:type="dxa"/>
            <w:vAlign w:val="bottom"/>
          </w:tcPr>
          <w:p>
            <w:pPr>
              <w:ind w:left="240"/>
              <w:spacing w:after="0"/>
              <w:rPr>
                <w:sz w:val="20"/>
                <w:szCs w:val="20"/>
                <w:color w:val="auto"/>
              </w:rPr>
            </w:pPr>
            <w:r>
              <w:rPr>
                <w:rFonts w:ascii="Courier New" w:cs="Courier New" w:eastAsia="Courier New" w:hAnsi="Courier New"/>
                <w:sz w:val="15"/>
                <w:szCs w:val="15"/>
                <w:color w:val="auto"/>
              </w:rPr>
              <w:t>WEIGHTED</w:t>
            </w:r>
          </w:p>
        </w:tc>
        <w:tc>
          <w:tcPr>
            <w:tcW w:w="158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w w:val="97"/>
              </w:rPr>
              <w:t>WEIGHTED</w:t>
            </w:r>
          </w:p>
        </w:tc>
      </w:tr>
      <w:tr>
        <w:trPr>
          <w:trHeight w:val="173"/>
        </w:trPr>
        <w:tc>
          <w:tcPr>
            <w:tcW w:w="29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REMAINING</w:t>
            </w:r>
          </w:p>
        </w:tc>
        <w:tc>
          <w:tcPr>
            <w:tcW w:w="1400" w:type="dxa"/>
            <w:vAlign w:val="bottom"/>
          </w:tcPr>
          <w:p>
            <w:pPr>
              <w:ind w:left="240"/>
              <w:spacing w:after="0"/>
              <w:rPr>
                <w:sz w:val="20"/>
                <w:szCs w:val="20"/>
                <w:color w:val="auto"/>
              </w:rPr>
            </w:pPr>
            <w:r>
              <w:rPr>
                <w:rFonts w:ascii="Courier New" w:cs="Courier New" w:eastAsia="Courier New" w:hAnsi="Courier New"/>
                <w:sz w:val="15"/>
                <w:szCs w:val="15"/>
                <w:color w:val="auto"/>
              </w:rPr>
              <w:t>AVERAGE</w:t>
            </w:r>
          </w:p>
        </w:tc>
        <w:tc>
          <w:tcPr>
            <w:tcW w:w="158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2960" w:type="dxa"/>
            <w:vAlign w:val="bottom"/>
          </w:tcPr>
          <w:p>
            <w:pPr>
              <w:spacing w:after="0"/>
              <w:rPr>
                <w:sz w:val="15"/>
                <w:szCs w:val="15"/>
                <w:color w:val="auto"/>
              </w:rPr>
            </w:pPr>
          </w:p>
        </w:tc>
        <w:tc>
          <w:tcPr>
            <w:tcW w:w="1820" w:type="dxa"/>
            <w:vAlign w:val="bottom"/>
          </w:tcPr>
          <w:p>
            <w:pPr>
              <w:ind w:left="1000"/>
              <w:spacing w:after="0"/>
              <w:rPr>
                <w:sz w:val="20"/>
                <w:szCs w:val="20"/>
                <w:color w:val="auto"/>
              </w:rPr>
            </w:pPr>
            <w:r>
              <w:rPr>
                <w:rFonts w:ascii="Courier New" w:cs="Courier New" w:eastAsia="Courier New" w:hAnsi="Courier New"/>
                <w:sz w:val="15"/>
                <w:szCs w:val="15"/>
                <w:color w:val="auto"/>
              </w:rPr>
              <w:t>NUMBER</w:t>
            </w:r>
          </w:p>
        </w:tc>
        <w:tc>
          <w:tcPr>
            <w:tcW w:w="174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CONTRACTUAL</w:t>
            </w:r>
          </w:p>
        </w:tc>
        <w:tc>
          <w:tcPr>
            <w:tcW w:w="1400" w:type="dxa"/>
            <w:vAlign w:val="bottom"/>
          </w:tcPr>
          <w:p>
            <w:pPr>
              <w:ind w:left="240"/>
              <w:spacing w:after="0"/>
              <w:rPr>
                <w:sz w:val="20"/>
                <w:szCs w:val="20"/>
                <w:color w:val="auto"/>
              </w:rPr>
            </w:pPr>
            <w:r>
              <w:rPr>
                <w:rFonts w:ascii="Courier New" w:cs="Courier New" w:eastAsia="Courier New" w:hAnsi="Courier New"/>
                <w:sz w:val="15"/>
                <w:szCs w:val="15"/>
                <w:color w:val="auto"/>
              </w:rPr>
              <w:t>EXERCISE</w:t>
            </w:r>
          </w:p>
        </w:tc>
        <w:tc>
          <w:tcPr>
            <w:tcW w:w="1580" w:type="dxa"/>
            <w:vAlign w:val="bottom"/>
          </w:tcPr>
          <w:p>
            <w:pPr>
              <w:ind w:left="640"/>
              <w:spacing w:after="0"/>
              <w:rPr>
                <w:sz w:val="20"/>
                <w:szCs w:val="20"/>
                <w:color w:val="auto"/>
              </w:rPr>
            </w:pPr>
            <w:r>
              <w:rPr>
                <w:rFonts w:ascii="Courier New" w:cs="Courier New" w:eastAsia="Courier New" w:hAnsi="Courier New"/>
                <w:sz w:val="15"/>
                <w:szCs w:val="15"/>
                <w:color w:val="auto"/>
              </w:rPr>
              <w:t>NUMBER</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w w:val="97"/>
              </w:rPr>
              <w:t>EXERCISE</w:t>
            </w:r>
          </w:p>
        </w:tc>
      </w:tr>
      <w:tr>
        <w:trPr>
          <w:trHeight w:val="173"/>
        </w:trPr>
        <w:tc>
          <w:tcPr>
            <w:tcW w:w="296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820" w:type="dxa"/>
            <w:vAlign w:val="bottom"/>
          </w:tcPr>
          <w:p>
            <w:pPr>
              <w:ind w:left="820"/>
              <w:spacing w:after="0"/>
              <w:rPr>
                <w:sz w:val="20"/>
                <w:szCs w:val="20"/>
                <w:color w:val="auto"/>
              </w:rPr>
            </w:pPr>
            <w:r>
              <w:rPr>
                <w:rFonts w:ascii="Courier New" w:cs="Courier New" w:eastAsia="Courier New" w:hAnsi="Courier New"/>
                <w:sz w:val="15"/>
                <w:szCs w:val="15"/>
                <w:color w:val="auto"/>
              </w:rPr>
              <w:t>OF SHARES</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LIFE (IN YEARS)</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580" w:type="dxa"/>
            <w:vAlign w:val="bottom"/>
          </w:tcPr>
          <w:p>
            <w:pPr>
              <w:ind w:left="460"/>
              <w:spacing w:after="0"/>
              <w:rPr>
                <w:sz w:val="20"/>
                <w:szCs w:val="20"/>
                <w:color w:val="auto"/>
              </w:rPr>
            </w:pPr>
            <w:r>
              <w:rPr>
                <w:rFonts w:ascii="Courier New" w:cs="Courier New" w:eastAsia="Courier New" w:hAnsi="Courier New"/>
                <w:sz w:val="15"/>
                <w:szCs w:val="15"/>
                <w:color w:val="auto"/>
              </w:rPr>
              <w:t>OF SHARES</w:t>
            </w:r>
          </w:p>
        </w:tc>
        <w:tc>
          <w:tcPr>
            <w:tcW w:w="1040" w:type="dxa"/>
            <w:vAlign w:val="bottom"/>
          </w:tcPr>
          <w:p>
            <w:pPr>
              <w:ind w:left="400"/>
              <w:spacing w:after="0"/>
              <w:rPr>
                <w:sz w:val="20"/>
                <w:szCs w:val="20"/>
                <w:color w:val="auto"/>
              </w:rPr>
            </w:pPr>
            <w:r>
              <w:rPr>
                <w:rFonts w:ascii="Courier New" w:cs="Courier New" w:eastAsia="Courier New" w:hAnsi="Courier New"/>
                <w:sz w:val="15"/>
                <w:szCs w:val="15"/>
                <w:color w:val="auto"/>
              </w:rPr>
              <w:t>PRICE</w:t>
            </w:r>
          </w:p>
        </w:tc>
      </w:tr>
    </w:tbl>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9.60</w:t>
            </w:r>
          </w:p>
        </w:tc>
        <w:tc>
          <w:tcPr>
            <w:tcW w:w="2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5.03</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10.19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ind w:right="1285"/>
              <w:spacing w:after="0"/>
              <w:rPr>
                <w:sz w:val="20"/>
                <w:szCs w:val="20"/>
                <w:color w:val="auto"/>
              </w:rPr>
            </w:pPr>
            <w:r>
              <w:rPr>
                <w:rFonts w:ascii="Courier New" w:cs="Courier New" w:eastAsia="Courier New" w:hAnsi="Courier New"/>
                <w:sz w:val="15"/>
                <w:szCs w:val="15"/>
                <w:color w:val="auto"/>
                <w:w w:val="93"/>
              </w:rPr>
              <w:t>19.98</w:t>
            </w:r>
          </w:p>
        </w:tc>
        <w:tc>
          <w:tcPr>
            <w:tcW w:w="2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3.2</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5"/>
                <w:szCs w:val="15"/>
                <w:color w:val="auto"/>
              </w:rPr>
            </w:pPr>
          </w:p>
        </w:tc>
        <w:tc>
          <w:tcPr>
            <w:tcW w:w="11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7"/>
              </w:rPr>
              <w:t>13.83</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13.81</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20.09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ind w:right="1285"/>
              <w:spacing w:after="0"/>
              <w:rPr>
                <w:sz w:val="20"/>
                <w:szCs w:val="20"/>
                <w:color w:val="auto"/>
              </w:rPr>
            </w:pPr>
            <w:r>
              <w:rPr>
                <w:rFonts w:ascii="Courier New" w:cs="Courier New" w:eastAsia="Courier New" w:hAnsi="Courier New"/>
                <w:sz w:val="15"/>
                <w:szCs w:val="15"/>
                <w:color w:val="auto"/>
                <w:w w:val="93"/>
              </w:rPr>
              <w:t>29.94</w:t>
            </w:r>
          </w:p>
        </w:tc>
        <w:tc>
          <w:tcPr>
            <w:tcW w:w="2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spacing w:after="0"/>
              <w:rPr>
                <w:sz w:val="15"/>
                <w:szCs w:val="15"/>
                <w:color w:val="auto"/>
              </w:rPr>
            </w:pPr>
          </w:p>
        </w:tc>
        <w:tc>
          <w:tcPr>
            <w:tcW w:w="11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7"/>
              </w:rPr>
              <w:t>26.53</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25.80</w:t>
            </w:r>
          </w:p>
        </w:tc>
      </w:tr>
      <w:tr>
        <w:trPr>
          <w:trHeight w:val="1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31.05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800" w:type="dxa"/>
            <w:vAlign w:val="bottom"/>
          </w:tcPr>
          <w:p>
            <w:pPr>
              <w:jc w:val="right"/>
              <w:ind w:right="1285"/>
              <w:spacing w:after="0"/>
              <w:rPr>
                <w:sz w:val="20"/>
                <w:szCs w:val="20"/>
                <w:color w:val="auto"/>
              </w:rPr>
            </w:pPr>
            <w:r>
              <w:rPr>
                <w:rFonts w:ascii="Courier New" w:cs="Courier New" w:eastAsia="Courier New" w:hAnsi="Courier New"/>
                <w:sz w:val="15"/>
                <w:szCs w:val="15"/>
                <w:color w:val="auto"/>
                <w:w w:val="93"/>
              </w:rPr>
              <w:t>45.78</w:t>
            </w:r>
          </w:p>
        </w:tc>
        <w:tc>
          <w:tcPr>
            <w:tcW w:w="2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10.6</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w:t>
            </w:r>
          </w:p>
        </w:tc>
        <w:tc>
          <w:tcPr>
            <w:tcW w:w="620" w:type="dxa"/>
            <w:vAlign w:val="bottom"/>
          </w:tcPr>
          <w:p>
            <w:pPr>
              <w:spacing w:after="0"/>
              <w:rPr>
                <w:sz w:val="15"/>
                <w:szCs w:val="15"/>
                <w:color w:val="auto"/>
              </w:rPr>
            </w:pPr>
          </w:p>
        </w:tc>
        <w:tc>
          <w:tcPr>
            <w:tcW w:w="11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7"/>
              </w:rPr>
              <w:t>39.59</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32.35</w:t>
            </w:r>
          </w:p>
        </w:tc>
      </w:tr>
    </w:tbl>
    <w:p>
      <w:pPr>
        <w:spacing w:after="0" w:line="351" w:lineRule="exact"/>
        <w:rPr>
          <w:sz w:val="20"/>
          <w:szCs w:val="20"/>
          <w:color w:val="auto"/>
        </w:rPr>
      </w:pPr>
    </w:p>
    <w:p>
      <w:pPr>
        <w:ind w:right="4240" w:firstLine="180"/>
        <w:spacing w:after="0" w:line="263" w:lineRule="auto"/>
        <w:rPr>
          <w:sz w:val="20"/>
          <w:szCs w:val="20"/>
          <w:color w:val="auto"/>
        </w:rPr>
      </w:pPr>
      <w:r>
        <w:rPr>
          <w:rFonts w:ascii="Courier New" w:cs="Courier New" w:eastAsia="Courier New" w:hAnsi="Courier New"/>
          <w:sz w:val="14"/>
          <w:szCs w:val="14"/>
          <w:color w:val="auto"/>
        </w:rPr>
        <w:t>The Company's 1989 Employee Stock Purchase Plan ("ESPP") and MEI's 1995 Employee Stock Purchase Plan ("MEI ESPP") allow eligible employees to purchase shares of the Company's common stock and MEI's common stock through payroll deductions. The shares can be purchased for 85% of the lower of the beginning or ending fair market value of each offering period and are restricted from resale for a period of one year from the date of purchase. Purchases are limited to 20% of an employee's eligible compensation. A total of 6.8 million shares of Company common stock are reserved for issuance under the ESPP, of which 6.1 million shares have been issued as of August 28, 1997. A total of 2.5 million shares of MEI common stock are reserved for issuance under the MEI ESPP, of which approximately 271,000 shares had been issued as of August 28, 1997.</w:t>
      </w:r>
    </w:p>
    <w:p>
      <w:pPr>
        <w:spacing w:after="0" w:line="169" w:lineRule="exact"/>
        <w:rPr>
          <w:sz w:val="20"/>
          <w:szCs w:val="20"/>
          <w:color w:val="auto"/>
        </w:rPr>
      </w:pPr>
    </w:p>
    <w:p>
      <w:pPr>
        <w:ind w:right="4240" w:firstLine="180"/>
        <w:spacing w:after="0" w:line="244" w:lineRule="auto"/>
        <w:rPr>
          <w:sz w:val="20"/>
          <w:szCs w:val="20"/>
          <w:color w:val="auto"/>
        </w:rPr>
      </w:pPr>
      <w:r>
        <w:rPr>
          <w:rFonts w:ascii="Courier New" w:cs="Courier New" w:eastAsia="Courier New" w:hAnsi="Courier New"/>
          <w:sz w:val="15"/>
          <w:szCs w:val="15"/>
          <w:color w:val="auto"/>
        </w:rPr>
        <w:t>MEI's 1995 Stock Option Plan provides for the granting of incentive and nonstatutory stock options. As of August 28, 1997, there were 5,000,000 shares of common stock reserved for issuance under the plan. Exercise prices of the incentive and nonstatutory stock options have generally been 100% and 85%, respectively, of the fair market value of the Company's common stock on the date of grant. Options are granted subject to terms and conditions determined by the MEI Board of Directors, and generally are exercisable in increments of 20% for each year of employment beginning one year from date of grant and generally expire six years from date of grant.</w:t>
      </w:r>
    </w:p>
    <w:p>
      <w:pPr>
        <w:spacing w:after="0" w:line="179" w:lineRule="exact"/>
        <w:rPr>
          <w:sz w:val="20"/>
          <w:szCs w:val="20"/>
          <w:color w:val="auto"/>
        </w:rPr>
      </w:pPr>
    </w:p>
    <w:p>
      <w:pPr>
        <w:ind w:right="4500" w:firstLine="180"/>
        <w:spacing w:after="0" w:line="243" w:lineRule="auto"/>
        <w:rPr>
          <w:sz w:val="20"/>
          <w:szCs w:val="20"/>
          <w:color w:val="auto"/>
        </w:rPr>
      </w:pPr>
      <w:r>
        <w:rPr>
          <w:rFonts w:ascii="Courier New" w:cs="Courier New" w:eastAsia="Courier New" w:hAnsi="Courier New"/>
          <w:sz w:val="15"/>
          <w:szCs w:val="15"/>
          <w:color w:val="auto"/>
        </w:rPr>
        <w:t>Option activity under MEI's 1995 Stock Option Plan is summarized as follows (amounts in thousands, except per share amounts):</w:t>
      </w:r>
    </w:p>
    <w:p>
      <w:pPr>
        <w:spacing w:after="0" w:line="200" w:lineRule="exact"/>
        <w:rPr>
          <w:sz w:val="20"/>
          <w:szCs w:val="20"/>
          <w:color w:val="auto"/>
        </w:rPr>
      </w:pPr>
    </w:p>
    <w:p>
      <w:pPr>
        <w:spacing w:after="0" w:line="322" w:lineRule="exact"/>
        <w:rPr>
          <w:sz w:val="20"/>
          <w:szCs w:val="20"/>
          <w:color w:val="auto"/>
        </w:rPr>
      </w:pPr>
    </w:p>
    <w:p>
      <w:pPr>
        <w:ind w:left="6760"/>
        <w:spacing w:after="0"/>
        <w:rPr>
          <w:sz w:val="20"/>
          <w:szCs w:val="20"/>
          <w:color w:val="auto"/>
        </w:rPr>
      </w:pPr>
      <w:r>
        <w:rPr>
          <w:rFonts w:ascii="Courier New" w:cs="Courier New" w:eastAsia="Courier New" w:hAnsi="Courier New"/>
          <w:sz w:val="15"/>
          <w:szCs w:val="15"/>
          <w:color w:val="auto"/>
        </w:rPr>
        <w:t>FISCAL YEAR ENDED</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960"/>
        <w:spacing w:after="0"/>
        <w:tabs>
          <w:tab w:leader="none" w:pos="7280" w:val="left"/>
          <w:tab w:leader="none" w:pos="9520" w:val="left"/>
        </w:tabs>
        <w:rPr>
          <w:sz w:val="20"/>
          <w:szCs w:val="20"/>
          <w:color w:val="auto"/>
        </w:rPr>
      </w:pPr>
      <w:r>
        <w:rPr>
          <w:rFonts w:ascii="Courier New" w:cs="Courier New" w:eastAsia="Courier New" w:hAnsi="Courier New"/>
          <w:sz w:val="15"/>
          <w:szCs w:val="15"/>
          <w:color w:val="auto"/>
        </w:rPr>
        <w:t>8/28/97</w:t>
      </w:r>
      <w:r>
        <w:rPr>
          <w:sz w:val="20"/>
          <w:szCs w:val="20"/>
          <w:color w:val="auto"/>
        </w:rPr>
        <w:tab/>
      </w:r>
      <w:r>
        <w:rPr>
          <w:rFonts w:ascii="Courier New" w:cs="Courier New" w:eastAsia="Courier New" w:hAnsi="Courier New"/>
          <w:sz w:val="15"/>
          <w:szCs w:val="15"/>
          <w:color w:val="auto"/>
        </w:rPr>
        <w:t>8/29/96</w:t>
      </w:r>
      <w:r>
        <w:rPr>
          <w:sz w:val="20"/>
          <w:szCs w:val="20"/>
          <w:color w:val="auto"/>
        </w:rPr>
        <w:tab/>
      </w:r>
      <w:r>
        <w:rPr>
          <w:rFonts w:ascii="Courier New" w:cs="Courier New" w:eastAsia="Courier New" w:hAnsi="Courier New"/>
          <w:sz w:val="15"/>
          <w:szCs w:val="15"/>
          <w:color w:val="auto"/>
        </w:rPr>
        <w:t>8/31/95</w:t>
      </w:r>
    </w:p>
    <w:p>
      <w:pPr>
        <w:spacing w:after="0" w:line="3" w:lineRule="exact"/>
        <w:rPr>
          <w:sz w:val="20"/>
          <w:szCs w:val="20"/>
          <w:color w:val="auto"/>
        </w:rPr>
      </w:pPr>
    </w:p>
    <w:p>
      <w:pPr>
        <w:ind w:left="4220"/>
        <w:spacing w:after="0"/>
        <w:tabs>
          <w:tab w:leader="none" w:pos="6560" w:val="left"/>
          <w:tab w:leader="none" w:pos="9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5500"/>
        <w:spacing w:after="0"/>
        <w:tabs>
          <w:tab w:leader="none" w:pos="7820" w:val="left"/>
          <w:tab w:leader="none" w:pos="9980"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3" w:lineRule="exact"/>
        <w:rPr>
          <w:sz w:val="20"/>
          <w:szCs w:val="20"/>
          <w:color w:val="auto"/>
        </w:rPr>
      </w:pPr>
    </w:p>
    <w:p>
      <w:pPr>
        <w:ind w:left="5580"/>
        <w:spacing w:after="0"/>
        <w:tabs>
          <w:tab w:leader="none" w:pos="7900" w:val="left"/>
          <w:tab w:leader="none" w:pos="1016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3" w:lineRule="exact"/>
        <w:rPr>
          <w:sz w:val="20"/>
          <w:szCs w:val="20"/>
          <w:color w:val="auto"/>
        </w:rPr>
      </w:pPr>
    </w:p>
    <w:p>
      <w:pPr>
        <w:ind w:left="4220"/>
        <w:spacing w:after="0"/>
        <w:tabs>
          <w:tab w:leader="none" w:pos="5480" w:val="left"/>
          <w:tab w:leader="none" w:pos="6640" w:val="left"/>
          <w:tab w:leader="none" w:pos="7820" w:val="left"/>
          <w:tab w:leader="none" w:pos="8900" w:val="left"/>
          <w:tab w:leader="none" w:pos="1008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EXERCISE</w:t>
      </w:r>
    </w:p>
    <w:p>
      <w:pPr>
        <w:spacing w:after="0" w:line="3" w:lineRule="exact"/>
        <w:rPr>
          <w:sz w:val="20"/>
          <w:szCs w:val="20"/>
          <w:color w:val="auto"/>
        </w:rPr>
      </w:pPr>
    </w:p>
    <w:p>
      <w:pPr>
        <w:ind w:left="4420"/>
        <w:spacing w:after="0"/>
        <w:tabs>
          <w:tab w:leader="none" w:pos="5660" w:val="left"/>
          <w:tab w:leader="none" w:pos="6920" w:val="left"/>
          <w:tab w:leader="none" w:pos="8000" w:val="left"/>
          <w:tab w:leader="none" w:pos="9160" w:val="left"/>
          <w:tab w:leader="none" w:pos="102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Outstanding at beginning of year...........</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$ 8.22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Granted....................................</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19.90</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1,294</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747</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18.06</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Merger transaction.........................</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1,140</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Terminated or cancelled....................</w:t>
            </w:r>
          </w:p>
        </w:tc>
        <w:tc>
          <w:tcPr>
            <w:tcW w:w="1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16.52</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Exercised..................................</w:t>
            </w:r>
          </w:p>
        </w:tc>
        <w:tc>
          <w:tcPr>
            <w:tcW w:w="1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9.49</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Outstanding at end of year.................</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16.98</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1,795</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Exercisable at end of year.................</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14.45</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13.84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884</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0.88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w w:val="83"/>
              </w:rPr>
              <w:t>Shares available for future grants.........</w:t>
            </w:r>
          </w:p>
        </w:tc>
        <w:tc>
          <w:tcPr>
            <w:tcW w:w="1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3,141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4,253</w:t>
            </w:r>
          </w:p>
        </w:tc>
        <w:tc>
          <w:tcPr>
            <w:tcW w:w="4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240" w:type="dxa"/>
            <w:vAlign w:val="bottom"/>
          </w:tcPr>
          <w:p>
            <w:pPr>
              <w:spacing w:after="0"/>
              <w:rPr>
                <w:sz w:val="24"/>
                <w:szCs w:val="24"/>
                <w:color w:val="auto"/>
              </w:rPr>
            </w:pPr>
          </w:p>
        </w:tc>
        <w:tc>
          <w:tcPr>
            <w:tcW w:w="1840" w:type="dxa"/>
            <w:vAlign w:val="bottom"/>
          </w:tcPr>
          <w:p>
            <w:pPr>
              <w:jc w:val="right"/>
              <w:ind w:right="1585"/>
              <w:spacing w:after="0"/>
              <w:rPr>
                <w:sz w:val="20"/>
                <w:szCs w:val="20"/>
                <w:color w:val="auto"/>
              </w:rPr>
            </w:pPr>
            <w:r>
              <w:rPr>
                <w:rFonts w:ascii="Courier New" w:cs="Courier New" w:eastAsia="Courier New" w:hAnsi="Courier New"/>
                <w:sz w:val="15"/>
                <w:szCs w:val="15"/>
                <w:color w:val="auto"/>
                <w:w w:val="88"/>
              </w:rPr>
              <w:t>36</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40"/>
          </w:cols>
          <w:pgMar w:left="240" w:top="638" w:right="219" w:bottom="1440" w:gutter="0" w:footer="0" w:header="0"/>
        </w:sectPr>
      </w:pPr>
    </w:p>
    <w:bookmarkStart w:id="36" w:name="page37"/>
    <w:bookmarkEnd w:id="36"/>
    <w:p>
      <w:pPr>
        <w:jc w:val="center"/>
        <w:ind w:right="396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The following table summarizes information about MEI options outstanding under the MEI 1995 Stock Option Plan as of August 28, 1997 (amounts in thousands, except per share amounts):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20" w:type="dxa"/>
            <w:vAlign w:val="bottom"/>
            <w:gridSpan w:val="2"/>
          </w:tcPr>
          <w:p>
            <w:pPr>
              <w:jc w:val="right"/>
              <w:ind w:right="965"/>
              <w:spacing w:after="0"/>
              <w:rPr>
                <w:sz w:val="20"/>
                <w:szCs w:val="20"/>
                <w:color w:val="auto"/>
              </w:rPr>
            </w:pPr>
            <w:r>
              <w:rPr>
                <w:rFonts w:ascii="Courier New" w:cs="Courier New" w:eastAsia="Courier New" w:hAnsi="Courier New"/>
                <w:sz w:val="15"/>
                <w:szCs w:val="15"/>
                <w:color w:val="auto"/>
              </w:rPr>
              <w:t>MEI OUTSTANDING OPTIONS</w:t>
            </w:r>
          </w:p>
        </w:tc>
        <w:tc>
          <w:tcPr>
            <w:tcW w:w="364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MEI EXERCISABLE OPTIONS</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0600" w:type="dxa"/>
            <w:vAlign w:val="bottom"/>
            <w:gridSpan w:val="6"/>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AVERAGE</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WEIGHTED</w:t>
            </w:r>
          </w:p>
        </w:tc>
        <w:tc>
          <w:tcPr>
            <w:tcW w:w="1920" w:type="dxa"/>
            <w:vAlign w:val="bottom"/>
          </w:tcPr>
          <w:p>
            <w:pPr>
              <w:spacing w:after="0"/>
              <w:rPr>
                <w:sz w:val="15"/>
                <w:szCs w:val="15"/>
                <w:color w:val="auto"/>
              </w:rPr>
            </w:pP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REMAINING</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AVERAGE</w:t>
            </w:r>
          </w:p>
        </w:tc>
        <w:tc>
          <w:tcPr>
            <w:tcW w:w="1920" w:type="dxa"/>
            <w:vAlign w:val="bottom"/>
          </w:tcPr>
          <w:p>
            <w:pPr>
              <w:spacing w:after="0"/>
              <w:rPr>
                <w:sz w:val="15"/>
                <w:szCs w:val="15"/>
                <w:color w:val="auto"/>
              </w:rPr>
            </w:pP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CONTRACTUAL</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EXERCISE</w:t>
            </w:r>
          </w:p>
        </w:tc>
        <w:tc>
          <w:tcPr>
            <w:tcW w:w="19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NUMBER</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RANGE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OF EXERCISE PRICES</w:t>
            </w:r>
          </w:p>
        </w:tc>
        <w:tc>
          <w:tcPr>
            <w:tcW w:w="1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SHARES</w:t>
            </w:r>
          </w:p>
        </w:tc>
        <w:tc>
          <w:tcPr>
            <w:tcW w:w="1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LIFE(IN YEARS)</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PRICE</w:t>
            </w:r>
          </w:p>
        </w:tc>
        <w:tc>
          <w:tcPr>
            <w:tcW w:w="1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 SHARES</w:t>
            </w:r>
          </w:p>
        </w:tc>
        <w:tc>
          <w:tcPr>
            <w:tcW w:w="17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1060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w:t>
            </w:r>
          </w:p>
        </w:tc>
      </w:tr>
      <w:tr>
        <w:trPr>
          <w:trHeight w:val="347"/>
        </w:trPr>
        <w:tc>
          <w:tcPr>
            <w:tcW w:w="480" w:type="dxa"/>
            <w:vAlign w:val="bottom"/>
          </w:tcPr>
          <w:p>
            <w:pPr>
              <w:spacing w:after="0"/>
              <w:rPr>
                <w:sz w:val="20"/>
                <w:szCs w:val="20"/>
                <w:color w:val="auto"/>
              </w:rPr>
            </w:pPr>
            <w:r>
              <w:rPr>
                <w:rFonts w:ascii="Courier New" w:cs="Courier New" w:eastAsia="Courier New" w:hAnsi="Courier New"/>
                <w:sz w:val="15"/>
                <w:szCs w:val="15"/>
                <w:color w:val="auto"/>
              </w:rPr>
              <w:t>below</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$5.00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$ 3.00</w:t>
            </w:r>
          </w:p>
        </w:tc>
        <w:tc>
          <w:tcPr>
            <w:tcW w:w="19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w:t>
            </w:r>
          </w:p>
        </w:tc>
        <w:tc>
          <w:tcPr>
            <w:tcW w:w="17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$ 3.00</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$5.00</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 $10.00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9.43</w:t>
            </w:r>
          </w:p>
        </w:tc>
        <w:tc>
          <w:tcPr>
            <w:tcW w:w="19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w:t>
            </w:r>
          </w:p>
        </w:tc>
        <w:tc>
          <w:tcPr>
            <w:tcW w:w="17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9.39</w:t>
            </w:r>
          </w:p>
        </w:tc>
      </w:tr>
      <w:tr>
        <w:trPr>
          <w:trHeight w:val="173"/>
        </w:trPr>
        <w:tc>
          <w:tcPr>
            <w:tcW w:w="2740" w:type="dxa"/>
            <w:vAlign w:val="bottom"/>
            <w:gridSpan w:val="2"/>
          </w:tcPr>
          <w:p>
            <w:pPr>
              <w:spacing w:after="0"/>
              <w:rPr>
                <w:sz w:val="20"/>
                <w:szCs w:val="20"/>
                <w:color w:val="auto"/>
              </w:rPr>
            </w:pPr>
            <w:r>
              <w:rPr>
                <w:rFonts w:ascii="Courier New" w:cs="Courier New" w:eastAsia="Courier New" w:hAnsi="Courier New"/>
                <w:sz w:val="15"/>
                <w:szCs w:val="15"/>
                <w:color w:val="auto"/>
              </w:rPr>
              <w:t>$10.01 - $15.00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1,119</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11.85</w:t>
            </w:r>
          </w:p>
        </w:tc>
        <w:tc>
          <w:tcPr>
            <w:tcW w:w="19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202</w:t>
            </w:r>
          </w:p>
        </w:tc>
        <w:tc>
          <w:tcPr>
            <w:tcW w:w="17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11.56</w:t>
            </w:r>
          </w:p>
        </w:tc>
      </w:tr>
      <w:tr>
        <w:trPr>
          <w:trHeight w:val="173"/>
        </w:trPr>
        <w:tc>
          <w:tcPr>
            <w:tcW w:w="2740" w:type="dxa"/>
            <w:vAlign w:val="bottom"/>
            <w:gridSpan w:val="2"/>
          </w:tcPr>
          <w:p>
            <w:pPr>
              <w:spacing w:after="0"/>
              <w:rPr>
                <w:sz w:val="20"/>
                <w:szCs w:val="20"/>
                <w:color w:val="auto"/>
              </w:rPr>
            </w:pPr>
            <w:r>
              <w:rPr>
                <w:rFonts w:ascii="Courier New" w:cs="Courier New" w:eastAsia="Courier New" w:hAnsi="Courier New"/>
                <w:sz w:val="15"/>
                <w:szCs w:val="15"/>
                <w:color w:val="auto"/>
              </w:rPr>
              <w:t>$15.01 - $20.00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1,658</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18.39</w:t>
            </w:r>
          </w:p>
        </w:tc>
        <w:tc>
          <w:tcPr>
            <w:tcW w:w="19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243</w:t>
            </w:r>
          </w:p>
        </w:tc>
        <w:tc>
          <w:tcPr>
            <w:tcW w:w="17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17.73</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above</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751</w:t>
            </w:r>
          </w:p>
        </w:tc>
        <w:tc>
          <w:tcPr>
            <w:tcW w:w="1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22.02</w:t>
            </w:r>
          </w:p>
        </w:tc>
        <w:tc>
          <w:tcPr>
            <w:tcW w:w="19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w:t>
            </w:r>
          </w:p>
        </w:tc>
        <w:tc>
          <w:tcPr>
            <w:tcW w:w="17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23.83</w:t>
            </w:r>
          </w:p>
        </w:tc>
      </w:tr>
    </w:tbl>
    <w:p>
      <w:pPr>
        <w:spacing w:after="0" w:line="351"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In December 1994, ZEOS International, Ltd. ("ZEOS"), subsequently merged with MEI, awarded shares of its common stock to certain of its employees subject to their continued employment as of January 1, 1996. Compensation expense was recognized over the vesting period based upon the fair market value of the stock at the date of award. To satisfy this award, MEI issued approximately 151,000 shares of its common stock in January 1996.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DISCLOSURE</w:t>
      </w:r>
    </w:p>
    <w:p>
      <w:pPr>
        <w:spacing w:after="0" w:line="178" w:lineRule="exact"/>
        <w:rPr>
          <w:sz w:val="20"/>
          <w:szCs w:val="20"/>
          <w:color w:val="auto"/>
        </w:rPr>
      </w:pPr>
    </w:p>
    <w:p>
      <w:pPr>
        <w:ind w:right="4060" w:firstLine="180"/>
        <w:spacing w:after="0" w:line="244" w:lineRule="auto"/>
        <w:rPr>
          <w:sz w:val="20"/>
          <w:szCs w:val="20"/>
          <w:color w:val="auto"/>
        </w:rPr>
      </w:pPr>
      <w:r>
        <w:rPr>
          <w:rFonts w:ascii="Courier New" w:cs="Courier New" w:eastAsia="Courier New" w:hAnsi="Courier New"/>
          <w:sz w:val="15"/>
          <w:szCs w:val="15"/>
          <w:color w:val="auto"/>
        </w:rPr>
        <w:t>The Company has adopted the disclosure-only provisions of Statement of Financial Accounting Standards No. 123, "Accounting for Stock Based Compensation," issued in October 1995. Accordingly, compensation cost has been recorded based on the intrinsic value of the option only. The Company recognized $8.4 million and $3.6 million of compensation cost in 1997 and 1996, respectively, for stock-based employee compensation awards. If the Company had elected to recognize compensation cost based on the fair value of the options granted at grant date as prescribed by SFAS No. 123, net income and earnings per share would have been reduced to the proforma amounts indicated in the table below:</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2"/>
          </w:tcPr>
          <w:p>
            <w:pPr>
              <w:jc w:val="right"/>
              <w:ind w:right="12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(DOLLARS IN MILLIONS EXCEPT PER SHARE AMOUNTS)</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REPORTED</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REPORTED</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 - -</w:t>
            </w:r>
          </w:p>
        </w:tc>
        <w:tc>
          <w:tcPr>
            <w:tcW w:w="8800" w:type="dxa"/>
            <w:vAlign w:val="bottom"/>
            <w:gridSpan w:val="8"/>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332.2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293.3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593.5</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$559.8</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Fully</w:t>
            </w:r>
          </w:p>
        </w:tc>
        <w:tc>
          <w:tcPr>
            <w:tcW w:w="3840" w:type="dxa"/>
            <w:vAlign w:val="bottom"/>
          </w:tcPr>
          <w:p>
            <w:pPr>
              <w:ind w:left="60"/>
              <w:spacing w:after="0"/>
              <w:rPr>
                <w:sz w:val="20"/>
                <w:szCs w:val="20"/>
                <w:color w:val="auto"/>
              </w:rPr>
            </w:pPr>
            <w:r>
              <w:rPr>
                <w:rFonts w:ascii="Courier New" w:cs="Courier New" w:eastAsia="Courier New" w:hAnsi="Courier New"/>
                <w:sz w:val="15"/>
                <w:szCs w:val="15"/>
                <w:color w:val="auto"/>
              </w:rPr>
              <w:t>diluted earnings per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2.76</w:t>
            </w: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$ 2.60</w:t>
            </w:r>
          </w:p>
        </w:tc>
      </w:tr>
    </w:tbl>
    <w:p>
      <w:pPr>
        <w:spacing w:after="0" w:line="351" w:lineRule="exact"/>
        <w:rPr>
          <w:sz w:val="20"/>
          <w:szCs w:val="20"/>
          <w:color w:val="auto"/>
        </w:rPr>
      </w:pPr>
    </w:p>
    <w:p>
      <w:pPr>
        <w:ind w:right="3880" w:firstLine="180"/>
        <w:spacing w:after="0" w:line="244" w:lineRule="auto"/>
        <w:rPr>
          <w:sz w:val="20"/>
          <w:szCs w:val="20"/>
          <w:color w:val="auto"/>
        </w:rPr>
      </w:pPr>
      <w:r>
        <w:rPr>
          <w:rFonts w:ascii="Courier New" w:cs="Courier New" w:eastAsia="Courier New" w:hAnsi="Courier New"/>
          <w:sz w:val="15"/>
          <w:szCs w:val="15"/>
          <w:color w:val="auto"/>
        </w:rPr>
        <w:t>The above pro forma amounts, for purposes of SFAS No.123, reflect the portion of the estimated fair value of awards earned in 1997 and 1996. For purposes of pro forma disclosures, the estimated fair value of the options is amortized over the options' vesting period (for stock options) and over the offering period for stock purchases under the Employee Stock Purchase Plans. The effects on pro forma disclosures of applying SFAS 123 are not likely to be representative of the effects on pro forma disclosures of future years. Because SFAS 123 is applicable only to options granted subsequent to August 31, 1995, the effect will not be fully reflected until 2000.</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080"/>
          </w:cols>
          <w:pgMar w:left="240" w:top="638" w:right="579" w:bottom="1440" w:gutter="0" w:footer="0" w:header="0"/>
        </w:sectPr>
      </w:pPr>
    </w:p>
    <w:bookmarkStart w:id="37" w:name="page38"/>
    <w:bookmarkEnd w:id="37"/>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Company used the Black-Scholes model to value stock options for pro forma presentation. The assumptions used to estimate the value of the MTI options included in the pro forma amounts and the weighted average estimated fair value of MTI options granted are as follows:</w:t>
      </w:r>
    </w:p>
    <w:p>
      <w:pPr>
        <w:spacing w:after="0" w:line="200" w:lineRule="exact"/>
        <w:rPr>
          <w:sz w:val="20"/>
          <w:szCs w:val="20"/>
          <w:color w:val="auto"/>
        </w:rPr>
      </w:pPr>
    </w:p>
    <w:p>
      <w:pPr>
        <w:spacing w:after="0" w:line="322" w:lineRule="exact"/>
        <w:rPr>
          <w:sz w:val="20"/>
          <w:szCs w:val="20"/>
          <w:color w:val="auto"/>
        </w:rPr>
      </w:pPr>
    </w:p>
    <w:p>
      <w:pPr>
        <w:ind w:left="5400"/>
        <w:spacing w:after="0"/>
        <w:tabs>
          <w:tab w:leader="none" w:pos="7180" w:val="left"/>
        </w:tabs>
        <w:rPr>
          <w:sz w:val="20"/>
          <w:szCs w:val="20"/>
          <w:color w:val="auto"/>
        </w:rPr>
      </w:pPr>
      <w:r>
        <w:rPr>
          <w:rFonts w:ascii="Courier New" w:cs="Courier New" w:eastAsia="Courier New" w:hAnsi="Courier New"/>
          <w:sz w:val="15"/>
          <w:szCs w:val="15"/>
          <w:color w:val="auto"/>
        </w:rPr>
        <w:t>STOCK OPTION</w:t>
      </w:r>
      <w:r>
        <w:rPr>
          <w:sz w:val="20"/>
          <w:szCs w:val="20"/>
          <w:color w:val="auto"/>
        </w:rPr>
        <w:tab/>
      </w:r>
      <w:r>
        <w:rPr>
          <w:rFonts w:ascii="Courier New" w:cs="Courier New" w:eastAsia="Courier New" w:hAnsi="Courier New"/>
          <w:sz w:val="14"/>
          <w:szCs w:val="14"/>
          <w:color w:val="auto"/>
        </w:rPr>
        <w:t>EMPLOYEE STOCK</w:t>
      </w:r>
    </w:p>
    <w:p>
      <w:pPr>
        <w:spacing w:after="0" w:line="3" w:lineRule="exact"/>
        <w:rPr>
          <w:sz w:val="20"/>
          <w:szCs w:val="20"/>
          <w:color w:val="auto"/>
        </w:rPr>
      </w:pPr>
    </w:p>
    <w:p>
      <w:pPr>
        <w:ind w:left="5500"/>
        <w:spacing w:after="0"/>
        <w:tabs>
          <w:tab w:leader="none" w:pos="6920" w:val="left"/>
        </w:tabs>
        <w:rPr>
          <w:sz w:val="20"/>
          <w:szCs w:val="20"/>
          <w:color w:val="auto"/>
        </w:rPr>
      </w:pPr>
      <w:r>
        <w:rPr>
          <w:rFonts w:ascii="Courier New" w:cs="Courier New" w:eastAsia="Courier New" w:hAnsi="Courier New"/>
          <w:sz w:val="15"/>
          <w:szCs w:val="15"/>
          <w:color w:val="auto"/>
        </w:rPr>
        <w:t>PLAN SHARES</w:t>
      </w:r>
      <w:r>
        <w:rPr>
          <w:sz w:val="20"/>
          <w:szCs w:val="20"/>
          <w:color w:val="auto"/>
        </w:rPr>
        <w:tab/>
      </w:r>
      <w:r>
        <w:rPr>
          <w:rFonts w:ascii="Courier New" w:cs="Courier New" w:eastAsia="Courier New" w:hAnsi="Courier New"/>
          <w:sz w:val="14"/>
          <w:szCs w:val="14"/>
          <w:color w:val="auto"/>
        </w:rPr>
        <w:t>PURCHASE PLAN SHARES</w:t>
      </w:r>
    </w:p>
    <w:p>
      <w:pPr>
        <w:spacing w:after="0" w:line="3" w:lineRule="exact"/>
        <w:rPr>
          <w:sz w:val="20"/>
          <w:szCs w:val="20"/>
          <w:color w:val="auto"/>
        </w:rPr>
      </w:pPr>
    </w:p>
    <w:p>
      <w:pPr>
        <w:ind w:left="5500"/>
        <w:spacing w:after="0"/>
        <w:tabs>
          <w:tab w:leader="none" w:pos="6100" w:val="left"/>
          <w:tab w:leader="none" w:pos="7100" w:val="left"/>
          <w:tab w:leader="none" w:pos="8080" w:val="left"/>
        </w:tabs>
        <w:rPr>
          <w:sz w:val="20"/>
          <w:szCs w:val="20"/>
          <w:color w:val="auto"/>
        </w:rPr>
      </w:pPr>
      <w:r>
        <w:rPr>
          <w:rFonts w:ascii="Courier New" w:cs="Courier New" w:eastAsia="Courier New" w:hAnsi="Courier New"/>
          <w:sz w:val="15"/>
          <w:szCs w:val="15"/>
          <w:color w:val="auto"/>
        </w:rPr>
        <w:t>1997</w:t>
        <w:tab/>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Average expected life</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0.25</w:t>
            </w:r>
          </w:p>
        </w:tc>
      </w:tr>
      <w:tr>
        <w:trPr>
          <w:trHeight w:val="173"/>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Expected volatility</w:t>
            </w:r>
          </w:p>
        </w:tc>
        <w:tc>
          <w:tcPr>
            <w:tcW w:w="3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Risk-free</w:t>
            </w:r>
          </w:p>
        </w:tc>
        <w:tc>
          <w:tcPr>
            <w:tcW w:w="4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interest rate (zero coupon U.S. Treasury note)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3"/>
        </w:trPr>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fair</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price equal</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rPr>
              <w:t>to market price at grant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$34.13</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4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price less than market price at grant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$37.14</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$20.67</w:t>
            </w:r>
          </w:p>
        </w:tc>
      </w:tr>
    </w:tbl>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assumptions used to estimate the value of the MEI options included in the pro forma amounts and the weighted average estimated fair value of MEI options granted are as follows:</w:t>
      </w:r>
    </w:p>
    <w:p>
      <w:pPr>
        <w:spacing w:after="0" w:line="200" w:lineRule="exact"/>
        <w:rPr>
          <w:sz w:val="20"/>
          <w:szCs w:val="20"/>
          <w:color w:val="auto"/>
        </w:rPr>
      </w:pPr>
    </w:p>
    <w:p>
      <w:pPr>
        <w:spacing w:after="0" w:line="321" w:lineRule="exact"/>
        <w:rPr>
          <w:sz w:val="20"/>
          <w:szCs w:val="20"/>
          <w:color w:val="auto"/>
        </w:rPr>
      </w:pPr>
    </w:p>
    <w:p>
      <w:pPr>
        <w:ind w:left="5400"/>
        <w:spacing w:after="0"/>
        <w:tabs>
          <w:tab w:leader="none" w:pos="7180" w:val="left"/>
        </w:tabs>
        <w:rPr>
          <w:sz w:val="20"/>
          <w:szCs w:val="20"/>
          <w:color w:val="auto"/>
        </w:rPr>
      </w:pPr>
      <w:r>
        <w:rPr>
          <w:rFonts w:ascii="Courier New" w:cs="Courier New" w:eastAsia="Courier New" w:hAnsi="Courier New"/>
          <w:sz w:val="15"/>
          <w:szCs w:val="15"/>
          <w:color w:val="auto"/>
        </w:rPr>
        <w:t>STOCK OPTION</w:t>
      </w:r>
      <w:r>
        <w:rPr>
          <w:sz w:val="20"/>
          <w:szCs w:val="20"/>
          <w:color w:val="auto"/>
        </w:rPr>
        <w:tab/>
      </w:r>
      <w:r>
        <w:rPr>
          <w:rFonts w:ascii="Courier New" w:cs="Courier New" w:eastAsia="Courier New" w:hAnsi="Courier New"/>
          <w:sz w:val="14"/>
          <w:szCs w:val="14"/>
          <w:color w:val="auto"/>
        </w:rPr>
        <w:t>EMPLOYEE STOCK</w:t>
      </w:r>
    </w:p>
    <w:p>
      <w:pPr>
        <w:spacing w:after="0" w:line="3" w:lineRule="exact"/>
        <w:rPr>
          <w:sz w:val="20"/>
          <w:szCs w:val="20"/>
          <w:color w:val="auto"/>
        </w:rPr>
      </w:pPr>
    </w:p>
    <w:p>
      <w:pPr>
        <w:ind w:left="5500"/>
        <w:spacing w:after="0"/>
        <w:tabs>
          <w:tab w:leader="none" w:pos="6920" w:val="left"/>
        </w:tabs>
        <w:rPr>
          <w:sz w:val="20"/>
          <w:szCs w:val="20"/>
          <w:color w:val="auto"/>
        </w:rPr>
      </w:pPr>
      <w:r>
        <w:rPr>
          <w:rFonts w:ascii="Courier New" w:cs="Courier New" w:eastAsia="Courier New" w:hAnsi="Courier New"/>
          <w:sz w:val="15"/>
          <w:szCs w:val="15"/>
          <w:color w:val="auto"/>
        </w:rPr>
        <w:t>PLAN SHARES</w:t>
      </w:r>
      <w:r>
        <w:rPr>
          <w:sz w:val="20"/>
          <w:szCs w:val="20"/>
          <w:color w:val="auto"/>
        </w:rPr>
        <w:tab/>
      </w:r>
      <w:r>
        <w:rPr>
          <w:rFonts w:ascii="Courier New" w:cs="Courier New" w:eastAsia="Courier New" w:hAnsi="Courier New"/>
          <w:sz w:val="14"/>
          <w:szCs w:val="14"/>
          <w:color w:val="auto"/>
        </w:rPr>
        <w:t>PURCHASE PLAN SHARES</w:t>
      </w:r>
    </w:p>
    <w:p>
      <w:pPr>
        <w:spacing w:after="0" w:line="3" w:lineRule="exact"/>
        <w:rPr>
          <w:sz w:val="20"/>
          <w:szCs w:val="20"/>
          <w:color w:val="auto"/>
        </w:rPr>
      </w:pPr>
    </w:p>
    <w:p>
      <w:pPr>
        <w:ind w:left="5500"/>
        <w:spacing w:after="0"/>
        <w:tabs>
          <w:tab w:leader="none" w:pos="6100" w:val="left"/>
          <w:tab w:leader="none" w:pos="7100" w:val="left"/>
          <w:tab w:leader="none" w:pos="8080" w:val="left"/>
        </w:tabs>
        <w:rPr>
          <w:sz w:val="20"/>
          <w:szCs w:val="20"/>
          <w:color w:val="auto"/>
        </w:rPr>
      </w:pPr>
      <w:r>
        <w:rPr>
          <w:rFonts w:ascii="Courier New" w:cs="Courier New" w:eastAsia="Courier New" w:hAnsi="Courier New"/>
          <w:sz w:val="15"/>
          <w:szCs w:val="15"/>
          <w:color w:val="auto"/>
        </w:rPr>
        <w:t>1997</w:t>
        <w:tab/>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Average expected life (years)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Risk-free interest rate (zero coupon U.S. Treasury note)</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Weighted average fair value:</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Exercise price equal to market price at grant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$10.68</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Exercise price less than market price at grant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$11.41</w:t>
            </w:r>
          </w:p>
        </w:tc>
        <w:tc>
          <w:tcPr>
            <w:tcW w:w="10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w:t>
            </w:r>
          </w:p>
        </w:tc>
      </w:tr>
    </w:tbl>
    <w:p>
      <w:pPr>
        <w:spacing w:after="0" w:line="351" w:lineRule="exact"/>
        <w:rPr>
          <w:sz w:val="20"/>
          <w:szCs w:val="20"/>
          <w:color w:val="auto"/>
        </w:rPr>
      </w:pPr>
    </w:p>
    <w:p>
      <w:pPr>
        <w:ind w:right="3019" w:firstLine="180"/>
        <w:spacing w:after="0" w:line="264"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SAVINGS PLAN</w:t>
      </w:r>
    </w:p>
    <w:p>
      <w:pPr>
        <w:spacing w:after="0" w:line="178" w:lineRule="exact"/>
        <w:rPr>
          <w:sz w:val="20"/>
          <w:szCs w:val="20"/>
          <w:color w:val="auto"/>
        </w:rPr>
      </w:pPr>
    </w:p>
    <w:p>
      <w:pPr>
        <w:ind w:right="3099" w:firstLine="180"/>
        <w:spacing w:after="0" w:line="244" w:lineRule="auto"/>
        <w:rPr>
          <w:sz w:val="20"/>
          <w:szCs w:val="20"/>
          <w:color w:val="auto"/>
        </w:rPr>
      </w:pPr>
      <w:r>
        <w:rPr>
          <w:rFonts w:ascii="Courier New" w:cs="Courier New" w:eastAsia="Courier New" w:hAnsi="Courier New"/>
          <w:sz w:val="15"/>
          <w:szCs w:val="15"/>
          <w:color w:val="auto"/>
        </w:rPr>
        <w:t>The Company has 401(k) profit-sharing plans ("RAM Plans") in which substantially all employees are participants.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$18.9 million in 1997, $16.9 million in 1996 and $16.1 million in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78" w:lineRule="exact"/>
        <w:rPr>
          <w:sz w:val="20"/>
          <w:szCs w:val="20"/>
          <w:color w:val="auto"/>
        </w:rPr>
      </w:pPr>
    </w:p>
    <w:p>
      <w:pPr>
        <w:ind w:right="3559" w:firstLine="180"/>
        <w:spacing w:after="0" w:line="278" w:lineRule="auto"/>
        <w:rPr>
          <w:sz w:val="20"/>
          <w:szCs w:val="20"/>
          <w:color w:val="auto"/>
        </w:rPr>
      </w:pPr>
      <w:r>
        <w:rPr>
          <w:rFonts w:ascii="Courier New" w:cs="Courier New" w:eastAsia="Courier New" w:hAnsi="Courier New"/>
          <w:sz w:val="14"/>
          <w:szCs w:val="14"/>
          <w:color w:val="auto"/>
        </w:rPr>
        <w:t>As of August 28, 1997, the Company had commitments of $561.6 million for equipment purchases and $42.9 million for the construction of buildings.</w:t>
      </w:r>
    </w:p>
    <w:p>
      <w:pPr>
        <w:spacing w:after="0" w:line="1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8" w:right="1440" w:bottom="1440" w:gutter="0" w:footer="0" w:header="0"/>
        </w:sectPr>
      </w:pPr>
    </w:p>
    <w:bookmarkStart w:id="38" w:name="page39"/>
    <w:bookmarkEnd w:id="38"/>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In 1996, MEI adopted and completed a plan to discontinue the manufacture and sale of ZEOS brand PC systems. The Company recorded a restructuring charge of $29.6 million in 1996, comprised principally of $14.5 million relating to the disposition of ZEOS components and systems and $13 million to write off unamortized goodwill.</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4"/>
        </w:trPr>
        <w:tc>
          <w:tcPr>
            <w:tcW w:w="6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8/28/97</w:t>
            </w:r>
          </w:p>
        </w:tc>
        <w:tc>
          <w:tcPr>
            <w:tcW w:w="36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8/29/96</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8/31/95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6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U.S. federal.....................................................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152.1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274.5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409.3</w:t>
            </w:r>
          </w:p>
        </w:tc>
      </w:tr>
      <w:tr>
        <w:trPr>
          <w:trHeight w:val="173"/>
        </w:trPr>
        <w:tc>
          <w:tcPr>
            <w:tcW w:w="6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64.6</w:t>
            </w:r>
          </w:p>
        </w:tc>
      </w:tr>
      <w:tr>
        <w:trPr>
          <w:trHeight w:val="173"/>
        </w:trPr>
        <w:tc>
          <w:tcPr>
            <w:tcW w:w="6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Foreign..........................................................</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174.7</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308.9</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480.9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6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U.S. federal.....................................................</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89.5</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45.5</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3"/>
        </w:trPr>
        <w:tc>
          <w:tcPr>
            <w:tcW w:w="6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State............................................................</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92.6</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9"/>
              </w:rPr>
              <w:t>Income tax provision................................................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267.3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506.4</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The tax benefit associated with the exercise of nonstatutory stock options and disqualifying dispositions by employees of shares issued in the Company's stock option and purchase plans reduced taxes payable by $15.9 million, $20.6 million and $13.6 million for 1997, 1996 and 1995, respectively. Such benefits are reflected as additional capital.</w:t>
      </w:r>
    </w:p>
    <w:p>
      <w:pPr>
        <w:spacing w:after="0" w:line="177" w:lineRule="exact"/>
        <w:rPr>
          <w:sz w:val="20"/>
          <w:szCs w:val="20"/>
          <w:color w:val="auto"/>
        </w:rPr>
      </w:pPr>
    </w:p>
    <w:p>
      <w:pPr>
        <w:ind w:right="3099" w:firstLine="180"/>
        <w:spacing w:after="0" w:line="243" w:lineRule="auto"/>
        <w:rPr>
          <w:sz w:val="20"/>
          <w:szCs w:val="20"/>
          <w:color w:val="auto"/>
        </w:rPr>
      </w:pPr>
      <w:r>
        <w:rPr>
          <w:rFonts w:ascii="Courier New" w:cs="Courier New" w:eastAsia="Courier New" w:hAnsi="Courier New"/>
          <w:sz w:val="15"/>
          <w:szCs w:val="15"/>
          <w:color w:val="auto"/>
        </w:rPr>
        <w:t>A reconciliation between income tax computed using the federal statutory rate and the income tax provision follows:</w:t>
      </w:r>
    </w:p>
    <w:p>
      <w:pPr>
        <w:spacing w:after="0" w:line="200" w:lineRule="exact"/>
        <w:rPr>
          <w:sz w:val="20"/>
          <w:szCs w:val="20"/>
          <w:color w:val="auto"/>
        </w:rPr>
      </w:pPr>
    </w:p>
    <w:p>
      <w:pPr>
        <w:spacing w:after="0" w:line="32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8/28/97</w:t>
            </w:r>
          </w:p>
        </w:tc>
        <w:tc>
          <w:tcPr>
            <w:tcW w:w="3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8/29/96</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8/31/95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U.S. federal income tax at statutory rate...........................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216.7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472.7</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47.4</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Basis difference in domestic subsidiaries...........................</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24.8</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267.3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506.4</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279" w:firstLine="180"/>
        <w:spacing w:after="0" w:line="243" w:lineRule="auto"/>
        <w:rPr>
          <w:sz w:val="20"/>
          <w:szCs w:val="20"/>
          <w:color w:val="auto"/>
        </w:rPr>
      </w:pPr>
      <w:r>
        <w:rPr>
          <w:rFonts w:ascii="Courier New" w:cs="Courier New" w:eastAsia="Courier New" w:hAnsi="Courier New"/>
          <w:sz w:val="15"/>
          <w:szCs w:val="15"/>
          <w:color w:val="auto"/>
        </w:rPr>
        <w:t>State taxes reflect utilization of investment tax credits of $15.3 million, $31.2 million and $19.1 million for 1997, 1996 and 1995, respectively.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8" w:right="1440" w:bottom="1440" w:gutter="0" w:footer="0" w:header="0"/>
        </w:sectPr>
      </w:pPr>
    </w:p>
    <w:bookmarkStart w:id="39" w:name="page40"/>
    <w:bookmarkEnd w:id="39"/>
    <w:p>
      <w:pPr>
        <w:jc w:val="center"/>
        <w:ind w:right="8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80" w:firstLine="180"/>
        <w:spacing w:after="0" w:line="244"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basis of assets and liabilities for financial reporting and income tax purposes. Deferred income tax assets totaled $160.4 million and $127.0 million and liabilities totaled $338.0 million and $219.4 million at August 28, 1997 and August 29, 1996, respectively. The approximate tax effects of temporary differences which give rise to the net deferred tax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Current deferred tax asset: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Accrued product and process technology.....................................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Accrued compensation.......................................................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operating loss acquired in merger......................................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Net deferred tax asset..................................................</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Noncurrent deferred tax asset (liability):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Excess tax over book depreciation..........................................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Accrued product and process technology.....................................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 subsidiary...................................................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w:t>
      </w:r>
    </w:p>
    <w:p>
      <w:pPr>
        <w:spacing w:after="0" w:line="178"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Net deferred tax liability..............................................</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net deferred tax liability..............................................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EXPORT SALES AND MAJOR CUSTOMERS</w:t>
      </w:r>
    </w:p>
    <w:p>
      <w:pPr>
        <w:spacing w:after="0" w:line="178" w:lineRule="exact"/>
        <w:rPr>
          <w:sz w:val="20"/>
          <w:szCs w:val="20"/>
          <w:color w:val="auto"/>
        </w:rPr>
      </w:pPr>
    </w:p>
    <w:p>
      <w:pPr>
        <w:ind w:right="80" w:firstLine="180"/>
        <w:spacing w:after="0" w:line="244" w:lineRule="auto"/>
        <w:rPr>
          <w:sz w:val="20"/>
          <w:szCs w:val="20"/>
          <w:color w:val="auto"/>
        </w:rPr>
      </w:pPr>
      <w:r>
        <w:rPr>
          <w:rFonts w:ascii="Courier New" w:cs="Courier New" w:eastAsia="Courier New" w:hAnsi="Courier New"/>
          <w:sz w:val="15"/>
          <w:szCs w:val="15"/>
          <w:color w:val="auto"/>
        </w:rPr>
        <w:t>Export sales were $735.4 million for 1997, including $291.3 million to Europe and $242.2 million to Asia Pacific, $65 million to Canada and $52 million to Japan. Export sales were $938.4 million and $753.7 million in 1996 and 1995, respectively. No customer individually accounted for 10% or more of the Company's total net sales.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8" w:lineRule="exact"/>
        <w:rPr>
          <w:sz w:val="20"/>
          <w:szCs w:val="20"/>
          <w:color w:val="auto"/>
        </w:rPr>
      </w:pPr>
    </w:p>
    <w:p>
      <w:pPr>
        <w:ind w:firstLine="180"/>
        <w:spacing w:after="0" w:line="244" w:lineRule="auto"/>
        <w:rPr>
          <w:sz w:val="20"/>
          <w:szCs w:val="20"/>
          <w:color w:val="auto"/>
        </w:rPr>
      </w:pPr>
      <w:r>
        <w:rPr>
          <w:rFonts w:ascii="Courier New" w:cs="Courier New" w:eastAsia="Courier New" w:hAnsi="Courier New"/>
          <w:sz w:val="15"/>
          <w:szCs w:val="15"/>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79" w:lineRule="exact"/>
        <w:rPr>
          <w:sz w:val="20"/>
          <w:szCs w:val="20"/>
          <w:color w:val="auto"/>
        </w:rPr>
      </w:pPr>
    </w:p>
    <w:p>
      <w:pPr>
        <w:ind w:firstLine="180"/>
        <w:spacing w:after="0" w:line="244" w:lineRule="auto"/>
        <w:rPr>
          <w:sz w:val="20"/>
          <w:szCs w:val="20"/>
          <w:color w:val="auto"/>
        </w:rPr>
      </w:pPr>
      <w:r>
        <w:rPr>
          <w:rFonts w:ascii="Courier New" w:cs="Courier New" w:eastAsia="Courier New" w:hAnsi="Courier New"/>
          <w:sz w:val="15"/>
          <w:szCs w:val="15"/>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8/28/97</w:t>
            </w:r>
          </w:p>
        </w:tc>
        <w:tc>
          <w:tcPr>
            <w:tcW w:w="36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8/29/96</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   16.3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62.2</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(191.6)</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w:t>
            </w:r>
          </w:p>
        </w:tc>
      </w:tr>
      <w:tr>
        <w:trPr>
          <w:trHeight w:val="173"/>
        </w:trPr>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(44.7)</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173"/>
        </w:trPr>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(25.2)</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(239.8)</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(157.4)</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 (177.6)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(92.4)</w:t>
            </w:r>
          </w:p>
        </w:tc>
      </w:tr>
      <w:tr>
        <w:trPr>
          <w:trHeight w:val="173"/>
        </w:trPr>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00" w:space="540"/>
            <w:col w:w="2479"/>
          </w:cols>
          <w:pgMar w:left="240" w:top="638" w:right="1440" w:bottom="1440" w:gutter="0" w:footer="0" w:header="0"/>
        </w:sectPr>
      </w:pPr>
    </w:p>
    <w:bookmarkStart w:id="40" w:name="page41"/>
    <w:bookmarkEnd w:id="40"/>
    <w:p>
      <w:pPr>
        <w:jc w:val="center"/>
        <w:ind w:right="3620"/>
        <w:spacing w:after="0"/>
        <w:rPr>
          <w:sz w:val="20"/>
          <w:szCs w:val="20"/>
          <w:color w:val="auto"/>
        </w:rPr>
      </w:pPr>
      <w:r>
        <w:rPr>
          <w:rFonts w:ascii="Courier New" w:cs="Courier New" w:eastAsia="Courier New" w:hAnsi="Courier New"/>
          <w:sz w:val="15"/>
          <w:szCs w:val="15"/>
          <w:color w:val="auto"/>
        </w:rPr>
        <w:t>QUARTERLY FINANCIAL AND MARKET INFORMATION (UNAUDITED)</w:t>
      </w:r>
    </w:p>
    <w:p>
      <w:pPr>
        <w:spacing w:after="0" w:line="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(Dollars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1997 QUARTER</w:t>
            </w:r>
          </w:p>
        </w:tc>
        <w:tc>
          <w:tcPr>
            <w:tcW w:w="14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1st</w:t>
            </w:r>
          </w:p>
        </w:tc>
        <w:tc>
          <w:tcPr>
            <w:tcW w:w="144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6"/>
              </w:rPr>
              <w:t>2nd</w:t>
            </w:r>
          </w:p>
        </w:tc>
        <w:tc>
          <w:tcPr>
            <w:tcW w:w="144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6"/>
              </w:rPr>
              <w:t>3rd</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4th</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728.1</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$ 876.2</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$ 965.0</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$ 946.2</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goods sold....................................</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572.9</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650.0</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658.8</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75.8</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94.9</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93.4</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100.9</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46.8</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62.3</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costs and expenses...........................</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695.9</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799.2</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796.0</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822.0</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income........................................</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169.0</w:t>
            </w:r>
          </w:p>
        </w:tc>
        <w:tc>
          <w:tcPr>
            <w:tcW w:w="7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Gain on sale of investments and subsidiary stock, net...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205.1</w:t>
            </w:r>
          </w:p>
        </w:tc>
        <w:tc>
          <w:tcPr>
            <w:tcW w:w="72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(expense) income, net..........................</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280.3</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170.5</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129.0</w:t>
            </w:r>
          </w:p>
        </w:tc>
      </w:tr>
      <w:tr>
        <w:trPr>
          <w:trHeight w:val="347"/>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tax provision....................................</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131.2</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67.8</w:t>
            </w:r>
          </w:p>
        </w:tc>
        <w:tc>
          <w:tcPr>
            <w:tcW w:w="7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Minority interests......................................</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$ 142.7</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96.8</w:t>
            </w:r>
          </w:p>
        </w:tc>
        <w:tc>
          <w:tcPr>
            <w:tcW w:w="7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Fully diluted earnings per share........................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0.10</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0.66</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0.44</w:t>
            </w:r>
          </w:p>
        </w:tc>
        <w:tc>
          <w:tcPr>
            <w:tcW w:w="7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Quarterly stock price:</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$ 34.750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$39.125</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$45.250</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$60.063</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Low...................................................</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20.375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29.000</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33.250</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38.375</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Dividends declared per share............................</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1996 Quarter</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sales...............................................</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$1,185.8</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$ 996.5</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$ 771.0</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$ 700.5</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goods sold....................................</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538.1</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552.1</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558.0</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550.2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75.4</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63.6</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48.0</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46.1</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Restructuring charge..................................</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costs and expenses...........................</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657.9</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705.4</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672.8</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677.2</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income........................................</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527.9</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291.1</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98.2</w:t>
            </w:r>
          </w:p>
        </w:tc>
        <w:tc>
          <w:tcPr>
            <w:tcW w:w="7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Gain (loss) on sale of investments and subsidiary</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net.............................................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income (expense), net..........................</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536.8</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w:t>
            </w:r>
          </w:p>
        </w:tc>
      </w:tr>
      <w:tr>
        <w:trPr>
          <w:trHeight w:val="347"/>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tax provision....................................</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204.6</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w:t>
            </w:r>
          </w:p>
        </w:tc>
        <w:tc>
          <w:tcPr>
            <w:tcW w:w="720" w:type="dxa"/>
            <w:vAlign w:val="bottom"/>
          </w:tcPr>
          <w:p>
            <w:pPr>
              <w:spacing w:after="0"/>
              <w:rPr>
                <w:sz w:val="24"/>
                <w:szCs w:val="2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w:t>
            </w:r>
          </w:p>
        </w:tc>
        <w:tc>
          <w:tcPr>
            <w:tcW w:w="720" w:type="dxa"/>
            <w:vAlign w:val="bottom"/>
          </w:tcPr>
          <w:p>
            <w:pPr>
              <w:spacing w:after="0"/>
              <w:rPr>
                <w:sz w:val="24"/>
                <w:szCs w:val="2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Minority interests......................................</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328.5</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$ 188.2</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w:t>
            </w:r>
          </w:p>
        </w:tc>
        <w:tc>
          <w:tcPr>
            <w:tcW w:w="7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w:t>
            </w:r>
          </w:p>
        </w:tc>
      </w:tr>
      <w:tr>
        <w:trPr>
          <w:trHeight w:val="173"/>
        </w:trPr>
        <w:tc>
          <w:tcPr>
            <w:tcW w:w="51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Fully diluted earnings per share........................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0.87</w:t>
            </w:r>
          </w:p>
        </w:tc>
        <w:tc>
          <w:tcPr>
            <w:tcW w:w="720" w:type="dxa"/>
            <w:vAlign w:val="bottom"/>
          </w:tcPr>
          <w:p>
            <w:pPr>
              <w:jc w:val="center"/>
              <w:ind w:lef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0.27</w:t>
            </w:r>
          </w:p>
        </w:tc>
        <w:tc>
          <w:tcPr>
            <w:tcW w:w="7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0.09</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Quarterly stock price:</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High..................................................</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$ 94.375</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$54.750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$38.375</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$32.125</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Low...................................................</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47.750</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30.875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28.500</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17.250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Dividends declared per share............................</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7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72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28, 1997, the Company had 7,374 shareholders of record.</w:t>
      </w:r>
    </w:p>
    <w:p>
      <w:pPr>
        <w:spacing w:after="0" w:line="178" w:lineRule="exact"/>
        <w:rPr>
          <w:sz w:val="20"/>
          <w:szCs w:val="20"/>
          <w:color w:val="auto"/>
        </w:rPr>
      </w:pPr>
    </w:p>
    <w:p>
      <w:pPr>
        <w:jc w:val="both"/>
        <w:ind w:right="3620" w:firstLine="180"/>
        <w:spacing w:after="0" w:line="244" w:lineRule="auto"/>
        <w:rPr>
          <w:sz w:val="20"/>
          <w:szCs w:val="20"/>
          <w:color w:val="auto"/>
        </w:rPr>
      </w:pPr>
      <w:r>
        <w:rPr>
          <w:rFonts w:ascii="Courier New" w:cs="Courier New" w:eastAsia="Courier New" w:hAnsi="Courier New"/>
          <w:sz w:val="15"/>
          <w:szCs w:val="15"/>
          <w:color w:val="auto"/>
        </w:rPr>
        <w:t>Net gain on sales of investments and subsidiary stock in the second quarter of 1997 includes a pre-tax gain of $190 million for the sale of 15.4 million shares of common stock of MEI.</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820"/>
          </w:cols>
          <w:pgMar w:left="240" w:top="638" w:right="839" w:bottom="1440" w:gutter="0" w:footer="0" w:header="0"/>
        </w:sectPr>
      </w:pPr>
    </w:p>
    <w:bookmarkStart w:id="41" w:name="page42"/>
    <w:bookmarkEnd w:id="41"/>
    <w:p>
      <w:pPr>
        <w:ind w:right="3019" w:firstLine="180"/>
        <w:spacing w:after="0" w:line="244" w:lineRule="auto"/>
        <w:rPr>
          <w:sz w:val="20"/>
          <w:szCs w:val="20"/>
          <w:color w:val="auto"/>
        </w:rPr>
      </w:pPr>
      <w:r>
        <w:rPr>
          <w:rFonts w:ascii="Courier New" w:cs="Courier New" w:eastAsia="Courier New" w:hAnsi="Courier New"/>
          <w:sz w:val="15"/>
          <w:szCs w:val="15"/>
          <w:color w:val="auto"/>
        </w:rPr>
        <w:t>Results of operations in the fourth quarter of 1996 benefited from 1) a pre-tax reduction of cost of goods sold of $54.9 million for the release of previously established accruals upon resolution of product and process rights contingencies, 2) a $6.6 million pre-tax gain from disposal of equipment which is included in selling, general and administrative expense and 3) a decrease in the estimated effective income tax rate for fiscal 1996, resulting in a reduction of income tax expense of approximately $6.1 million. Selling, general and administrative expenses for the fourth quarter of 1996 include a $9 million pre-tax charge for estimated selling costs on computer systems.</w:t>
      </w:r>
    </w:p>
    <w:p>
      <w:pPr>
        <w:spacing w:after="0" w:line="179" w:lineRule="exact"/>
        <w:rPr>
          <w:sz w:val="20"/>
          <w:szCs w:val="20"/>
          <w:color w:val="auto"/>
        </w:rPr>
      </w:pPr>
    </w:p>
    <w:p>
      <w:pPr>
        <w:ind w:right="3459" w:firstLine="180"/>
        <w:spacing w:after="0" w:line="243" w:lineRule="auto"/>
        <w:rPr>
          <w:sz w:val="20"/>
          <w:szCs w:val="20"/>
          <w:color w:val="auto"/>
        </w:rPr>
      </w:pPr>
      <w:r>
        <w:rPr>
          <w:rFonts w:ascii="Courier New" w:cs="Courier New" w:eastAsia="Courier New" w:hAnsi="Courier New"/>
          <w:sz w:val="15"/>
          <w:szCs w:val="15"/>
          <w:color w:val="auto"/>
        </w:rPr>
        <w:t>Selling, general and administrative expenses in the third quarter of 1996 reflect a $12.0 million pre-tax gain from disposal of equipment.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8" w:right="1440" w:bottom="1440" w:gutter="0" w:footer="0" w:header="0"/>
        </w:sectPr>
      </w:pPr>
    </w:p>
    <w:bookmarkStart w:id="42" w:name="page43"/>
    <w:bookmarkEnd w:id="42"/>
    <w:p>
      <w:pPr>
        <w:ind w:left="20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Shareholders and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78" w:lineRule="exact"/>
        <w:rPr>
          <w:sz w:val="20"/>
          <w:szCs w:val="20"/>
          <w:color w:val="auto"/>
        </w:rPr>
      </w:pPr>
    </w:p>
    <w:p>
      <w:pPr>
        <w:ind w:right="3199" w:firstLine="180"/>
        <w:spacing w:after="0" w:line="244" w:lineRule="auto"/>
        <w:rPr>
          <w:sz w:val="20"/>
          <w:szCs w:val="20"/>
          <w:color w:val="auto"/>
        </w:rPr>
      </w:pPr>
      <w:r>
        <w:rPr>
          <w:rFonts w:ascii="Courier New" w:cs="Courier New" w:eastAsia="Courier New" w:hAnsi="Courier New"/>
          <w:sz w:val="15"/>
          <w:szCs w:val="15"/>
          <w:color w:val="auto"/>
        </w:rPr>
        <w:t>We have audited the consolidated financial statements of Micron Technology, Inc., listed in the index on page 25 of this Form 10-K.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19" w:firstLine="180"/>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Micron Technology, Inc., as of August 28, 1997, and August 29, 1996, and their consolidated results of operations and cash flows for each of the three years in the period ended August 28, 1997, in conformity with generally accepted accounting principles.</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 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 1997</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8" w:right="1440" w:bottom="1440" w:gutter="0" w:footer="0" w:header="0"/>
        </w:sectPr>
      </w:pPr>
    </w:p>
    <w:bookmarkStart w:id="43" w:name="page44"/>
    <w:bookmarkEnd w:id="43"/>
    <w:p>
      <w:pPr>
        <w:ind w:right="3739"/>
        <w:spacing w:after="0" w:line="243"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28, 1997, and is incorporated herein by reference.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9" w:right="1440" w:bottom="1440" w:gutter="0" w:footer="0" w:header="0"/>
        </w:sectPr>
      </w:pPr>
    </w:p>
    <w:bookmarkStart w:id="44" w:name="page45"/>
    <w:bookmarkEnd w:id="44"/>
    <w:p>
      <w:pPr>
        <w:ind w:left="3248"/>
        <w:spacing w:after="0"/>
        <w:rPr>
          <w:sz w:val="20"/>
          <w:szCs w:val="20"/>
          <w:color w:val="auto"/>
        </w:rPr>
      </w:pPr>
      <w:r>
        <w:rPr>
          <w:rFonts w:ascii="Courier New" w:cs="Courier New" w:eastAsia="Courier New" w:hAnsi="Courier New"/>
          <w:sz w:val="15"/>
          <w:szCs w:val="15"/>
          <w:color w:val="auto"/>
        </w:rPr>
        <w:t>PART IV</w:t>
      </w:r>
    </w:p>
    <w:p>
      <w:pPr>
        <w:spacing w:after="0" w:line="177"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(a) The following documents are filed as part of this report:</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Consolidated financial statements and financial statement schedules--see "Item</w:t>
      </w:r>
    </w:p>
    <w:p>
      <w:pPr>
        <w:spacing w:after="0" w:line="4" w:lineRule="exact"/>
        <w:rPr>
          <w:sz w:val="20"/>
          <w:szCs w:val="20"/>
          <w:color w:val="auto"/>
        </w:rPr>
      </w:pPr>
    </w:p>
    <w:p>
      <w:pPr>
        <w:ind w:left="8" w:right="3099" w:hanging="8"/>
        <w:spacing w:after="0" w:line="243" w:lineRule="auto"/>
        <w:tabs>
          <w:tab w:leader="none" w:pos="2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Supplementary Data--Notes to Consolidated Financial Statements--Contingencies."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9360" w:type="dxa"/>
            <w:vAlign w:val="bottom"/>
            <w:gridSpan w:val="2"/>
          </w:tcPr>
          <w:p>
            <w:pPr>
              <w:spacing w:after="0"/>
              <w:rPr>
                <w:sz w:val="20"/>
                <w:szCs w:val="20"/>
                <w:color w:val="auto"/>
              </w:rPr>
            </w:pPr>
            <w:r>
              <w:rPr>
                <w:rFonts w:ascii="Courier New" w:cs="Courier New" w:eastAsia="Courier New" w:hAnsi="Courier New"/>
                <w:sz w:val="15"/>
                <w:szCs w:val="15"/>
                <w:color w:val="auto"/>
              </w:rPr>
              <w:t>- - - ----------  -----------</w:t>
            </w:r>
          </w:p>
        </w:tc>
      </w:tr>
      <w:tr>
        <w:trPr>
          <w:trHeight w:val="347"/>
        </w:trPr>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Certificate of Incorporation of the Registrant, as amended. (6)</w:t>
            </w:r>
          </w:p>
        </w:tc>
      </w:tr>
      <w:tr>
        <w:trPr>
          <w:trHeight w:val="173"/>
        </w:trPr>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Bylaws of the Registrant, as amended. (8)</w:t>
            </w:r>
          </w:p>
        </w:tc>
      </w:tr>
      <w:tr>
        <w:trPr>
          <w:trHeight w:val="173"/>
        </w:trPr>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4.1</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Indenture, dated as of June 15, 1997, between the Registrant and the Trustee, relating to</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the Registrant's subordinated debt securities. (11)</w:t>
            </w:r>
          </w:p>
        </w:tc>
      </w:tr>
      <w:tr>
        <w:trPr>
          <w:trHeight w:val="173"/>
        </w:trPr>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4.2</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Supplemental Trust Indenture, dated as of June 15, 1997, between the Registrant and the</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Trustee, relating to the Notes (including the form of Note). (11)</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10.82</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w w:val="99"/>
              </w:rPr>
              <w:t>Form of Indemnification Agreement between the Registrant and its officers and directors. (1)</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10.91</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Board Resolution regarding stock and bonus plan vesting schedules in the event of change</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in control of the Registrant. (2)</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10.92</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Additional provisions related to Management Bonus Arrangements for Certain Executive</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Officers. (2)</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10.100</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1985 Incentive Stock Option Plan. (3)</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10.103</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Real Estate Agreement and Addendum dated May 29, 1991, between the Registrant and</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Thomas T. Nicholson, Allen T. Noble, Don J. Simplot, J. R. Simplot, Ronald C. Yanke,</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Semienterprises, a partnership and Macron, a partnership. (4)</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10.109</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Form of Management bonus arrangements for Executive Officers of Micron Technology,</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Inc., and Micron Semiconductor, Inc., for 1994. (5)</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10.110</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1994 Stock Option Plan. (6)</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10.111</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Executive Bonus Plan. (6)</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10.112</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Forms of Severance Agreement. (7)</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10.113</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Nonstatutory Stock Option Plan</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10.114</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1997 Nonstatutory Stock Option Plan</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10.116</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Registration Rights Agreement dated as of June 28, 1996, between the Registrant and</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Canadian Imperial Bank of Commerce. (8)</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10.117</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Registration Rights Agreement dated as of July 29, 1996, between the Registrant and</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Canadian Imperial Bank of Commerce. (8)</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10.118</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Irrevocable Proxy dated June 28, 1996, by Canadian Imperial Bank of Commerce in favor of</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Micron Technology, Inc. (8)</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10.119</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Irrevocable Proxy dated July 29, 1996, by J. R. Simplot Company in favor of Micron</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Technology, Inc. (8)</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10.120</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w w:val="99"/>
              </w:rPr>
              <w:t>Form of Agreement and Amendment to Severance Agreement between the Company and its executive</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officers. (9)</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10.121</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First Amended and Restated Credit Agreement dated May 28,1 997, among the Registrant and</w:t>
            </w:r>
          </w:p>
        </w:tc>
      </w:tr>
      <w:tr>
        <w:trPr>
          <w:trHeight w:val="173"/>
        </w:trPr>
        <w:tc>
          <w:tcPr>
            <w:tcW w:w="900" w:type="dxa"/>
            <w:vAlign w:val="bottom"/>
          </w:tcPr>
          <w:p>
            <w:pPr>
              <w:spacing w:after="0"/>
              <w:rPr>
                <w:sz w:val="15"/>
                <w:szCs w:val="15"/>
                <w:color w:val="auto"/>
              </w:rPr>
            </w:pP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several financial institutions. (10)</w:t>
            </w:r>
          </w:p>
        </w:tc>
      </w:tr>
      <w:tr>
        <w:trPr>
          <w:trHeight w:val="173"/>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11.1</w:t>
            </w:r>
          </w:p>
        </w:tc>
        <w:tc>
          <w:tcPr>
            <w:tcW w:w="8460" w:type="dxa"/>
            <w:vAlign w:val="bottom"/>
          </w:tcPr>
          <w:p>
            <w:pPr>
              <w:ind w:left="180"/>
              <w:spacing w:after="0"/>
              <w:rPr>
                <w:sz w:val="20"/>
                <w:szCs w:val="20"/>
                <w:color w:val="auto"/>
              </w:rPr>
            </w:pPr>
            <w:r>
              <w:rPr>
                <w:rFonts w:ascii="Courier New" w:cs="Courier New" w:eastAsia="Courier New" w:hAnsi="Courier New"/>
                <w:sz w:val="15"/>
                <w:szCs w:val="15"/>
                <w:color w:val="auto"/>
              </w:rPr>
              <w:t>Computation of Per Share Earnings.</w:t>
            </w:r>
          </w:p>
        </w:tc>
      </w:tr>
      <w:tr>
        <w:trPr>
          <w:trHeight w:val="520"/>
        </w:trPr>
        <w:tc>
          <w:tcPr>
            <w:tcW w:w="900" w:type="dxa"/>
            <w:vAlign w:val="bottom"/>
          </w:tcPr>
          <w:p>
            <w:pPr>
              <w:spacing w:after="0"/>
              <w:rPr>
                <w:sz w:val="24"/>
                <w:szCs w:val="24"/>
                <w:color w:val="auto"/>
              </w:rPr>
            </w:pPr>
          </w:p>
        </w:tc>
        <w:tc>
          <w:tcPr>
            <w:tcW w:w="8460" w:type="dxa"/>
            <w:vAlign w:val="bottom"/>
          </w:tcPr>
          <w:p>
            <w:pPr>
              <w:ind w:left="2520"/>
              <w:spacing w:after="0"/>
              <w:rPr>
                <w:sz w:val="20"/>
                <w:szCs w:val="20"/>
                <w:color w:val="auto"/>
              </w:rPr>
            </w:pPr>
            <w:r>
              <w:rPr>
                <w:rFonts w:ascii="Courier New" w:cs="Courier New" w:eastAsia="Courier New" w:hAnsi="Courier New"/>
                <w:sz w:val="15"/>
                <w:szCs w:val="15"/>
                <w:color w:val="auto"/>
              </w:rPr>
              <w:t>45</w:t>
            </w:r>
          </w:p>
        </w:tc>
      </w:tr>
    </w:tbl>
    <w:p>
      <w:pPr>
        <w:sectPr>
          <w:pgSz w:w="11900" w:h="16838" w:orient="portrait"/>
          <w:cols w:equalWidth="0" w:num="1">
            <w:col w:w="10227"/>
          </w:cols>
          <w:pgMar w:left="232" w:top="638" w:right="1440" w:bottom="1440" w:gutter="0" w:footer="0" w:header="0"/>
        </w:sectPr>
      </w:pPr>
    </w:p>
    <w:bookmarkStart w:id="45" w:name="page46"/>
    <w:bookmarkEnd w:id="45"/>
    <w:p>
      <w:pPr>
        <w:ind w:left="8"/>
        <w:spacing w:after="0"/>
        <w:tabs>
          <w:tab w:leader="none" w:pos="1067"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21.1</w:t>
      </w:r>
      <w:r>
        <w:rPr>
          <w:rFonts w:ascii="Courier New" w:cs="Courier New" w:eastAsia="Courier New" w:hAnsi="Courier New"/>
          <w:sz w:val="14"/>
          <w:szCs w:val="14"/>
          <w:color w:val="auto"/>
        </w:rPr>
        <w:t>Subsidiaries of the Registrant.</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Independent Accountants.</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27.1</w:t>
      </w:r>
      <w:r>
        <w:rPr>
          <w:rFonts w:ascii="Courier New" w:cs="Courier New" w:eastAsia="Courier New" w:hAnsi="Courier New"/>
          <w:sz w:val="14"/>
          <w:szCs w:val="14"/>
          <w:color w:val="auto"/>
        </w:rPr>
        <w:t>Financial Data Schedule.</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908" w:hanging="727"/>
        <w:spacing w:after="0"/>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Proxy Statement for the 1986 Annual Meeting of Shareholders.</w:t>
      </w:r>
    </w:p>
    <w:p>
      <w:pPr>
        <w:spacing w:after="0" w:line="4" w:lineRule="exact"/>
        <w:rPr>
          <w:rFonts w:ascii="Courier New" w:cs="Courier New" w:eastAsia="Courier New" w:hAnsi="Courier New"/>
          <w:sz w:val="15"/>
          <w:szCs w:val="15"/>
          <w:color w:val="auto"/>
        </w:rPr>
      </w:pPr>
    </w:p>
    <w:p>
      <w:pPr>
        <w:ind w:left="908" w:hanging="727"/>
        <w:spacing w:after="0"/>
        <w:tabs>
          <w:tab w:leader="none" w:pos="908"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1989.</w:t>
      </w:r>
    </w:p>
    <w:p>
      <w:pPr>
        <w:spacing w:after="0" w:line="14" w:lineRule="exact"/>
        <w:rPr>
          <w:rFonts w:ascii="Courier New" w:cs="Courier New" w:eastAsia="Courier New" w:hAnsi="Courier New"/>
          <w:sz w:val="14"/>
          <w:szCs w:val="14"/>
          <w:color w:val="auto"/>
        </w:rPr>
      </w:pPr>
    </w:p>
    <w:p>
      <w:pPr>
        <w:ind w:left="908" w:right="679" w:hanging="727"/>
        <w:spacing w:after="0" w:line="243" w:lineRule="auto"/>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Statements on Forms S-8 (Reg. Nos. 33-38665, 33-38926, and 33-52653).</w:t>
      </w:r>
    </w:p>
    <w:p>
      <w:pPr>
        <w:spacing w:after="0" w:line="2" w:lineRule="exact"/>
        <w:rPr>
          <w:rFonts w:ascii="Courier New" w:cs="Courier New" w:eastAsia="Courier New" w:hAnsi="Courier New"/>
          <w:sz w:val="15"/>
          <w:szCs w:val="15"/>
          <w:color w:val="auto"/>
        </w:rPr>
      </w:pPr>
    </w:p>
    <w:p>
      <w:pPr>
        <w:ind w:left="908" w:right="859" w:hanging="727"/>
        <w:spacing w:after="0" w:line="243" w:lineRule="auto"/>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September 3, 1992.</w:t>
      </w:r>
    </w:p>
    <w:p>
      <w:pPr>
        <w:spacing w:after="0" w:line="2" w:lineRule="exact"/>
        <w:rPr>
          <w:rFonts w:ascii="Courier New" w:cs="Courier New" w:eastAsia="Courier New" w:hAnsi="Courier New"/>
          <w:sz w:val="15"/>
          <w:szCs w:val="15"/>
          <w:color w:val="auto"/>
        </w:rPr>
      </w:pPr>
    </w:p>
    <w:p>
      <w:pPr>
        <w:ind w:left="908" w:right="859" w:hanging="727"/>
        <w:spacing w:after="0" w:line="243" w:lineRule="auto"/>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September 2, 1993.</w:t>
      </w:r>
    </w:p>
    <w:p>
      <w:pPr>
        <w:spacing w:after="0" w:line="2" w:lineRule="exact"/>
        <w:rPr>
          <w:rFonts w:ascii="Courier New" w:cs="Courier New" w:eastAsia="Courier New" w:hAnsi="Courier New"/>
          <w:sz w:val="15"/>
          <w:szCs w:val="15"/>
          <w:color w:val="auto"/>
        </w:rPr>
      </w:pPr>
    </w:p>
    <w:p>
      <w:pPr>
        <w:ind w:left="908" w:hanging="727"/>
        <w:spacing w:after="0"/>
        <w:tabs>
          <w:tab w:leader="none" w:pos="908"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1995.</w:t>
      </w:r>
    </w:p>
    <w:p>
      <w:pPr>
        <w:spacing w:after="0" w:line="14" w:lineRule="exact"/>
        <w:rPr>
          <w:rFonts w:ascii="Courier New" w:cs="Courier New" w:eastAsia="Courier New" w:hAnsi="Courier New"/>
          <w:sz w:val="14"/>
          <w:szCs w:val="14"/>
          <w:color w:val="auto"/>
        </w:rPr>
      </w:pPr>
    </w:p>
    <w:p>
      <w:pPr>
        <w:ind w:left="908" w:right="679" w:hanging="727"/>
        <w:spacing w:after="0" w:line="243" w:lineRule="auto"/>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February 29, 1996.</w:t>
      </w:r>
    </w:p>
    <w:p>
      <w:pPr>
        <w:spacing w:after="0" w:line="2" w:lineRule="exact"/>
        <w:rPr>
          <w:rFonts w:ascii="Courier New" w:cs="Courier New" w:eastAsia="Courier New" w:hAnsi="Courier New"/>
          <w:sz w:val="15"/>
          <w:szCs w:val="15"/>
          <w:color w:val="auto"/>
        </w:rPr>
      </w:pPr>
    </w:p>
    <w:p>
      <w:pPr>
        <w:ind w:left="908" w:hanging="727"/>
        <w:spacing w:after="0"/>
        <w:tabs>
          <w:tab w:leader="none" w:pos="908"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29, 1996.</w:t>
      </w:r>
    </w:p>
    <w:p>
      <w:pPr>
        <w:spacing w:after="0" w:line="14" w:lineRule="exact"/>
        <w:rPr>
          <w:rFonts w:ascii="Courier New" w:cs="Courier New" w:eastAsia="Courier New" w:hAnsi="Courier New"/>
          <w:sz w:val="14"/>
          <w:szCs w:val="14"/>
          <w:color w:val="auto"/>
        </w:rPr>
      </w:pPr>
    </w:p>
    <w:p>
      <w:pPr>
        <w:ind w:left="908" w:right="679" w:hanging="727"/>
        <w:spacing w:after="0" w:line="243" w:lineRule="auto"/>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February 27, 1997.</w:t>
      </w:r>
    </w:p>
    <w:p>
      <w:pPr>
        <w:spacing w:after="0" w:line="2" w:lineRule="exact"/>
        <w:rPr>
          <w:rFonts w:ascii="Courier New" w:cs="Courier New" w:eastAsia="Courier New" w:hAnsi="Courier New"/>
          <w:sz w:val="15"/>
          <w:szCs w:val="15"/>
          <w:color w:val="auto"/>
        </w:rPr>
      </w:pPr>
    </w:p>
    <w:p>
      <w:pPr>
        <w:ind w:left="908" w:right="759" w:hanging="817"/>
        <w:spacing w:after="0" w:line="243" w:lineRule="auto"/>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Quarterly Report on Form 10-Q for the fiscal quarter ended May 29, 1997.</w:t>
      </w:r>
    </w:p>
    <w:p>
      <w:pPr>
        <w:spacing w:after="0" w:line="1" w:lineRule="exact"/>
        <w:rPr>
          <w:rFonts w:ascii="Courier New" w:cs="Courier New" w:eastAsia="Courier New" w:hAnsi="Courier New"/>
          <w:sz w:val="15"/>
          <w:szCs w:val="15"/>
          <w:color w:val="auto"/>
        </w:rPr>
      </w:pPr>
    </w:p>
    <w:p>
      <w:pPr>
        <w:ind w:left="908" w:hanging="817"/>
        <w:spacing w:after="0"/>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Current Report on Form 8-K filed on July 3, 1997.</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 numbers from Registration Statement on Form S-1 (Reg. No. 2-93343)</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retained, where applicable.</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Reports on Form 8-K:</w:t>
      </w:r>
    </w:p>
    <w:p>
      <w:pPr>
        <w:spacing w:after="0" w:line="178" w:lineRule="exact"/>
        <w:rPr>
          <w:sz w:val="20"/>
          <w:szCs w:val="20"/>
          <w:color w:val="auto"/>
        </w:rPr>
      </w:pPr>
    </w:p>
    <w:p>
      <w:pPr>
        <w:ind w:left="8" w:right="3819" w:firstLine="180"/>
        <w:spacing w:after="0" w:line="244" w:lineRule="auto"/>
        <w:rPr>
          <w:sz w:val="20"/>
          <w:szCs w:val="20"/>
          <w:color w:val="auto"/>
        </w:rPr>
      </w:pPr>
      <w:r>
        <w:rPr>
          <w:rFonts w:ascii="Courier New" w:cs="Courier New" w:eastAsia="Courier New" w:hAnsi="Courier New"/>
          <w:sz w:val="15"/>
          <w:szCs w:val="15"/>
          <w:color w:val="auto"/>
        </w:rPr>
        <w:t>On July 3, 1997 the Registrant filed a Report on Form 8-K relating to documents used in connection with its public offering of convertible subordinated notes.</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1158" w:right="1440" w:bottom="1440" w:gutter="0" w:footer="0" w:header="0"/>
        </w:sectPr>
      </w:pPr>
    </w:p>
    <w:bookmarkStart w:id="46" w:name="page47"/>
    <w:bookmarkEnd w:id="46"/>
    <w:p>
      <w:pPr>
        <w:ind w:left="306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180"/>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BOISE, STATE OF IDAHO, ON THE 7TH DAY OF OCTOBER, 1997.</w:t>
      </w:r>
    </w:p>
    <w:p>
      <w:pPr>
        <w:spacing w:after="0" w:line="349"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MICRON TECHNOLOGY, INC.</w:t>
      </w:r>
    </w:p>
    <w:p>
      <w:pPr>
        <w:spacing w:after="0" w:line="350" w:lineRule="exact"/>
        <w:rPr>
          <w:sz w:val="20"/>
          <w:szCs w:val="20"/>
          <w:color w:val="auto"/>
        </w:rPr>
      </w:pPr>
    </w:p>
    <w:p>
      <w:pPr>
        <w:ind w:left="3148"/>
        <w:spacing w:after="0"/>
        <w:tabs>
          <w:tab w:leader="none" w:pos="3767"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WILBUR G. STOVER, JR.</w:t>
      </w:r>
    </w:p>
    <w:p>
      <w:pPr>
        <w:spacing w:after="0" w:line="4" w:lineRule="exact"/>
        <w:rPr>
          <w:sz w:val="20"/>
          <w:szCs w:val="20"/>
          <w:color w:val="auto"/>
        </w:rPr>
      </w:pPr>
    </w:p>
    <w:p>
      <w:pPr>
        <w:ind w:left="342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WILBUR G. STOVER, JR.,</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Vice President of Finance,</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ind w:left="3248"/>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188" w:lineRule="exact"/>
        <w:rPr>
          <w:sz w:val="20"/>
          <w:szCs w:val="20"/>
          <w:color w:val="auto"/>
        </w:rPr>
      </w:pPr>
    </w:p>
    <w:p>
      <w:pPr>
        <w:ind w:left="8" w:right="3279" w:firstLine="180"/>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0227"/>
          </w:cols>
          <w:pgMar w:left="232" w:top="638"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728"/>
        <w:spacing w:after="0"/>
        <w:rPr>
          <w:sz w:val="20"/>
          <w:szCs w:val="20"/>
          <w:color w:val="auto"/>
        </w:rPr>
      </w:pPr>
      <w:r>
        <w:rPr>
          <w:rFonts w:ascii="Courier New" w:cs="Courier New" w:eastAsia="Courier New" w:hAnsi="Courier New"/>
          <w:sz w:val="14"/>
          <w:szCs w:val="14"/>
          <w:color w:val="auto"/>
        </w:rPr>
        <w:t>Signature</w:t>
      </w:r>
    </w:p>
    <w:p>
      <w:pPr>
        <w:spacing w:after="0" w:line="15" w:lineRule="exact"/>
        <w:rPr>
          <w:sz w:val="20"/>
          <w:szCs w:val="20"/>
          <w:color w:val="auto"/>
        </w:rPr>
      </w:pPr>
    </w:p>
    <w:p>
      <w:pPr>
        <w:ind w:left="72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3428" w:space="720"/>
            <w:col w:w="1980" w:space="720"/>
            <w:col w:w="3379"/>
          </w:cols>
          <w:pgMar w:left="232" w:top="638" w:right="1440" w:bottom="1440" w:gutter="0" w:footer="0" w:header="0"/>
          <w:type w:val="continuous"/>
        </w:sectPr>
      </w:pPr>
    </w:p>
    <w:p>
      <w:pPr>
        <w:spacing w:after="0" w:line="1"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/S/ 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October 7, 1997</w:t>
      </w:r>
    </w:p>
    <w:p>
      <w:pPr>
        <w:spacing w:after="0" w:line="4" w:lineRule="exact"/>
        <w:rPr>
          <w:sz w:val="20"/>
          <w:szCs w:val="20"/>
          <w:color w:val="auto"/>
        </w:rPr>
      </w:pPr>
    </w:p>
    <w:p>
      <w:pPr>
        <w:sectPr>
          <w:pgSz w:w="11900" w:h="16838" w:orient="portrait"/>
          <w:cols w:equalWidth="0" w:num="3">
            <w:col w:w="2888" w:space="720"/>
            <w:col w:w="2160" w:space="720"/>
            <w:col w:w="373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227"/>
          </w:cols>
          <w:pgMar w:left="232" w:top="638" w:right="1440" w:bottom="1440" w:gutter="0" w:footer="0" w:header="0"/>
          <w:type w:val="continuous"/>
        </w:sectPr>
      </w:pPr>
    </w:p>
    <w:p>
      <w:pPr>
        <w:spacing w:after="0" w:line="15"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President</w:t>
      </w:r>
    </w:p>
    <w:p>
      <w:pPr>
        <w:spacing w:after="0" w:line="177" w:lineRule="exact"/>
        <w:rPr>
          <w:sz w:val="20"/>
          <w:szCs w:val="20"/>
          <w:color w:val="auto"/>
        </w:rPr>
      </w:pPr>
    </w:p>
    <w:p>
      <w:pPr>
        <w:sectPr>
          <w:pgSz w:w="11900" w:h="16838" w:orient="portrait"/>
          <w:cols w:equalWidth="0" w:num="2">
            <w:col w:w="2888" w:space="720"/>
            <w:col w:w="6619"/>
          </w:cols>
          <w:pgMar w:left="232" w:top="638" w:right="1440" w:bottom="1440" w:gutter="0" w:footer="0" w:header="0"/>
          <w:type w:val="continuous"/>
        </w:sectPr>
      </w:pPr>
    </w:p>
    <w:p>
      <w:pPr>
        <w:spacing w:after="0" w:line="1"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/S/ JAMES W. BAGLEY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jc w:val="center"/>
        <w:ind w:right="2379"/>
        <w:spacing w:after="0"/>
        <w:rPr>
          <w:sz w:val="20"/>
          <w:szCs w:val="20"/>
          <w:color w:val="auto"/>
        </w:rPr>
      </w:pPr>
      <w:r>
        <w:rPr>
          <w:rFonts w:ascii="Courier New" w:cs="Courier New" w:eastAsia="Courier New" w:hAnsi="Courier New"/>
          <w:sz w:val="15"/>
          <w:szCs w:val="15"/>
          <w:color w:val="auto"/>
        </w:rPr>
        <w:t>October 7, 1997</w:t>
      </w:r>
    </w:p>
    <w:p>
      <w:pPr>
        <w:spacing w:after="0" w:line="4" w:lineRule="exact"/>
        <w:rPr>
          <w:sz w:val="20"/>
          <w:szCs w:val="20"/>
          <w:color w:val="auto"/>
        </w:rPr>
      </w:pPr>
    </w:p>
    <w:p>
      <w:pPr>
        <w:sectPr>
          <w:pgSz w:w="11900" w:h="16838" w:orient="portrait"/>
          <w:cols w:equalWidth="0" w:num="3">
            <w:col w:w="2888" w:space="720"/>
            <w:col w:w="2160" w:space="720"/>
            <w:col w:w="3739"/>
          </w:cols>
          <w:pgMar w:left="232" w:top="638"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(JAMES W. BAGLEY)</w:t>
      </w:r>
    </w:p>
    <w:p>
      <w:pPr>
        <w:sectPr>
          <w:pgSz w:w="11900" w:h="16838" w:orient="portrait"/>
          <w:cols w:equalWidth="0" w:num="1">
            <w:col w:w="10227"/>
          </w:cols>
          <w:pgMar w:left="232" w:top="638" w:right="1440" w:bottom="1440" w:gutter="0" w:footer="0" w:header="0"/>
          <w:type w:val="continuous"/>
        </w:sectPr>
      </w:pPr>
    </w:p>
    <w:p>
      <w:pPr>
        <w:spacing w:after="0" w:line="177" w:lineRule="exact"/>
        <w:rPr>
          <w:sz w:val="20"/>
          <w:szCs w:val="20"/>
          <w:color w:val="auto"/>
        </w:rPr>
      </w:pPr>
    </w:p>
    <w:p>
      <w:pPr>
        <w:ind w:left="188"/>
        <w:spacing w:after="0"/>
        <w:tabs>
          <w:tab w:leader="none" w:pos="3587" w:val="left"/>
          <w:tab w:leader="none" w:pos="6467" w:val="left"/>
        </w:tabs>
        <w:rPr>
          <w:sz w:val="20"/>
          <w:szCs w:val="20"/>
          <w:color w:val="auto"/>
        </w:rPr>
      </w:pPr>
      <w:r>
        <w:rPr>
          <w:rFonts w:ascii="Courier New" w:cs="Courier New" w:eastAsia="Courier New" w:hAnsi="Courier New"/>
          <w:sz w:val="15"/>
          <w:szCs w:val="15"/>
          <w:color w:val="auto"/>
        </w:rPr>
        <w:t>/S/ JERRY M. HESS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October 7, 1997</w:t>
      </w:r>
    </w:p>
    <w:p>
      <w:pPr>
        <w:spacing w:after="0" w:line="3"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(JERRY M. HESS)</w:t>
      </w:r>
    </w:p>
    <w:p>
      <w:pPr>
        <w:spacing w:after="0" w:line="177" w:lineRule="exact"/>
        <w:rPr>
          <w:sz w:val="20"/>
          <w:szCs w:val="20"/>
          <w:color w:val="auto"/>
        </w:rPr>
      </w:pPr>
    </w:p>
    <w:p>
      <w:pPr>
        <w:ind w:left="188"/>
        <w:spacing w:after="0"/>
        <w:tabs>
          <w:tab w:leader="none" w:pos="3587" w:val="left"/>
          <w:tab w:leader="none" w:pos="6467" w:val="left"/>
        </w:tabs>
        <w:rPr>
          <w:sz w:val="20"/>
          <w:szCs w:val="20"/>
          <w:color w:val="auto"/>
        </w:rPr>
      </w:pPr>
      <w:r>
        <w:rPr>
          <w:rFonts w:ascii="Courier New" w:cs="Courier New" w:eastAsia="Courier New" w:hAnsi="Courier New"/>
          <w:sz w:val="15"/>
          <w:szCs w:val="15"/>
          <w:color w:val="auto"/>
        </w:rPr>
        <w:t>/S/ ROBERT A. LOTHROP</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October 7, 1997</w:t>
      </w:r>
    </w:p>
    <w:p>
      <w:pPr>
        <w:spacing w:after="0" w:line="3"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LOTHROP)</w:t>
      </w:r>
    </w:p>
    <w:p>
      <w:pPr>
        <w:spacing w:after="0" w:line="177" w:lineRule="exact"/>
        <w:rPr>
          <w:sz w:val="20"/>
          <w:szCs w:val="20"/>
          <w:color w:val="auto"/>
        </w:rPr>
      </w:pPr>
    </w:p>
    <w:p>
      <w:pPr>
        <w:ind w:left="188"/>
        <w:spacing w:after="0"/>
        <w:tabs>
          <w:tab w:leader="none" w:pos="3587" w:val="left"/>
          <w:tab w:leader="none" w:pos="6467" w:val="left"/>
        </w:tabs>
        <w:rPr>
          <w:sz w:val="20"/>
          <w:szCs w:val="20"/>
          <w:color w:val="auto"/>
        </w:rPr>
      </w:pPr>
      <w:r>
        <w:rPr>
          <w:rFonts w:ascii="Courier New" w:cs="Courier New" w:eastAsia="Courier New" w:hAnsi="Courier New"/>
          <w:sz w:val="15"/>
          <w:szCs w:val="15"/>
          <w:color w:val="auto"/>
        </w:rPr>
        <w:t>/S/ THOMAS T. NICHOLSON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October 7, 1997</w:t>
      </w:r>
    </w:p>
    <w:p>
      <w:pPr>
        <w:spacing w:after="0" w:line="3"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T. NICHOLSON)</w:t>
      </w:r>
    </w:p>
    <w:p>
      <w:pPr>
        <w:spacing w:after="0" w:line="177" w:lineRule="exact"/>
        <w:rPr>
          <w:sz w:val="20"/>
          <w:szCs w:val="20"/>
          <w:color w:val="auto"/>
        </w:rPr>
      </w:pPr>
    </w:p>
    <w:p>
      <w:pPr>
        <w:ind w:left="188"/>
        <w:spacing w:after="0"/>
        <w:tabs>
          <w:tab w:leader="none" w:pos="3587" w:val="left"/>
          <w:tab w:leader="none" w:pos="6467" w:val="left"/>
        </w:tabs>
        <w:rPr>
          <w:sz w:val="20"/>
          <w:szCs w:val="20"/>
          <w:color w:val="auto"/>
        </w:rPr>
      </w:pPr>
      <w:r>
        <w:rPr>
          <w:rFonts w:ascii="Courier New" w:cs="Courier New" w:eastAsia="Courier New" w:hAnsi="Courier New"/>
          <w:sz w:val="15"/>
          <w:szCs w:val="15"/>
          <w:color w:val="auto"/>
        </w:rPr>
        <w:t>/S/ DON J. SIMPLOT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October 7, 1997</w:t>
      </w:r>
    </w:p>
    <w:p>
      <w:pPr>
        <w:spacing w:after="0" w:line="3"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 J. SIMPLOT)</w:t>
      </w:r>
    </w:p>
    <w:p>
      <w:pPr>
        <w:spacing w:after="0" w:line="177" w:lineRule="exact"/>
        <w:rPr>
          <w:sz w:val="20"/>
          <w:szCs w:val="20"/>
          <w:color w:val="auto"/>
        </w:rPr>
      </w:pPr>
    </w:p>
    <w:p>
      <w:pPr>
        <w:ind w:left="188"/>
        <w:spacing w:after="0"/>
        <w:tabs>
          <w:tab w:leader="none" w:pos="3587" w:val="left"/>
          <w:tab w:leader="none" w:pos="6467" w:val="left"/>
        </w:tabs>
        <w:rPr>
          <w:sz w:val="20"/>
          <w:szCs w:val="20"/>
          <w:color w:val="auto"/>
        </w:rPr>
      </w:pPr>
      <w:r>
        <w:rPr>
          <w:rFonts w:ascii="Courier New" w:cs="Courier New" w:eastAsia="Courier New" w:hAnsi="Courier New"/>
          <w:sz w:val="15"/>
          <w:szCs w:val="15"/>
          <w:color w:val="auto"/>
        </w:rPr>
        <w:t>/S/ JOHN R. SIMPLOT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October 7, 1997</w:t>
      </w:r>
    </w:p>
    <w:p>
      <w:pPr>
        <w:spacing w:after="0" w:line="3"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R. SIMPLOT)</w:t>
      </w:r>
    </w:p>
    <w:p>
      <w:pPr>
        <w:spacing w:after="0" w:line="177" w:lineRule="exact"/>
        <w:rPr>
          <w:sz w:val="20"/>
          <w:szCs w:val="20"/>
          <w:color w:val="auto"/>
        </w:rPr>
      </w:pPr>
    </w:p>
    <w:p>
      <w:pPr>
        <w:ind w:left="188"/>
        <w:spacing w:after="0"/>
        <w:tabs>
          <w:tab w:leader="none" w:pos="3587" w:val="left"/>
          <w:tab w:leader="none" w:pos="6467" w:val="left"/>
        </w:tabs>
        <w:rPr>
          <w:sz w:val="20"/>
          <w:szCs w:val="20"/>
          <w:color w:val="auto"/>
        </w:rPr>
      </w:pPr>
      <w:r>
        <w:rPr>
          <w:rFonts w:ascii="Courier New" w:cs="Courier New" w:eastAsia="Courier New" w:hAnsi="Courier New"/>
          <w:sz w:val="15"/>
          <w:szCs w:val="15"/>
          <w:color w:val="auto"/>
        </w:rPr>
        <w:t>/S/ GORDON C. SMITH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October 7, 1997</w:t>
      </w:r>
    </w:p>
    <w:p>
      <w:pPr>
        <w:spacing w:after="0" w:line="3"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(GORDON C. SMITH)</w:t>
      </w:r>
    </w:p>
    <w:p>
      <w:pPr>
        <w:spacing w:after="0" w:line="200" w:lineRule="exact"/>
        <w:rPr>
          <w:sz w:val="20"/>
          <w:szCs w:val="20"/>
          <w:color w:val="auto"/>
        </w:rPr>
      </w:pPr>
    </w:p>
    <w:p>
      <w:pPr>
        <w:spacing w:after="0" w:line="324"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638" w:right="1440" w:bottom="1440" w:gutter="0" w:footer="0" w:header="0"/>
          <w:type w:val="continuous"/>
        </w:sectPr>
      </w:pPr>
    </w:p>
    <w:bookmarkStart w:id="47" w:name="page48"/>
    <w:bookmarkEnd w:id="47"/>
    <w:p>
      <w:pPr>
        <w:jc w:val="right"/>
        <w:ind w:right="3019"/>
        <w:spacing w:after="0"/>
        <w:rPr>
          <w:sz w:val="20"/>
          <w:szCs w:val="20"/>
          <w:color w:val="auto"/>
        </w:rPr>
      </w:pPr>
      <w:r>
        <w:rPr>
          <w:rFonts w:ascii="Courier New" w:cs="Courier New" w:eastAsia="Courier New" w:hAnsi="Courier New"/>
          <w:sz w:val="15"/>
          <w:szCs w:val="15"/>
          <w:color w:val="auto"/>
        </w:rPr>
        <w:t>EXHIBIT 10-113</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NONSTATUTORY STOCK OPTION PLAN</w:t>
      </w:r>
    </w:p>
    <w:p>
      <w:pPr>
        <w:spacing w:after="0" w:line="350" w:lineRule="exact"/>
        <w:rPr>
          <w:sz w:val="20"/>
          <w:szCs w:val="20"/>
          <w:color w:val="auto"/>
        </w:rPr>
      </w:pPr>
    </w:p>
    <w:p>
      <w:pPr>
        <w:ind w:left="620" w:hanging="35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Plan are:</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720" w:right="3459" w:hanging="277"/>
        <w:spacing w:after="0" w:line="243" w:lineRule="auto"/>
        <w:tabs>
          <w:tab w:leader="none" w:pos="7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175" w:lineRule="exact"/>
        <w:rPr>
          <w:sz w:val="20"/>
          <w:szCs w:val="20"/>
          <w:color w:val="auto"/>
        </w:rPr>
      </w:pPr>
    </w:p>
    <w:p>
      <w:pPr>
        <w:ind w:left="720" w:hanging="277"/>
        <w:spacing w:after="0"/>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6" w:lineRule="exact"/>
        <w:rPr>
          <w:rFonts w:ascii="Courier New" w:cs="Courier New" w:eastAsia="Courier New" w:hAnsi="Courier New"/>
          <w:sz w:val="15"/>
          <w:szCs w:val="15"/>
          <w:color w:val="auto"/>
        </w:rPr>
      </w:pPr>
    </w:p>
    <w:p>
      <w:pPr>
        <w:ind w:left="720" w:hanging="277"/>
        <w:spacing w:after="0"/>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Nonstatutory stock options may be granted under the Plan.</w:t>
      </w:r>
    </w:p>
    <w:p>
      <w:pPr>
        <w:spacing w:after="0" w:line="177" w:lineRule="exact"/>
        <w:rPr>
          <w:sz w:val="20"/>
          <w:szCs w:val="20"/>
          <w:color w:val="auto"/>
        </w:rPr>
      </w:pPr>
    </w:p>
    <w:p>
      <w:pPr>
        <w:ind w:left="620" w:hanging="357"/>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 be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administering the Plan, in accordance with Section 4 of the Plan.</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 "Applicable Laws" means the legal requirements relating to the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175" w:lineRule="exact"/>
        <w:rPr>
          <w:sz w:val="20"/>
          <w:szCs w:val="20"/>
          <w:color w:val="auto"/>
        </w:rPr>
      </w:pPr>
    </w:p>
    <w:p>
      <w:pPr>
        <w:ind w:left="980" w:hanging="356"/>
        <w:spacing w:after="0"/>
        <w:tabs>
          <w:tab w:leader="none" w:pos="9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175" w:lineRule="exact"/>
        <w:rPr>
          <w:sz w:val="20"/>
          <w:szCs w:val="20"/>
          <w:color w:val="auto"/>
        </w:rPr>
      </w:pPr>
    </w:p>
    <w:p>
      <w:pPr>
        <w:ind w:left="980" w:hanging="356"/>
        <w:spacing w:after="0"/>
        <w:tabs>
          <w:tab w:leader="none" w:pos="9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77" w:lineRule="exact"/>
        <w:rPr>
          <w:sz w:val="20"/>
          <w:szCs w:val="20"/>
          <w:color w:val="auto"/>
        </w:rPr>
      </w:pPr>
    </w:p>
    <w:p>
      <w:pPr>
        <w:ind w:left="980" w:hanging="356"/>
        <w:spacing w:after="0"/>
        <w:tabs>
          <w:tab w:leader="none" w:pos="9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Company or a parent, subsidiary or affiliate to render services. The term "Consultant" shall not include any person who is also an Officer or Director of the Company.</w:t>
      </w:r>
    </w:p>
    <w:p>
      <w:pPr>
        <w:spacing w:after="0" w:line="175" w:lineRule="exact"/>
        <w:rPr>
          <w:sz w:val="20"/>
          <w:szCs w:val="20"/>
          <w:color w:val="auto"/>
        </w:rPr>
      </w:pPr>
    </w:p>
    <w:p>
      <w:pPr>
        <w:ind w:left="980" w:hanging="356"/>
        <w:spacing w:after="0"/>
        <w:tabs>
          <w:tab w:leader="none" w:pos="9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Status as an Employee or Consultant" means that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78" w:lineRule="exact"/>
        <w:rPr>
          <w:sz w:val="20"/>
          <w:szCs w:val="20"/>
          <w:color w:val="auto"/>
        </w:rPr>
      </w:pPr>
    </w:p>
    <w:p>
      <w:pPr>
        <w:ind w:left="980" w:hanging="356"/>
        <w:spacing w:after="0"/>
        <w:tabs>
          <w:tab w:leader="none" w:pos="9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87" w:right="1440" w:bottom="1440" w:gutter="0" w:footer="0" w:header="0"/>
        </w:sectPr>
      </w:pPr>
    </w:p>
    <w:bookmarkStart w:id="48" w:name="page49"/>
    <w:bookmarkEnd w:id="48"/>
    <w:p>
      <w:pPr>
        <w:ind w:left="620"/>
        <w:spacing w:after="0"/>
        <w:rPr>
          <w:sz w:val="20"/>
          <w:szCs w:val="20"/>
          <w:color w:val="auto"/>
        </w:rPr>
      </w:pPr>
      <w:r>
        <w:rPr>
          <w:rFonts w:ascii="Courier New" w:cs="Courier New" w:eastAsia="Courier New" w:hAnsi="Courier New"/>
          <w:sz w:val="15"/>
          <w:szCs w:val="15"/>
          <w:color w:val="auto"/>
        </w:rPr>
        <w:t>(l) "Disability" means total and permanent disability as defined in</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22(e)(3) of the Code.</w:t>
      </w:r>
    </w:p>
    <w:p>
      <w:pPr>
        <w:spacing w:after="0" w:line="177" w:lineRule="exact"/>
        <w:rPr>
          <w:sz w:val="20"/>
          <w:szCs w:val="20"/>
          <w:color w:val="auto"/>
        </w:rPr>
      </w:pPr>
    </w:p>
    <w:p>
      <w:pPr>
        <w:ind w:left="980" w:hanging="356"/>
        <w:spacing w:after="0"/>
        <w:tabs>
          <w:tab w:leader="none" w:pos="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except Officers and Directors, employed</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Company or any parent, subsidiary or affiliate of the Company.</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 "Fair Market Value" means, as of any date, the average closing price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 such other source as the Administrator deems reliable.</w:t>
      </w:r>
    </w:p>
    <w:p>
      <w:pPr>
        <w:spacing w:after="0" w:line="17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"Notice of Grant" means a written notice evidencing certain terms and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conditions of an individual Option grant. The Notice of Grant is subject to the terms and conditions of the Option Agreement.</w:t>
      </w:r>
    </w:p>
    <w:p>
      <w:pPr>
        <w:spacing w:after="0" w:line="175" w:lineRule="exact"/>
        <w:rPr>
          <w:sz w:val="20"/>
          <w:szCs w:val="20"/>
          <w:color w:val="auto"/>
        </w:rPr>
      </w:pPr>
    </w:p>
    <w:p>
      <w:pPr>
        <w:ind w:left="980" w:hanging="356"/>
        <w:spacing w:after="0"/>
        <w:tabs>
          <w:tab w:leader="none" w:pos="9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meaning of Section 16 of the Securities Exchange Act of 1934, as amended, and the rules and regulations promulgated thereunder.</w:t>
      </w:r>
    </w:p>
    <w:p>
      <w:pPr>
        <w:spacing w:after="0" w:line="175" w:lineRule="exact"/>
        <w:rPr>
          <w:sz w:val="20"/>
          <w:szCs w:val="20"/>
          <w:color w:val="auto"/>
        </w:rPr>
      </w:pPr>
    </w:p>
    <w:p>
      <w:pPr>
        <w:ind w:left="980" w:hanging="356"/>
        <w:spacing w:after="0"/>
        <w:tabs>
          <w:tab w:leader="none" w:pos="9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Plan. Such option is not intended to qualify as an incentive stock option within the meaning of Section 422 of the Code and the regulations promulgated thereunder.</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 "Option Agreement" means a written agreement between the Company and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Optionee evidencing the terms and conditions of an individual Option grant.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Agreement is subject to the terms and conditions of the Plan.</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"Option Exchange Program" means a program whereby outstanding options</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surrendered in exchange for options with a lower exercise price.</w:t>
      </w:r>
    </w:p>
    <w:p>
      <w:pPr>
        <w:spacing w:after="0" w:line="177" w:lineRule="exact"/>
        <w:rPr>
          <w:sz w:val="20"/>
          <w:szCs w:val="20"/>
          <w:color w:val="auto"/>
        </w:rPr>
      </w:pPr>
    </w:p>
    <w:p>
      <w:pPr>
        <w:ind w:left="980" w:hanging="356"/>
        <w:spacing w:after="0"/>
        <w:tabs>
          <w:tab w:leader="none" w:pos="9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 outstanding</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177" w:lineRule="exact"/>
        <w:rPr>
          <w:sz w:val="20"/>
          <w:szCs w:val="20"/>
          <w:color w:val="auto"/>
        </w:rPr>
      </w:pPr>
    </w:p>
    <w:p>
      <w:pPr>
        <w:ind w:left="980" w:hanging="356"/>
        <w:spacing w:after="0"/>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Nonstatutory Stock Option Plan.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12 of the Plan.</w:t>
      </w:r>
    </w:p>
    <w:p>
      <w:pPr>
        <w:spacing w:after="0" w:line="178" w:lineRule="exact"/>
        <w:rPr>
          <w:sz w:val="20"/>
          <w:szCs w:val="20"/>
          <w:color w:val="auto"/>
        </w:rPr>
      </w:pPr>
    </w:p>
    <w:p>
      <w:pPr>
        <w:ind w:left="540" w:hanging="367"/>
        <w:spacing w:after="0"/>
        <w:tabs>
          <w:tab w:leader="none" w:pos="5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  Subject to the provisions of Section 12 of the</w:t>
      </w:r>
    </w:p>
    <w:p>
      <w:pPr>
        <w:spacing w:after="0" w:line="1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Plan, the maximum aggregate number of Shares which may be optioned and sold under the Plan is 9,801,544. The Shares may be authorized, but, unissued, or reacquired Common Stock.</w:t>
      </w:r>
    </w:p>
    <w:p>
      <w:pPr>
        <w:spacing w:after="0" w:line="175" w:lineRule="exact"/>
        <w:rPr>
          <w:sz w:val="20"/>
          <w:szCs w:val="20"/>
          <w:color w:val="auto"/>
        </w:rPr>
      </w:pPr>
    </w:p>
    <w:p>
      <w:pPr>
        <w:ind w:right="3019" w:firstLine="631"/>
        <w:spacing w:after="0" w:line="244"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75" w:lineRule="exact"/>
        <w:rPr>
          <w:sz w:val="20"/>
          <w:szCs w:val="20"/>
          <w:color w:val="auto"/>
        </w:rPr>
      </w:pPr>
    </w:p>
    <w:p>
      <w:pPr>
        <w:ind w:left="540" w:hanging="367"/>
        <w:spacing w:after="0"/>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The Plan shall be administered by (A) the Board or (B) a</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ectPr>
          <w:pgSz w:w="11900" w:h="16838" w:orient="portrait"/>
          <w:cols w:equalWidth="0" w:num="1">
            <w:col w:w="10219"/>
          </w:cols>
          <w:pgMar w:left="240" w:top="638" w:right="1440" w:bottom="1440" w:gutter="0" w:footer="0" w:header="0"/>
        </w:sectPr>
      </w:pPr>
    </w:p>
    <w:bookmarkStart w:id="49" w:name="page50"/>
    <w:bookmarkEnd w:id="49"/>
    <w:p>
      <w:pPr>
        <w:ind w:left="980" w:hanging="356"/>
        <w:spacing w:after="0"/>
        <w:tabs>
          <w:tab w:leader="none" w:pos="9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and in the case of a Committee, subject to the specific duties delegated by the Board to such Committee, the Administrator shall have the authority, in its discretion:</w:t>
      </w:r>
    </w:p>
    <w:p>
      <w:pPr>
        <w:spacing w:after="0" w:line="175" w:lineRule="exact"/>
        <w:rPr>
          <w:sz w:val="20"/>
          <w:szCs w:val="20"/>
          <w:color w:val="auto"/>
        </w:rPr>
      </w:pPr>
    </w:p>
    <w:p>
      <w:pPr>
        <w:ind w:left="1800" w:hanging="455"/>
        <w:spacing w:after="0"/>
        <w:tabs>
          <w:tab w:leader="none" w:pos="1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w:t>
      </w:r>
    </w:p>
    <w:p>
      <w:pPr>
        <w:spacing w:after="0" w:line="177" w:lineRule="exact"/>
        <w:rPr>
          <w:rFonts w:ascii="Courier New" w:cs="Courier New" w:eastAsia="Courier New" w:hAnsi="Courier New"/>
          <w:sz w:val="15"/>
          <w:szCs w:val="15"/>
          <w:color w:val="auto"/>
        </w:rPr>
      </w:pPr>
    </w:p>
    <w:p>
      <w:pPr>
        <w:ind w:right="3099" w:firstLine="1255"/>
        <w:spacing w:after="0" w:line="243" w:lineRule="auto"/>
        <w:tabs>
          <w:tab w:leader="none" w:pos="18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 be granted hereunder;</w:t>
      </w:r>
    </w:p>
    <w:p>
      <w:pPr>
        <w:spacing w:after="0" w:line="175" w:lineRule="exact"/>
        <w:rPr>
          <w:rFonts w:ascii="Courier New" w:cs="Courier New" w:eastAsia="Courier New" w:hAnsi="Courier New"/>
          <w:sz w:val="15"/>
          <w:szCs w:val="15"/>
          <w:color w:val="auto"/>
        </w:rPr>
      </w:pPr>
    </w:p>
    <w:p>
      <w:pPr>
        <w:ind w:left="1800" w:hanging="635"/>
        <w:spacing w:after="0"/>
        <w:tabs>
          <w:tab w:leader="none" w:pos="1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 granted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w:t>
      </w:r>
    </w:p>
    <w:p>
      <w:pPr>
        <w:spacing w:after="0" w:line="177" w:lineRule="exact"/>
        <w:rPr>
          <w:rFonts w:ascii="Courier New" w:cs="Courier New" w:eastAsia="Courier New" w:hAnsi="Courier New"/>
          <w:sz w:val="15"/>
          <w:szCs w:val="15"/>
          <w:color w:val="auto"/>
        </w:rPr>
      </w:pPr>
    </w:p>
    <w:p>
      <w:pPr>
        <w:ind w:right="3459" w:firstLine="1255"/>
        <w:spacing w:after="0" w:line="243" w:lineRule="auto"/>
        <w:tabs>
          <w:tab w:leader="none" w:pos="18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175" w:lineRule="exact"/>
        <w:rPr>
          <w:rFonts w:ascii="Courier New" w:cs="Courier New" w:eastAsia="Courier New" w:hAnsi="Courier New"/>
          <w:sz w:val="15"/>
          <w:szCs w:val="15"/>
          <w:color w:val="auto"/>
        </w:rPr>
      </w:pPr>
    </w:p>
    <w:p>
      <w:pPr>
        <w:ind w:left="1800" w:hanging="455"/>
        <w:spacing w:after="0"/>
        <w:tabs>
          <w:tab w:leader="none" w:pos="1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7" w:lineRule="exact"/>
        <w:rPr>
          <w:rFonts w:ascii="Courier New" w:cs="Courier New" w:eastAsia="Courier New" w:hAnsi="Courier New"/>
          <w:sz w:val="15"/>
          <w:szCs w:val="15"/>
          <w:color w:val="auto"/>
        </w:rPr>
      </w:pPr>
    </w:p>
    <w:p>
      <w:pPr>
        <w:ind w:right="3019" w:firstLine="1255"/>
        <w:spacing w:after="0" w:line="244" w:lineRule="auto"/>
        <w:tabs>
          <w:tab w:leader="none" w:pos="18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8" w:lineRule="exact"/>
        <w:rPr>
          <w:rFonts w:ascii="Courier New" w:cs="Courier New" w:eastAsia="Courier New" w:hAnsi="Courier New"/>
          <w:sz w:val="15"/>
          <w:szCs w:val="15"/>
          <w:color w:val="auto"/>
        </w:rPr>
      </w:pPr>
    </w:p>
    <w:p>
      <w:pPr>
        <w:ind w:right="3199" w:firstLine="1165"/>
        <w:spacing w:after="0" w:line="270" w:lineRule="auto"/>
        <w:tabs>
          <w:tab w:leader="none" w:pos="1803"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reduce the exercise price of any Option to the then current Fair Market Value if the Fair Market Value of the Common Stock covered by such Option shall have declined since the date the Option was granted;</w:t>
      </w:r>
    </w:p>
    <w:p>
      <w:pPr>
        <w:spacing w:after="0" w:line="158" w:lineRule="exact"/>
        <w:rPr>
          <w:rFonts w:ascii="Courier New" w:cs="Courier New" w:eastAsia="Courier New" w:hAnsi="Courier New"/>
          <w:sz w:val="14"/>
          <w:szCs w:val="14"/>
          <w:color w:val="auto"/>
        </w:rPr>
      </w:pPr>
    </w:p>
    <w:p>
      <w:pPr>
        <w:ind w:right="3199" w:firstLine="1074"/>
        <w:spacing w:after="0" w:line="243" w:lineRule="auto"/>
        <w:tabs>
          <w:tab w:leader="none" w:pos="18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6" w:lineRule="exact"/>
        <w:rPr>
          <w:rFonts w:ascii="Courier New" w:cs="Courier New" w:eastAsia="Courier New" w:hAnsi="Courier New"/>
          <w:sz w:val="15"/>
          <w:szCs w:val="15"/>
          <w:color w:val="auto"/>
        </w:rPr>
      </w:pPr>
    </w:p>
    <w:p>
      <w:pPr>
        <w:ind w:right="3459" w:firstLine="1255"/>
        <w:spacing w:after="0" w:line="244" w:lineRule="auto"/>
        <w:tabs>
          <w:tab w:leader="none" w:pos="18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5" w:lineRule="exact"/>
        <w:rPr>
          <w:rFonts w:ascii="Courier New" w:cs="Courier New" w:eastAsia="Courier New" w:hAnsi="Courier New"/>
          <w:sz w:val="15"/>
          <w:szCs w:val="15"/>
          <w:color w:val="auto"/>
        </w:rPr>
      </w:pPr>
    </w:p>
    <w:p>
      <w:pPr>
        <w:ind w:left="1800" w:hanging="455"/>
        <w:spacing w:after="0"/>
        <w:tabs>
          <w:tab w:leader="none" w:pos="1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14(b)</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of the Plan), including the discretionary authority to extend the post-termination exercisability period of Options longer than is otherwise provided for in the Plan;</w:t>
      </w:r>
    </w:p>
    <w:p>
      <w:pPr>
        <w:spacing w:after="0" w:line="175" w:lineRule="exact"/>
        <w:rPr>
          <w:sz w:val="20"/>
          <w:szCs w:val="20"/>
          <w:color w:val="auto"/>
        </w:rPr>
      </w:pPr>
    </w:p>
    <w:p>
      <w:pPr>
        <w:ind w:right="3099" w:firstLine="1255"/>
        <w:spacing w:after="0" w:line="244" w:lineRule="auto"/>
        <w:tabs>
          <w:tab w:leader="none" w:pos="180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 Company any instrument required to effect the grant of an Option previously granted by the Administrator;</w:t>
      </w:r>
    </w:p>
    <w:p>
      <w:pPr>
        <w:spacing w:after="0" w:line="174" w:lineRule="exact"/>
        <w:rPr>
          <w:rFonts w:ascii="Courier New" w:cs="Courier New" w:eastAsia="Courier New" w:hAnsi="Courier New"/>
          <w:sz w:val="15"/>
          <w:szCs w:val="15"/>
          <w:color w:val="auto"/>
        </w:rPr>
      </w:pPr>
    </w:p>
    <w:p>
      <w:pPr>
        <w:ind w:left="1800" w:hanging="635"/>
        <w:spacing w:after="0"/>
        <w:tabs>
          <w:tab w:leader="none" w:pos="180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w:t>
      </w:r>
    </w:p>
    <w:p>
      <w:pPr>
        <w:spacing w:after="0" w:line="177" w:lineRule="exact"/>
        <w:rPr>
          <w:rFonts w:ascii="Courier New" w:cs="Courier New" w:eastAsia="Courier New" w:hAnsi="Courier New"/>
          <w:sz w:val="15"/>
          <w:szCs w:val="15"/>
          <w:color w:val="auto"/>
        </w:rPr>
      </w:pPr>
    </w:p>
    <w:p>
      <w:pPr>
        <w:jc w:val="both"/>
        <w:ind w:right="3019" w:firstLine="1074"/>
        <w:spacing w:after="0" w:line="244" w:lineRule="auto"/>
        <w:tabs>
          <w:tab w:leader="none" w:pos="180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75" w:lineRule="exact"/>
        <w:rPr>
          <w:rFonts w:ascii="Courier New" w:cs="Courier New" w:eastAsia="Courier New" w:hAnsi="Courier New"/>
          <w:sz w:val="15"/>
          <w:szCs w:val="15"/>
          <w:color w:val="auto"/>
        </w:rPr>
      </w:pPr>
    </w:p>
    <w:p>
      <w:pPr>
        <w:ind w:right="3739" w:firstLine="1165"/>
        <w:spacing w:after="0" w:line="243" w:lineRule="auto"/>
        <w:tabs>
          <w:tab w:leader="none" w:pos="180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5"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determinations, and interpretations shall be final and binding on all Optionees and any other holders of Options.</w:t>
      </w:r>
    </w:p>
    <w:p>
      <w:pPr>
        <w:spacing w:after="0" w:line="175" w:lineRule="exact"/>
        <w:rPr>
          <w:sz w:val="20"/>
          <w:szCs w:val="20"/>
          <w:color w:val="auto"/>
        </w:rPr>
      </w:pPr>
    </w:p>
    <w:p>
      <w:pPr>
        <w:ind w:left="540" w:hanging="367"/>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Employees and Consultants.</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1440" w:gutter="0" w:footer="0" w:header="0"/>
        </w:sectPr>
      </w:pPr>
    </w:p>
    <w:bookmarkStart w:id="50" w:name="page51"/>
    <w:bookmarkEnd w:id="50"/>
    <w:p>
      <w:pPr>
        <w:ind w:left="540" w:hanging="367"/>
        <w:spacing w:after="0"/>
        <w:tabs>
          <w:tab w:leader="none" w:pos="5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Neither the Plan nor any Option shall confer upon an</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75" w:lineRule="exact"/>
        <w:rPr>
          <w:sz w:val="20"/>
          <w:szCs w:val="20"/>
          <w:color w:val="auto"/>
        </w:rPr>
      </w:pPr>
    </w:p>
    <w:p>
      <w:pPr>
        <w:ind w:left="540" w:hanging="367"/>
        <w:spacing w:after="0"/>
        <w:tabs>
          <w:tab w:leader="none" w:pos="5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its adoption by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Board. It shall continue in effect until terminated under Section 14 of the Plan.</w:t>
      </w:r>
    </w:p>
    <w:p>
      <w:pPr>
        <w:spacing w:after="0" w:line="175" w:lineRule="exact"/>
        <w:rPr>
          <w:sz w:val="20"/>
          <w:szCs w:val="20"/>
          <w:color w:val="auto"/>
        </w:rPr>
      </w:pPr>
    </w:p>
    <w:p>
      <w:pPr>
        <w:ind w:left="540" w:hanging="367"/>
        <w:spacing w:after="0"/>
        <w:tabs>
          <w:tab w:leader="none" w:pos="5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 Notice of</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w:t>
      </w:r>
    </w:p>
    <w:p>
      <w:pPr>
        <w:spacing w:after="0" w:line="177" w:lineRule="exact"/>
        <w:rPr>
          <w:sz w:val="20"/>
          <w:szCs w:val="20"/>
          <w:color w:val="auto"/>
        </w:rPr>
      </w:pPr>
    </w:p>
    <w:p>
      <w:pPr>
        <w:ind w:left="540" w:hanging="367"/>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4179"/>
        <w:spacing w:after="0" w:line="243" w:lineRule="auto"/>
        <w:rPr>
          <w:sz w:val="20"/>
          <w:szCs w:val="20"/>
          <w:color w:val="auto"/>
        </w:rPr>
      </w:pPr>
      <w:r>
        <w:rPr>
          <w:rFonts w:ascii="Courier New" w:cs="Courier New" w:eastAsia="Courier New" w:hAnsi="Courier New"/>
          <w:sz w:val="15"/>
          <w:szCs w:val="15"/>
          <w:color w:val="auto"/>
        </w:rPr>
        <w:t>issued pursuant to exercise of an Option shall be determined by the Administrator.</w:t>
      </w:r>
    </w:p>
    <w:p>
      <w:pPr>
        <w:spacing w:after="0" w:line="175" w:lineRule="exact"/>
        <w:rPr>
          <w:sz w:val="20"/>
          <w:szCs w:val="20"/>
          <w:color w:val="auto"/>
        </w:rPr>
      </w:pPr>
    </w:p>
    <w:p>
      <w:pPr>
        <w:ind w:left="620"/>
        <w:spacing w:after="0"/>
        <w:tabs>
          <w:tab w:leader="none" w:pos="4200" w:val="left"/>
        </w:tabs>
        <w:rPr>
          <w:sz w:val="20"/>
          <w:szCs w:val="20"/>
          <w:color w:val="auto"/>
        </w:rPr>
      </w:pPr>
      <w:r>
        <w:rPr>
          <w:rFonts w:ascii="Courier New" w:cs="Courier New" w:eastAsia="Courier New" w:hAnsi="Courier New"/>
          <w:sz w:val="15"/>
          <w:szCs w:val="15"/>
          <w:color w:val="auto"/>
        </w:rPr>
        <w:t>(b) Waiting Period and Exercise Dates.</w:t>
        <w:tab/>
        <w:t>At the time an Option is granted,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19"/>
        <w:spacing w:after="0" w:line="266" w:lineRule="auto"/>
        <w:rPr>
          <w:sz w:val="20"/>
          <w:szCs w:val="20"/>
          <w:color w:val="auto"/>
        </w:rPr>
      </w:pPr>
      <w:r>
        <w:rPr>
          <w:rFonts w:ascii="Courier New" w:cs="Courier New" w:eastAsia="Courier New" w:hAnsi="Courier New"/>
          <w:sz w:val="14"/>
          <w:szCs w:val="14"/>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61" w:lineRule="exact"/>
        <w:rPr>
          <w:sz w:val="20"/>
          <w:szCs w:val="20"/>
          <w:color w:val="auto"/>
        </w:rPr>
      </w:pPr>
    </w:p>
    <w:p>
      <w:pPr>
        <w:ind w:left="620"/>
        <w:spacing w:after="0"/>
        <w:tabs>
          <w:tab w:leader="none" w:pos="3120" w:val="left"/>
        </w:tabs>
        <w:rPr>
          <w:sz w:val="20"/>
          <w:szCs w:val="20"/>
          <w:color w:val="auto"/>
        </w:rPr>
      </w:pPr>
      <w:r>
        <w:rPr>
          <w:rFonts w:ascii="Courier New" w:cs="Courier New" w:eastAsia="Courier New" w:hAnsi="Courier New"/>
          <w:sz w:val="15"/>
          <w:szCs w:val="15"/>
          <w:color w:val="auto"/>
        </w:rPr>
        <w:t>(c) Form of Consideration.</w:t>
        <w:tab/>
        <w:t>The Administrator shall determine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Such consideration may consist entirely of:</w:t>
      </w:r>
    </w:p>
    <w:p>
      <w:pPr>
        <w:spacing w:after="0" w:line="175" w:lineRule="exact"/>
        <w:rPr>
          <w:sz w:val="20"/>
          <w:szCs w:val="20"/>
          <w:color w:val="auto"/>
        </w:rPr>
      </w:pPr>
    </w:p>
    <w:p>
      <w:pPr>
        <w:ind w:left="1800" w:hanging="455"/>
        <w:spacing w:after="0"/>
        <w:tabs>
          <w:tab w:leader="none" w:pos="1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6" w:lineRule="exact"/>
        <w:rPr>
          <w:rFonts w:ascii="Courier New" w:cs="Courier New" w:eastAsia="Courier New" w:hAnsi="Courier New"/>
          <w:sz w:val="15"/>
          <w:szCs w:val="15"/>
          <w:color w:val="auto"/>
        </w:rPr>
      </w:pPr>
    </w:p>
    <w:p>
      <w:pPr>
        <w:ind w:left="1800" w:hanging="545"/>
        <w:spacing w:after="0"/>
        <w:tabs>
          <w:tab w:leader="none" w:pos="1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6" w:lineRule="exact"/>
        <w:rPr>
          <w:rFonts w:ascii="Courier New" w:cs="Courier New" w:eastAsia="Courier New" w:hAnsi="Courier New"/>
          <w:sz w:val="15"/>
          <w:szCs w:val="15"/>
          <w:color w:val="auto"/>
        </w:rPr>
      </w:pPr>
    </w:p>
    <w:p>
      <w:pPr>
        <w:ind w:left="1800" w:hanging="635"/>
        <w:spacing w:after="0"/>
        <w:tabs>
          <w:tab w:leader="none" w:pos="1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7" w:lineRule="exact"/>
        <w:rPr>
          <w:rFonts w:ascii="Courier New" w:cs="Courier New" w:eastAsia="Courier New" w:hAnsi="Courier New"/>
          <w:sz w:val="15"/>
          <w:szCs w:val="15"/>
          <w:color w:val="auto"/>
        </w:rPr>
      </w:pPr>
    </w:p>
    <w:p>
      <w:pPr>
        <w:ind w:right="3099" w:firstLine="1255"/>
        <w:spacing w:after="0" w:line="244" w:lineRule="auto"/>
        <w:tabs>
          <w:tab w:leader="none" w:pos="180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76" w:lineRule="exact"/>
        <w:rPr>
          <w:rFonts w:ascii="Courier New" w:cs="Courier New" w:eastAsia="Courier New" w:hAnsi="Courier New"/>
          <w:sz w:val="15"/>
          <w:szCs w:val="15"/>
          <w:color w:val="auto"/>
        </w:rPr>
      </w:pPr>
    </w:p>
    <w:p>
      <w:pPr>
        <w:ind w:right="3279" w:firstLine="1345"/>
        <w:spacing w:after="0" w:line="244" w:lineRule="auto"/>
        <w:tabs>
          <w:tab w:leader="none" w:pos="180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75" w:lineRule="exact"/>
        <w:rPr>
          <w:rFonts w:ascii="Courier New" w:cs="Courier New" w:eastAsia="Courier New" w:hAnsi="Courier New"/>
          <w:sz w:val="15"/>
          <w:szCs w:val="15"/>
          <w:color w:val="auto"/>
        </w:rPr>
      </w:pPr>
    </w:p>
    <w:p>
      <w:pPr>
        <w:ind w:right="3199" w:firstLine="1255"/>
        <w:spacing w:after="0" w:line="270" w:lineRule="auto"/>
        <w:tabs>
          <w:tab w:leader="none" w:pos="180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amount of any Company liability to the Optionee, including any liability attributable to the Optionee's participation in any Company-sponsored deferred compensation program or arrangement;</w:t>
      </w:r>
    </w:p>
    <w:p>
      <w:pPr>
        <w:spacing w:after="0" w:line="157" w:lineRule="exact"/>
        <w:rPr>
          <w:rFonts w:ascii="Courier New" w:cs="Courier New" w:eastAsia="Courier New" w:hAnsi="Courier New"/>
          <w:sz w:val="14"/>
          <w:szCs w:val="14"/>
          <w:color w:val="auto"/>
        </w:rPr>
      </w:pPr>
    </w:p>
    <w:p>
      <w:pPr>
        <w:ind w:left="1800" w:hanging="635"/>
        <w:spacing w:after="0"/>
        <w:tabs>
          <w:tab w:leader="none" w:pos="1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7" w:lineRule="exact"/>
        <w:rPr>
          <w:rFonts w:ascii="Courier New" w:cs="Courier New" w:eastAsia="Courier New" w:hAnsi="Courier New"/>
          <w:sz w:val="15"/>
          <w:szCs w:val="15"/>
          <w:color w:val="auto"/>
        </w:rPr>
      </w:pPr>
    </w:p>
    <w:p>
      <w:pPr>
        <w:ind w:right="3559" w:firstLine="1074"/>
        <w:spacing w:after="0" w:line="243" w:lineRule="auto"/>
        <w:tabs>
          <w:tab w:leader="none" w:pos="180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ectPr>
          <w:pgSz w:w="11900" w:h="16838" w:orient="portrait"/>
          <w:cols w:equalWidth="0" w:num="1">
            <w:col w:w="10219"/>
          </w:cols>
          <w:pgMar w:left="240" w:top="638" w:right="1440" w:bottom="1440" w:gutter="0" w:footer="0" w:header="0"/>
        </w:sectPr>
      </w:pPr>
    </w:p>
    <w:bookmarkStart w:id="51" w:name="page52"/>
    <w:bookmarkEnd w:id="51"/>
    <w:p>
      <w:pPr>
        <w:ind w:left="620" w:hanging="447"/>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thereunder shall be exercisable according to the terms of the Plan and at such times and under such conditions as determined by the Administrator and set forth in the Option Agreement.</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83"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175" w:lineRule="exact"/>
        <w:rPr>
          <w:sz w:val="20"/>
          <w:szCs w:val="20"/>
          <w:color w:val="auto"/>
        </w:rPr>
      </w:pPr>
    </w:p>
    <w:p>
      <w:pPr>
        <w:ind w:left="620"/>
        <w:spacing w:after="0"/>
        <w:tabs>
          <w:tab w:leader="none" w:pos="5920" w:val="left"/>
        </w:tabs>
        <w:rPr>
          <w:sz w:val="20"/>
          <w:szCs w:val="20"/>
          <w:color w:val="auto"/>
        </w:rPr>
      </w:pPr>
      <w:r>
        <w:rPr>
          <w:rFonts w:ascii="Courier New" w:cs="Courier New" w:eastAsia="Courier New" w:hAnsi="Courier New"/>
          <w:sz w:val="15"/>
          <w:szCs w:val="15"/>
          <w:color w:val="auto"/>
        </w:rPr>
        <w:t>(b) Termination of Employment or Consulting Relationship.</w:t>
        <w:tab/>
        <w:t>Upon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1" w:lineRule="exact"/>
        <w:rPr>
          <w:sz w:val="20"/>
          <w:szCs w:val="20"/>
          <w:color w:val="auto"/>
        </w:rPr>
      </w:pPr>
    </w:p>
    <w:p>
      <w:pPr>
        <w:ind w:left="980" w:hanging="356"/>
        <w:spacing w:after="0"/>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Optionee.  In the event that an Optionee's Continuous</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0" w:lineRule="exact"/>
        <w:rPr>
          <w:sz w:val="20"/>
          <w:szCs w:val="20"/>
          <w:color w:val="auto"/>
        </w:rPr>
      </w:pPr>
    </w:p>
    <w:p>
      <w:pPr>
        <w:ind w:left="980" w:hanging="356"/>
        <w:spacing w:after="0"/>
        <w:tabs>
          <w:tab w:leader="none" w:pos="9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an Optionee, the</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ectPr>
          <w:pgSz w:w="11900" w:h="16838" w:orient="portrait"/>
          <w:cols w:equalWidth="0" w:num="1">
            <w:col w:w="10219"/>
          </w:cols>
          <w:pgMar w:left="240" w:top="638" w:right="1440" w:bottom="1440" w:gutter="0" w:footer="0" w:header="0"/>
        </w:sectPr>
      </w:pPr>
    </w:p>
    <w:bookmarkStart w:id="52" w:name="page53"/>
    <w:bookmarkEnd w:id="52"/>
    <w:p>
      <w:pPr>
        <w:ind w:left="988" w:hanging="356"/>
        <w:spacing w:after="0"/>
        <w:tabs>
          <w:tab w:leader="none" w:pos="9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Any Optionee who is also a participant in the</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76" w:lineRule="exact"/>
        <w:rPr>
          <w:sz w:val="20"/>
          <w:szCs w:val="20"/>
          <w:color w:val="auto"/>
        </w:rPr>
      </w:pPr>
    </w:p>
    <w:p>
      <w:pPr>
        <w:ind w:left="628" w:hanging="447"/>
        <w:spacing w:after="0"/>
        <w:tabs>
          <w:tab w:leader="none" w:pos="62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Unless otherwise specified by the</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75" w:lineRule="exact"/>
        <w:rPr>
          <w:sz w:val="20"/>
          <w:szCs w:val="20"/>
          <w:color w:val="auto"/>
        </w:rPr>
      </w:pPr>
    </w:p>
    <w:p>
      <w:pPr>
        <w:ind w:left="628" w:hanging="447"/>
        <w:spacing w:after="0"/>
        <w:tabs>
          <w:tab w:leader="none" w:pos="62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 Asset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w:t>
      </w:r>
    </w:p>
    <w:p>
      <w:pPr>
        <w:spacing w:after="0" w:line="3" w:lineRule="exact"/>
        <w:rPr>
          <w:sz w:val="20"/>
          <w:szCs w:val="20"/>
          <w:color w:val="auto"/>
        </w:rPr>
      </w:pPr>
    </w:p>
    <w:p>
      <w:pPr>
        <w:ind w:left="188" w:hanging="188"/>
        <w:spacing w:after="0"/>
        <w:tabs>
          <w:tab w:leader="none" w:pos="1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6" w:lineRule="exact"/>
        <w:rPr>
          <w:rFonts w:ascii="Courier New" w:cs="Courier New" w:eastAsia="Courier New" w:hAnsi="Courier New"/>
          <w:sz w:val="15"/>
          <w:szCs w:val="15"/>
          <w:color w:val="auto"/>
        </w:rPr>
      </w:pPr>
    </w:p>
    <w:p>
      <w:pPr>
        <w:ind w:left="988" w:hanging="356"/>
        <w:spacing w:after="0"/>
        <w:tabs>
          <w:tab w:leader="none" w:pos="98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4" w:lineRule="exact"/>
        <w:rPr>
          <w:sz w:val="20"/>
          <w:szCs w:val="20"/>
          <w:color w:val="auto"/>
        </w:rPr>
      </w:pPr>
    </w:p>
    <w:p>
      <w:pPr>
        <w:ind w:left="628"/>
        <w:spacing w:after="0"/>
        <w:tabs>
          <w:tab w:leader="none" w:pos="3587" w:val="left"/>
        </w:tabs>
        <w:rPr>
          <w:sz w:val="20"/>
          <w:szCs w:val="20"/>
          <w:color w:val="auto"/>
        </w:rPr>
      </w:pPr>
      <w:r>
        <w:rPr>
          <w:rFonts w:ascii="Courier New" w:cs="Courier New" w:eastAsia="Courier New" w:hAnsi="Courier New"/>
          <w:sz w:val="15"/>
          <w:szCs w:val="15"/>
          <w:color w:val="auto"/>
        </w:rPr>
        <w:t>(b) Dissolution or Liquidation.</w:t>
      </w:r>
      <w:r>
        <w:rPr>
          <w:sz w:val="20"/>
          <w:szCs w:val="20"/>
          <w:color w:val="auto"/>
        </w:rPr>
        <w:tab/>
      </w:r>
      <w:r>
        <w:rPr>
          <w:rFonts w:ascii="Courier New" w:cs="Courier New" w:eastAsia="Courier New" w:hAnsi="Courier New"/>
          <w:sz w:val="14"/>
          <w:szCs w:val="14"/>
          <w:color w:val="auto"/>
        </w:rPr>
        <w:t>In the event of the proposed dissolution</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7" w:lineRule="exact"/>
        <w:rPr>
          <w:sz w:val="20"/>
          <w:szCs w:val="20"/>
          <w:color w:val="auto"/>
        </w:rPr>
      </w:pPr>
    </w:p>
    <w:p>
      <w:pPr>
        <w:ind w:left="988" w:hanging="356"/>
        <w:spacing w:after="0"/>
        <w:tabs>
          <w:tab w:leader="none" w:pos="98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Asset Sale.  In the event of a merger of the Company with</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ectPr>
          <w:pgSz w:w="11900" w:h="16838" w:orient="portrait"/>
          <w:cols w:equalWidth="0" w:num="1">
            <w:col w:w="10227"/>
          </w:cols>
          <w:pgMar w:left="232" w:top="638" w:right="1440" w:bottom="1440" w:gutter="0" w:footer="0" w:header="0"/>
        </w:sectPr>
      </w:pPr>
    </w:p>
    <w:bookmarkStart w:id="53" w:name="page54"/>
    <w:bookmarkEnd w:id="53"/>
    <w:p>
      <w:pPr>
        <w:ind w:left="620"/>
        <w:spacing w:after="0"/>
        <w:tabs>
          <w:tab w:leader="none" w:pos="2760" w:val="left"/>
        </w:tabs>
        <w:rPr>
          <w:sz w:val="20"/>
          <w:szCs w:val="20"/>
          <w:color w:val="auto"/>
        </w:rPr>
      </w:pPr>
      <w:r>
        <w:rPr>
          <w:rFonts w:ascii="Courier New" w:cs="Courier New" w:eastAsia="Courier New" w:hAnsi="Courier New"/>
          <w:sz w:val="15"/>
          <w:szCs w:val="15"/>
          <w:color w:val="auto"/>
        </w:rPr>
        <w:t>(d) Change in Control.</w:t>
        <w:tab/>
        <w:t>In the event of a Change in Control,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unexercised portion of the Option shall become immediately exercisable.</w:t>
      </w:r>
    </w:p>
    <w:p>
      <w:pPr>
        <w:spacing w:after="0" w:line="177" w:lineRule="exact"/>
        <w:rPr>
          <w:sz w:val="20"/>
          <w:szCs w:val="20"/>
          <w:color w:val="auto"/>
        </w:rPr>
      </w:pPr>
    </w:p>
    <w:p>
      <w:pPr>
        <w:ind w:left="620" w:hanging="447"/>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75" w:lineRule="exact"/>
        <w:rPr>
          <w:sz w:val="20"/>
          <w:szCs w:val="20"/>
          <w:color w:val="auto"/>
        </w:rPr>
      </w:pPr>
    </w:p>
    <w:p>
      <w:pPr>
        <w:ind w:left="620" w:hanging="447"/>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suspend, or terminate the Plan.</w:t>
      </w:r>
    </w:p>
    <w:p>
      <w:pPr>
        <w:spacing w:after="0" w:line="177" w:lineRule="exact"/>
        <w:rPr>
          <w:sz w:val="20"/>
          <w:szCs w:val="20"/>
          <w:color w:val="auto"/>
        </w:rPr>
      </w:pPr>
    </w:p>
    <w:p>
      <w:pPr>
        <w:ind w:left="980" w:hanging="356"/>
        <w:spacing w:after="0"/>
        <w:tabs>
          <w:tab w:leader="none" w:pos="9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5" w:lineRule="exact"/>
        <w:rPr>
          <w:sz w:val="20"/>
          <w:szCs w:val="20"/>
          <w:color w:val="auto"/>
        </w:rPr>
      </w:pPr>
    </w:p>
    <w:p>
      <w:pPr>
        <w:ind w:left="620" w:hanging="447"/>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76" w:lineRule="exact"/>
        <w:rPr>
          <w:sz w:val="20"/>
          <w:szCs w:val="20"/>
          <w:color w:val="auto"/>
        </w:rPr>
      </w:pPr>
    </w:p>
    <w:p>
      <w:pPr>
        <w:ind w:left="980" w:hanging="356"/>
        <w:spacing w:after="0"/>
        <w:tabs>
          <w:tab w:leader="none" w:pos="9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sz w:val="20"/>
          <w:szCs w:val="20"/>
          <w:color w:val="auto"/>
        </w:rPr>
      </w:pPr>
    </w:p>
    <w:p>
      <w:pPr>
        <w:ind w:left="620" w:hanging="447"/>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  The inability of the Company to obtain authority</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sz w:val="20"/>
          <w:szCs w:val="20"/>
          <w:color w:val="auto"/>
        </w:rPr>
      </w:pPr>
    </w:p>
    <w:p>
      <w:pPr>
        <w:ind w:left="620" w:hanging="447"/>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at all times reserve and keep available such number of Shares as shall be sufficient to satisfy the requirements of the Plan.</w:t>
      </w:r>
    </w:p>
    <w:p>
      <w:pPr>
        <w:sectPr>
          <w:pgSz w:w="11900" w:h="16838" w:orient="portrait"/>
          <w:cols w:equalWidth="0" w:num="1">
            <w:col w:w="10219"/>
          </w:cols>
          <w:pgMar w:left="240" w:top="638" w:right="1440" w:bottom="1440" w:gutter="0" w:footer="0" w:header="0"/>
        </w:sectPr>
      </w:pPr>
    </w:p>
    <w:bookmarkStart w:id="54" w:name="page55"/>
    <w:bookmarkEnd w:id="54"/>
    <w:p>
      <w:pPr>
        <w:jc w:val="right"/>
        <w:ind w:right="3019"/>
        <w:spacing w:after="0"/>
        <w:rPr>
          <w:sz w:val="20"/>
          <w:szCs w:val="20"/>
          <w:color w:val="auto"/>
        </w:rPr>
      </w:pPr>
      <w:r>
        <w:rPr>
          <w:rFonts w:ascii="Courier New" w:cs="Courier New" w:eastAsia="Courier New" w:hAnsi="Courier New"/>
          <w:sz w:val="15"/>
          <w:szCs w:val="15"/>
          <w:color w:val="auto"/>
        </w:rPr>
        <w:t>EXHIBIT 10-114</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MICRON TECHNOLOGY,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1997 NONSTATUTORY STOCK OPTION PLAN</w:t>
      </w:r>
    </w:p>
    <w:p>
      <w:pPr>
        <w:spacing w:after="0" w:line="350" w:lineRule="exact"/>
        <w:rPr>
          <w:sz w:val="20"/>
          <w:szCs w:val="20"/>
          <w:color w:val="auto"/>
        </w:rPr>
      </w:pPr>
    </w:p>
    <w:p>
      <w:pPr>
        <w:ind w:left="540" w:hanging="367"/>
        <w:spacing w:after="0"/>
        <w:tabs>
          <w:tab w:leader="none" w:pos="5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  The purposes of this Plan are:</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00" w:right="3379" w:hanging="357"/>
        <w:spacing w:after="0" w:line="243" w:lineRule="auto"/>
        <w:tabs>
          <w:tab w:leader="none" w:pos="8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attract and retain the best available personnel for positions of substantial responsibility,</w:t>
      </w:r>
    </w:p>
    <w:p>
      <w:pPr>
        <w:spacing w:after="0" w:line="175" w:lineRule="exact"/>
        <w:rPr>
          <w:sz w:val="20"/>
          <w:szCs w:val="20"/>
          <w:color w:val="auto"/>
        </w:rPr>
      </w:pPr>
    </w:p>
    <w:p>
      <w:pPr>
        <w:ind w:left="800" w:hanging="357"/>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additional incentive to Employees and Consultants, and</w:t>
      </w:r>
    </w:p>
    <w:p>
      <w:pPr>
        <w:spacing w:after="0" w:line="176"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promote the success of the Company's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Nonstatutory stock options may be granted under the Plan.</w:t>
      </w:r>
    </w:p>
    <w:p>
      <w:pPr>
        <w:spacing w:after="0" w:line="177" w:lineRule="exact"/>
        <w:rPr>
          <w:sz w:val="20"/>
          <w:szCs w:val="20"/>
          <w:color w:val="auto"/>
        </w:rPr>
      </w:pPr>
    </w:p>
    <w:p>
      <w:pPr>
        <w:ind w:left="540" w:hanging="367"/>
        <w:spacing w:after="0"/>
        <w:tabs>
          <w:tab w:leader="none" w:pos="5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definitions shall apply:</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or any of its Committees as shall be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administering the Plan, in accordance with Section 4 of the Plan.</w:t>
      </w:r>
    </w:p>
    <w:p>
      <w:pPr>
        <w:spacing w:after="0" w:line="177" w:lineRule="exact"/>
        <w:rPr>
          <w:sz w:val="20"/>
          <w:szCs w:val="20"/>
          <w:color w:val="auto"/>
        </w:rPr>
      </w:pPr>
    </w:p>
    <w:p>
      <w:pPr>
        <w:ind w:left="980" w:hanging="356"/>
        <w:spacing w:after="0"/>
        <w:tabs>
          <w:tab w:leader="none" w:pos="9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Laws" means the legal requirements relating to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administration of stock option plans and the issuance of stock and stock options under federal securities laws, Delaware corporate and securities laws, the Code, and the applicable laws of any foreign country or jurisdiction where options will be or are being granted under the Plan.</w:t>
      </w:r>
    </w:p>
    <w:p>
      <w:pPr>
        <w:spacing w:after="0" w:line="175" w:lineRule="exact"/>
        <w:rPr>
          <w:sz w:val="20"/>
          <w:szCs w:val="20"/>
          <w:color w:val="auto"/>
        </w:rPr>
      </w:pPr>
    </w:p>
    <w:p>
      <w:pPr>
        <w:ind w:left="980" w:hanging="356"/>
        <w:spacing w:after="0"/>
        <w:tabs>
          <w:tab w:leader="none" w:pos="9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acquisition by any person or entity,</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directly, indirectly or beneficially, acting alone or in concert, of more than thirty-five percent (35%) of the Common Stock of the Company outstanding at any time.</w:t>
      </w:r>
    </w:p>
    <w:p>
      <w:pPr>
        <w:spacing w:after="0" w:line="175" w:lineRule="exact"/>
        <w:rPr>
          <w:sz w:val="20"/>
          <w:szCs w:val="20"/>
          <w:color w:val="auto"/>
        </w:rPr>
      </w:pPr>
    </w:p>
    <w:p>
      <w:pPr>
        <w:ind w:left="980" w:hanging="356"/>
        <w:spacing w:after="0"/>
        <w:tabs>
          <w:tab w:leader="none" w:pos="9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Committee appointed by the Board in accordance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4 of the Plan.</w:t>
      </w:r>
    </w:p>
    <w:p>
      <w:pPr>
        <w:spacing w:after="0" w:line="177" w:lineRule="exact"/>
        <w:rPr>
          <w:sz w:val="20"/>
          <w:szCs w:val="20"/>
          <w:color w:val="auto"/>
        </w:rPr>
      </w:pPr>
    </w:p>
    <w:p>
      <w:pPr>
        <w:ind w:left="980" w:hanging="356"/>
        <w:spacing w:after="0"/>
        <w:tabs>
          <w:tab w:leader="none" w:pos="9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Micron Technology, Inc., a Delaware corporation.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engaged by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Company or a parent, subsidiary or affiliate to render services. The term "Consultant" shall not include any person who is also an Officer or Director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(j)</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"Continuous Status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as an</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Employee or Consultant"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means that the</w:t>
            </w:r>
          </w:p>
        </w:tc>
      </w:tr>
      <w:tr>
        <w:trPr>
          <w:trHeight w:val="173"/>
        </w:trPr>
        <w:tc>
          <w:tcPr>
            <w:tcW w:w="940" w:type="dxa"/>
            <w:vAlign w:val="bottom"/>
          </w:tcPr>
          <w:p>
            <w:pPr>
              <w:spacing w:after="0"/>
              <w:rPr>
                <w:sz w:val="15"/>
                <w:szCs w:val="15"/>
                <w:color w:val="auto"/>
              </w:rPr>
            </w:pPr>
          </w:p>
        </w:tc>
        <w:tc>
          <w:tcPr>
            <w:tcW w:w="44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5"/>
                <w:szCs w:val="15"/>
                <w:color w:val="auto"/>
              </w:rPr>
            </w:pP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employment</w:t>
            </w:r>
          </w:p>
        </w:tc>
        <w:tc>
          <w:tcPr>
            <w:tcW w:w="4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 consulting relationship with the Company, any</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parent, subsidiary,</w:t>
            </w:r>
          </w:p>
        </w:tc>
      </w:tr>
      <w:tr>
        <w:trPr>
          <w:trHeight w:val="173"/>
        </w:trPr>
        <w:tc>
          <w:tcPr>
            <w:tcW w:w="3200" w:type="dxa"/>
            <w:vAlign w:val="bottom"/>
            <w:gridSpan w:val="3"/>
          </w:tcPr>
          <w:p>
            <w:pPr>
              <w:spacing w:after="0"/>
              <w:rPr>
                <w:sz w:val="20"/>
                <w:szCs w:val="20"/>
                <w:color w:val="auto"/>
              </w:rPr>
            </w:pPr>
            <w:r>
              <w:rPr>
                <w:rFonts w:ascii="Courier New" w:cs="Courier New" w:eastAsia="Courier New" w:hAnsi="Courier New"/>
                <w:sz w:val="15"/>
                <w:szCs w:val="15"/>
                <w:color w:val="auto"/>
              </w:rPr>
              <w:t>or affiliate, is not interrupted or</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terminated.  Continuous</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Status as an</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Employee or Consultant shall</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not be</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considered interrupted in the case of (i)</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any leave of absence approved</w:t>
            </w:r>
          </w:p>
        </w:tc>
        <w:tc>
          <w:tcPr>
            <w:tcW w:w="46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by the Company, (ii) transfers between locations</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w w:val="98"/>
              </w:rPr>
              <w:t>of the Company or between the</w:t>
            </w:r>
          </w:p>
        </w:tc>
        <w:tc>
          <w:tcPr>
            <w:tcW w:w="46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Company, its Parent, any Subsidiary, or any</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successor or (iii) change in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status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from either an Employee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to a Consultant or a</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Consultant</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to an Employee.  A</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leave</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absence approved by the Company shall</w:t>
            </w:r>
          </w:p>
        </w:tc>
      </w:tr>
      <w:tr>
        <w:trPr>
          <w:trHeight w:val="173"/>
        </w:trPr>
        <w:tc>
          <w:tcPr>
            <w:tcW w:w="2600" w:type="dxa"/>
            <w:vAlign w:val="bottom"/>
            <w:gridSpan w:val="2"/>
          </w:tcPr>
          <w:p>
            <w:pPr>
              <w:spacing w:after="0"/>
              <w:rPr>
                <w:sz w:val="20"/>
                <w:szCs w:val="20"/>
                <w:color w:val="auto"/>
              </w:rPr>
            </w:pPr>
            <w:r>
              <w:rPr>
                <w:rFonts w:ascii="Courier New" w:cs="Courier New" w:eastAsia="Courier New" w:hAnsi="Courier New"/>
                <w:sz w:val="15"/>
                <w:szCs w:val="15"/>
                <w:color w:val="auto"/>
              </w:rPr>
              <w:t>include sick leave, military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leave,</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any other personal leave approved by an</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authorized</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representative of</w:t>
            </w:r>
          </w:p>
        </w:tc>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the Company.</w:t>
            </w:r>
          </w:p>
        </w:tc>
        <w:tc>
          <w:tcPr>
            <w:tcW w:w="1840" w:type="dxa"/>
            <w:vAlign w:val="bottom"/>
          </w:tcPr>
          <w:p>
            <w:pPr>
              <w:spacing w:after="0"/>
              <w:rPr>
                <w:sz w:val="15"/>
                <w:szCs w:val="15"/>
                <w:color w:val="auto"/>
              </w:rPr>
            </w:pPr>
          </w:p>
        </w:tc>
      </w:tr>
    </w:tbl>
    <w:p>
      <w:pPr>
        <w:spacing w:after="0" w:line="177" w:lineRule="exact"/>
        <w:rPr>
          <w:sz w:val="20"/>
          <w:szCs w:val="20"/>
          <w:color w:val="auto"/>
        </w:rPr>
      </w:pPr>
    </w:p>
    <w:p>
      <w:pPr>
        <w:ind w:left="980" w:hanging="356"/>
        <w:spacing w:after="0"/>
        <w:tabs>
          <w:tab w:leader="none" w:pos="9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88" w:right="1440" w:bottom="1440" w:gutter="0" w:footer="0" w:header="0"/>
        </w:sectPr>
      </w:pPr>
    </w:p>
    <w:bookmarkStart w:id="55" w:name="page56"/>
    <w:bookmarkEnd w:id="55"/>
    <w:p>
      <w:pPr>
        <w:ind w:left="980" w:hanging="356"/>
        <w:spacing w:after="0"/>
        <w:tabs>
          <w:tab w:leader="none" w:pos="9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total and permanent disability as defined in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22(e)(3) of the Code.</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 "Employee" means any person, except Officers and Directors, employed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Company or any parent, subsidiary or affiliate of the Company.</w:t>
      </w:r>
    </w:p>
    <w:p>
      <w:pPr>
        <w:spacing w:after="0" w:line="177" w:lineRule="exact"/>
        <w:rPr>
          <w:sz w:val="20"/>
          <w:szCs w:val="20"/>
          <w:color w:val="auto"/>
        </w:rPr>
      </w:pPr>
    </w:p>
    <w:p>
      <w:pPr>
        <w:ind w:left="980" w:hanging="356"/>
        <w:spacing w:after="0"/>
        <w:tabs>
          <w:tab w:leader="none" w:pos="9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average closing price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w:t>
      </w:r>
    </w:p>
    <w:p>
      <w:pPr>
        <w:spacing w:after="0" w:line="2"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other source as the Administrator deems reliable.</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"Notice of Grant" means a written notice evidencing certain terms and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conditions of an individual Option grant. The Notice of Grant is subject to the terms and conditions of the Option Agreement.</w:t>
      </w:r>
    </w:p>
    <w:p>
      <w:pPr>
        <w:spacing w:after="0" w:line="175" w:lineRule="exact"/>
        <w:rPr>
          <w:sz w:val="20"/>
          <w:szCs w:val="20"/>
          <w:color w:val="auto"/>
        </w:rPr>
      </w:pPr>
    </w:p>
    <w:p>
      <w:pPr>
        <w:ind w:left="980" w:hanging="356"/>
        <w:spacing w:after="0"/>
        <w:tabs>
          <w:tab w:leader="none" w:pos="9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meaning of Section 16 of the Securities Exchange Act of 1934, as amended, and the rules and regulations promulgated thereunder.</w:t>
      </w:r>
    </w:p>
    <w:p>
      <w:pPr>
        <w:spacing w:after="0" w:line="175" w:lineRule="exact"/>
        <w:rPr>
          <w:sz w:val="20"/>
          <w:szCs w:val="20"/>
          <w:color w:val="auto"/>
        </w:rPr>
      </w:pPr>
    </w:p>
    <w:p>
      <w:pPr>
        <w:ind w:left="980" w:hanging="356"/>
        <w:spacing w:after="0"/>
        <w:tabs>
          <w:tab w:leader="none" w:pos="9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Plan. Such option is not intended to qualify as an incentive stock option within the meaning of Section 422 of the Code and the regulations promulgated thereunder.</w:t>
      </w:r>
    </w:p>
    <w:p>
      <w:pPr>
        <w:spacing w:after="0" w:line="175" w:lineRule="exact"/>
        <w:rPr>
          <w:sz w:val="20"/>
          <w:szCs w:val="20"/>
          <w:color w:val="auto"/>
        </w:rPr>
      </w:pPr>
    </w:p>
    <w:p>
      <w:pPr>
        <w:ind w:left="980" w:hanging="356"/>
        <w:spacing w:after="0"/>
        <w:tabs>
          <w:tab w:leader="none" w:pos="9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Optionee evidencing the terms and conditions of an individual Option grant.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Agreement is subject to the terms and conditions of the Plan.</w:t>
      </w:r>
    </w:p>
    <w:p>
      <w:pPr>
        <w:spacing w:after="0" w:line="177" w:lineRule="exact"/>
        <w:rPr>
          <w:sz w:val="20"/>
          <w:szCs w:val="20"/>
          <w:color w:val="auto"/>
        </w:rPr>
      </w:pPr>
    </w:p>
    <w:p>
      <w:pPr>
        <w:ind w:left="980" w:hanging="356"/>
        <w:spacing w:after="0"/>
        <w:tabs>
          <w:tab w:leader="none" w:pos="9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Exchange Program" means a program whereby outstanding options</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surrendered in exchange for options with a lower exercise price.</w:t>
      </w:r>
    </w:p>
    <w:p>
      <w:pPr>
        <w:spacing w:after="0" w:line="177" w:lineRule="exact"/>
        <w:rPr>
          <w:sz w:val="20"/>
          <w:szCs w:val="20"/>
          <w:color w:val="auto"/>
        </w:rPr>
      </w:pPr>
    </w:p>
    <w:p>
      <w:pPr>
        <w:ind w:left="980" w:hanging="356"/>
        <w:spacing w:after="0"/>
        <w:tabs>
          <w:tab w:leader="none" w:pos="9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"Optioned Stock" means the Common Stock subject to an Option.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an Employee or Consultant who holds an outstanding</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177" w:lineRule="exact"/>
        <w:rPr>
          <w:sz w:val="20"/>
          <w:szCs w:val="20"/>
          <w:color w:val="auto"/>
        </w:rPr>
      </w:pPr>
    </w:p>
    <w:p>
      <w:pPr>
        <w:ind w:left="980" w:hanging="356"/>
        <w:spacing w:after="0"/>
        <w:tabs>
          <w:tab w:leader="none" w:pos="9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Nonstatutory Stock Option Plan.</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means a share of the Common Stock, as adjusted in accordance</w:t>
      </w:r>
    </w:p>
    <w:p>
      <w:pPr>
        <w:spacing w:after="0" w:line="3"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Section 12 of the Plan.</w:t>
      </w:r>
    </w:p>
    <w:p>
      <w:pPr>
        <w:spacing w:after="0" w:line="178" w:lineRule="exact"/>
        <w:rPr>
          <w:sz w:val="20"/>
          <w:szCs w:val="20"/>
          <w:color w:val="auto"/>
        </w:rPr>
      </w:pPr>
    </w:p>
    <w:p>
      <w:pPr>
        <w:ind w:left="540" w:hanging="367"/>
        <w:spacing w:after="0"/>
        <w:tabs>
          <w:tab w:leader="none" w:pos="5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  Subject to the provisions of Section 12 of the</w:t>
      </w:r>
    </w:p>
    <w:p>
      <w:pPr>
        <w:spacing w:after="0" w:line="14"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Plan, the maximum aggregate number of Shares which may be optioned and sold under the Plan is 400,000. The Shares may be authorized, but unissued, or reacquired Common Stock.</w:t>
      </w:r>
    </w:p>
    <w:p>
      <w:pPr>
        <w:spacing w:after="0" w:line="175" w:lineRule="exact"/>
        <w:rPr>
          <w:sz w:val="20"/>
          <w:szCs w:val="20"/>
          <w:color w:val="auto"/>
        </w:rPr>
      </w:pPr>
    </w:p>
    <w:p>
      <w:pPr>
        <w:ind w:right="3019" w:firstLine="631"/>
        <w:spacing w:after="0" w:line="244" w:lineRule="auto"/>
        <w:rPr>
          <w:sz w:val="20"/>
          <w:szCs w:val="20"/>
          <w:color w:val="auto"/>
        </w:rPr>
      </w:pPr>
      <w:r>
        <w:rPr>
          <w:rFonts w:ascii="Courier New" w:cs="Courier New" w:eastAsia="Courier New" w:hAnsi="Courier New"/>
          <w:sz w:val="15"/>
          <w:szCs w:val="15"/>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75" w:lineRule="exact"/>
        <w:rPr>
          <w:sz w:val="20"/>
          <w:szCs w:val="20"/>
          <w:color w:val="auto"/>
        </w:rPr>
      </w:pPr>
    </w:p>
    <w:p>
      <w:pPr>
        <w:ind w:left="540" w:hanging="367"/>
        <w:spacing w:after="0"/>
        <w:tabs>
          <w:tab w:leader="none" w:pos="5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The Plan shall be administered by (A) the Board or (B) a</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ectPr>
          <w:pgSz w:w="11900" w:h="16838" w:orient="portrait"/>
          <w:cols w:equalWidth="0" w:num="1">
            <w:col w:w="10219"/>
          </w:cols>
          <w:pgMar w:left="240" w:top="638" w:right="1440" w:bottom="1440" w:gutter="0" w:footer="0" w:header="0"/>
        </w:sectPr>
      </w:pPr>
    </w:p>
    <w:bookmarkStart w:id="56" w:name="page57"/>
    <w:bookmarkEnd w:id="56"/>
    <w:p>
      <w:pPr>
        <w:ind w:left="980" w:hanging="356"/>
        <w:spacing w:after="0"/>
        <w:tabs>
          <w:tab w:leader="none" w:pos="9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the Administrator.  Subject to the provisions of the Plan,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and in the case of a Committee, subject to the specific duties delegated by the Board to such Committee, the Administrator shall have the authority, in its discretion:</w:t>
      </w:r>
    </w:p>
    <w:p>
      <w:pPr>
        <w:spacing w:after="0" w:line="175" w:lineRule="exact"/>
        <w:rPr>
          <w:sz w:val="20"/>
          <w:szCs w:val="20"/>
          <w:color w:val="auto"/>
        </w:rPr>
      </w:pPr>
    </w:p>
    <w:p>
      <w:pPr>
        <w:ind w:left="1700" w:hanging="355"/>
        <w:spacing w:after="0"/>
        <w:tabs>
          <w:tab w:leader="none" w:pos="1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the Common Stock;</w:t>
      </w:r>
    </w:p>
    <w:p>
      <w:pPr>
        <w:spacing w:after="0" w:line="177" w:lineRule="exact"/>
        <w:rPr>
          <w:rFonts w:ascii="Courier New" w:cs="Courier New" w:eastAsia="Courier New" w:hAnsi="Courier New"/>
          <w:sz w:val="15"/>
          <w:szCs w:val="15"/>
          <w:color w:val="auto"/>
        </w:rPr>
      </w:pPr>
    </w:p>
    <w:p>
      <w:pPr>
        <w:ind w:right="3199" w:firstLine="1255"/>
        <w:spacing w:after="0" w:line="243" w:lineRule="auto"/>
        <w:tabs>
          <w:tab w:leader="none" w:pos="171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Consultants and Employees to whom Options may be granted hereunder;</w:t>
      </w:r>
    </w:p>
    <w:p>
      <w:pPr>
        <w:spacing w:after="0" w:line="175" w:lineRule="exact"/>
        <w:rPr>
          <w:rFonts w:ascii="Courier New" w:cs="Courier New" w:eastAsia="Courier New" w:hAnsi="Courier New"/>
          <w:sz w:val="15"/>
          <w:szCs w:val="15"/>
          <w:color w:val="auto"/>
        </w:rPr>
      </w:pPr>
    </w:p>
    <w:p>
      <w:pPr>
        <w:ind w:left="1700" w:hanging="535"/>
        <w:spacing w:after="0"/>
        <w:tabs>
          <w:tab w:leader="none" w:pos="1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and to what extent Options are granted</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w:t>
      </w:r>
    </w:p>
    <w:p>
      <w:pPr>
        <w:spacing w:after="0" w:line="177" w:lineRule="exact"/>
        <w:rPr>
          <w:rFonts w:ascii="Courier New" w:cs="Courier New" w:eastAsia="Courier New" w:hAnsi="Courier New"/>
          <w:sz w:val="15"/>
          <w:szCs w:val="15"/>
          <w:color w:val="auto"/>
        </w:rPr>
      </w:pPr>
    </w:p>
    <w:p>
      <w:pPr>
        <w:ind w:right="3559" w:firstLine="1255"/>
        <w:spacing w:after="0" w:line="243" w:lineRule="auto"/>
        <w:tabs>
          <w:tab w:leader="none" w:pos="171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of Common Stock to be covered by each Option granted hereunder;</w:t>
      </w:r>
    </w:p>
    <w:p>
      <w:pPr>
        <w:spacing w:after="0" w:line="175" w:lineRule="exact"/>
        <w:rPr>
          <w:rFonts w:ascii="Courier New" w:cs="Courier New" w:eastAsia="Courier New" w:hAnsi="Courier New"/>
          <w:sz w:val="15"/>
          <w:szCs w:val="15"/>
          <w:color w:val="auto"/>
        </w:rPr>
      </w:pPr>
    </w:p>
    <w:p>
      <w:pPr>
        <w:ind w:left="1700" w:hanging="355"/>
        <w:spacing w:after="0"/>
        <w:tabs>
          <w:tab w:leader="none" w:pos="1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forms of agreement for use under the Plan;</w:t>
      </w:r>
    </w:p>
    <w:p>
      <w:pPr>
        <w:spacing w:after="0" w:line="177" w:lineRule="exact"/>
        <w:rPr>
          <w:rFonts w:ascii="Courier New" w:cs="Courier New" w:eastAsia="Courier New" w:hAnsi="Courier New"/>
          <w:sz w:val="15"/>
          <w:szCs w:val="15"/>
          <w:color w:val="auto"/>
        </w:rPr>
      </w:pPr>
    </w:p>
    <w:p>
      <w:pPr>
        <w:ind w:right="3019" w:firstLine="1255"/>
        <w:spacing w:after="0" w:line="244" w:lineRule="auto"/>
        <w:tabs>
          <w:tab w:leader="none" w:pos="171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8" w:lineRule="exact"/>
        <w:rPr>
          <w:rFonts w:ascii="Courier New" w:cs="Courier New" w:eastAsia="Courier New" w:hAnsi="Courier New"/>
          <w:sz w:val="15"/>
          <w:szCs w:val="15"/>
          <w:color w:val="auto"/>
        </w:rPr>
      </w:pPr>
    </w:p>
    <w:p>
      <w:pPr>
        <w:ind w:right="3199" w:firstLine="1165"/>
        <w:spacing w:after="0" w:line="270" w:lineRule="auto"/>
        <w:tabs>
          <w:tab w:leader="none" w:pos="171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reduce the exercise price of any Option to the then current Fair Market Value if the Fair Market Value of the Common Stock covered by such Option shall have declined since the date the Option was granted;</w:t>
      </w:r>
    </w:p>
    <w:p>
      <w:pPr>
        <w:spacing w:after="0" w:line="158" w:lineRule="exact"/>
        <w:rPr>
          <w:rFonts w:ascii="Courier New" w:cs="Courier New" w:eastAsia="Courier New" w:hAnsi="Courier New"/>
          <w:sz w:val="14"/>
          <w:szCs w:val="14"/>
          <w:color w:val="auto"/>
        </w:rPr>
      </w:pPr>
    </w:p>
    <w:p>
      <w:pPr>
        <w:ind w:right="3279" w:firstLine="1074"/>
        <w:spacing w:after="0" w:line="243" w:lineRule="auto"/>
        <w:tabs>
          <w:tab w:leader="none" w:pos="171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terms of the Plan and awards granted pursuant to the Plan;</w:t>
      </w:r>
    </w:p>
    <w:p>
      <w:pPr>
        <w:spacing w:after="0" w:line="176" w:lineRule="exact"/>
        <w:rPr>
          <w:rFonts w:ascii="Courier New" w:cs="Courier New" w:eastAsia="Courier New" w:hAnsi="Courier New"/>
          <w:sz w:val="15"/>
          <w:szCs w:val="15"/>
          <w:color w:val="auto"/>
        </w:rPr>
      </w:pPr>
    </w:p>
    <w:p>
      <w:pPr>
        <w:ind w:right="3459" w:firstLine="1255"/>
        <w:spacing w:after="0" w:line="244" w:lineRule="auto"/>
        <w:tabs>
          <w:tab w:leader="none" w:pos="171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5" w:lineRule="exact"/>
        <w:rPr>
          <w:rFonts w:ascii="Courier New" w:cs="Courier New" w:eastAsia="Courier New" w:hAnsi="Courier New"/>
          <w:sz w:val="15"/>
          <w:szCs w:val="15"/>
          <w:color w:val="auto"/>
        </w:rPr>
      </w:pPr>
    </w:p>
    <w:p>
      <w:pPr>
        <w:ind w:right="3199" w:firstLine="1345"/>
        <w:spacing w:after="0" w:line="244" w:lineRule="auto"/>
        <w:tabs>
          <w:tab w:leader="none" w:pos="171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75" w:lineRule="exact"/>
        <w:rPr>
          <w:rFonts w:ascii="Courier New" w:cs="Courier New" w:eastAsia="Courier New" w:hAnsi="Courier New"/>
          <w:sz w:val="15"/>
          <w:szCs w:val="15"/>
          <w:color w:val="auto"/>
        </w:rPr>
      </w:pPr>
    </w:p>
    <w:p>
      <w:pPr>
        <w:ind w:left="1700" w:hanging="445"/>
        <w:spacing w:after="0"/>
        <w:tabs>
          <w:tab w:leader="none" w:pos="1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any person to execute on behalf of the</w:t>
      </w:r>
    </w:p>
    <w:p>
      <w:pPr>
        <w:spacing w:after="0" w:line="4"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Company any instrument required to effect the grant of an Option previously granted by the Administrator;</w:t>
      </w:r>
    </w:p>
    <w:p>
      <w:pPr>
        <w:spacing w:after="0" w:line="175" w:lineRule="exact"/>
        <w:rPr>
          <w:sz w:val="20"/>
          <w:szCs w:val="20"/>
          <w:color w:val="auto"/>
        </w:rPr>
      </w:pPr>
    </w:p>
    <w:p>
      <w:pPr>
        <w:ind w:left="1700" w:hanging="535"/>
        <w:spacing w:after="0"/>
        <w:tabs>
          <w:tab w:leader="none" w:pos="170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institute and Option Exchange Program;</w:t>
      </w:r>
    </w:p>
    <w:p>
      <w:pPr>
        <w:spacing w:after="0" w:line="177" w:lineRule="exact"/>
        <w:rPr>
          <w:rFonts w:ascii="Courier New" w:cs="Courier New" w:eastAsia="Courier New" w:hAnsi="Courier New"/>
          <w:sz w:val="15"/>
          <w:szCs w:val="15"/>
          <w:color w:val="auto"/>
        </w:rPr>
      </w:pPr>
    </w:p>
    <w:p>
      <w:pPr>
        <w:ind w:right="3019" w:firstLine="1074"/>
        <w:spacing w:after="0" w:line="244" w:lineRule="auto"/>
        <w:tabs>
          <w:tab w:leader="none" w:pos="1713"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75" w:lineRule="exact"/>
        <w:rPr>
          <w:rFonts w:ascii="Courier New" w:cs="Courier New" w:eastAsia="Courier New" w:hAnsi="Courier New"/>
          <w:sz w:val="15"/>
          <w:szCs w:val="15"/>
          <w:color w:val="auto"/>
        </w:rPr>
      </w:pPr>
    </w:p>
    <w:p>
      <w:pPr>
        <w:ind w:right="3819" w:firstLine="1165"/>
        <w:spacing w:after="0" w:line="243" w:lineRule="auto"/>
        <w:tabs>
          <w:tab w:leader="none" w:pos="1713"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deemed necessary or advisable for administering the Plan.</w:t>
      </w:r>
    </w:p>
    <w:p>
      <w:pPr>
        <w:spacing w:after="0" w:line="175" w:lineRule="exact"/>
        <w:rPr>
          <w:rFonts w:ascii="Courier New" w:cs="Courier New" w:eastAsia="Courier New" w:hAnsi="Courier New"/>
          <w:sz w:val="15"/>
          <w:szCs w:val="15"/>
          <w:color w:val="auto"/>
        </w:rPr>
      </w:pPr>
    </w:p>
    <w:p>
      <w:pPr>
        <w:ind w:left="980" w:hanging="356"/>
        <w:spacing w:after="0"/>
        <w:tabs>
          <w:tab w:leader="none" w:pos="9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Administrator's Decision.  The Administrator's decisions,</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determinations, and interpretations shall be final and binding on all Optionees and any other holders of Options.</w:t>
      </w:r>
    </w:p>
    <w:p>
      <w:pPr>
        <w:spacing w:after="0" w:line="175" w:lineRule="exact"/>
        <w:rPr>
          <w:sz w:val="20"/>
          <w:szCs w:val="20"/>
          <w:color w:val="auto"/>
        </w:rPr>
      </w:pPr>
    </w:p>
    <w:p>
      <w:pPr>
        <w:ind w:left="540" w:hanging="367"/>
        <w:spacing w:after="0"/>
        <w:tabs>
          <w:tab w:leader="none" w:pos="5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may be granted to Employees and Consultants.</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8" w:right="1440" w:bottom="1440" w:gutter="0" w:footer="0" w:header="0"/>
        </w:sectPr>
      </w:pPr>
    </w:p>
    <w:bookmarkStart w:id="57" w:name="page58"/>
    <w:bookmarkEnd w:id="57"/>
    <w:p>
      <w:pPr>
        <w:ind w:left="540" w:hanging="367"/>
        <w:spacing w:after="0"/>
        <w:tabs>
          <w:tab w:leader="none" w:pos="5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Neither the Plan nor any Option shall confer upon an</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75" w:lineRule="exact"/>
        <w:rPr>
          <w:sz w:val="20"/>
          <w:szCs w:val="20"/>
          <w:color w:val="auto"/>
        </w:rPr>
      </w:pPr>
    </w:p>
    <w:p>
      <w:pPr>
        <w:ind w:left="540" w:hanging="367"/>
        <w:spacing w:after="0"/>
        <w:tabs>
          <w:tab w:leader="none" w:pos="5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shall become effective upon its adoption by the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Board. It shall continue in effect until terminated under Section 14 of the Plan.</w:t>
      </w:r>
    </w:p>
    <w:p>
      <w:pPr>
        <w:spacing w:after="0" w:line="175" w:lineRule="exact"/>
        <w:rPr>
          <w:sz w:val="20"/>
          <w:szCs w:val="20"/>
          <w:color w:val="auto"/>
        </w:rPr>
      </w:pPr>
    </w:p>
    <w:p>
      <w:pPr>
        <w:ind w:left="540" w:hanging="367"/>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  The term of each Option shall be stated in the Notice of</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w:t>
      </w:r>
    </w:p>
    <w:p>
      <w:pPr>
        <w:spacing w:after="0" w:line="177" w:lineRule="exact"/>
        <w:rPr>
          <w:sz w:val="20"/>
          <w:szCs w:val="20"/>
          <w:color w:val="auto"/>
        </w:rPr>
      </w:pPr>
    </w:p>
    <w:p>
      <w:pPr>
        <w:ind w:left="540" w:hanging="367"/>
        <w:spacing w:after="0"/>
        <w:tabs>
          <w:tab w:leader="none" w:pos="5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and Consideration.</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per share exercise price for the Shares to be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4179"/>
        <w:spacing w:after="0" w:line="243" w:lineRule="auto"/>
        <w:rPr>
          <w:sz w:val="20"/>
          <w:szCs w:val="20"/>
          <w:color w:val="auto"/>
        </w:rPr>
      </w:pPr>
      <w:r>
        <w:rPr>
          <w:rFonts w:ascii="Courier New" w:cs="Courier New" w:eastAsia="Courier New" w:hAnsi="Courier New"/>
          <w:sz w:val="15"/>
          <w:szCs w:val="15"/>
          <w:color w:val="auto"/>
        </w:rPr>
        <w:t>issued pursuant to exercise of an Option shall be determined by the Administrator.</w:t>
      </w:r>
    </w:p>
    <w:p>
      <w:pPr>
        <w:spacing w:after="0" w:line="175" w:lineRule="exact"/>
        <w:rPr>
          <w:sz w:val="20"/>
          <w:szCs w:val="20"/>
          <w:color w:val="auto"/>
        </w:rPr>
      </w:pPr>
    </w:p>
    <w:p>
      <w:pPr>
        <w:ind w:left="620"/>
        <w:spacing w:after="0"/>
        <w:tabs>
          <w:tab w:leader="none" w:pos="4200" w:val="left"/>
        </w:tabs>
        <w:rPr>
          <w:sz w:val="20"/>
          <w:szCs w:val="20"/>
          <w:color w:val="auto"/>
        </w:rPr>
      </w:pPr>
      <w:r>
        <w:rPr>
          <w:rFonts w:ascii="Courier New" w:cs="Courier New" w:eastAsia="Courier New" w:hAnsi="Courier New"/>
          <w:sz w:val="15"/>
          <w:szCs w:val="15"/>
          <w:color w:val="auto"/>
        </w:rPr>
        <w:t>(b) Waiting Period and Exercise Dates.</w:t>
        <w:tab/>
        <w:t>At the time an Option is granted,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19"/>
        <w:spacing w:after="0" w:line="266" w:lineRule="auto"/>
        <w:rPr>
          <w:sz w:val="20"/>
          <w:szCs w:val="20"/>
          <w:color w:val="auto"/>
        </w:rPr>
      </w:pPr>
      <w:r>
        <w:rPr>
          <w:rFonts w:ascii="Courier New" w:cs="Courier New" w:eastAsia="Courier New" w:hAnsi="Courier New"/>
          <w:sz w:val="14"/>
          <w:szCs w:val="14"/>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61" w:lineRule="exact"/>
        <w:rPr>
          <w:sz w:val="20"/>
          <w:szCs w:val="20"/>
          <w:color w:val="auto"/>
        </w:rPr>
      </w:pPr>
    </w:p>
    <w:p>
      <w:pPr>
        <w:ind w:left="620"/>
        <w:spacing w:after="0"/>
        <w:tabs>
          <w:tab w:leader="none" w:pos="3120" w:val="left"/>
        </w:tabs>
        <w:rPr>
          <w:sz w:val="20"/>
          <w:szCs w:val="20"/>
          <w:color w:val="auto"/>
        </w:rPr>
      </w:pPr>
      <w:r>
        <w:rPr>
          <w:rFonts w:ascii="Courier New" w:cs="Courier New" w:eastAsia="Courier New" w:hAnsi="Courier New"/>
          <w:sz w:val="15"/>
          <w:szCs w:val="15"/>
          <w:color w:val="auto"/>
        </w:rPr>
        <w:t>(c) Form of Consideration.</w:t>
        <w:tab/>
        <w:t>The Administrator shall determine the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acceptable form of consideration for exercising an Option, including the method of payment. Such consideration may consist entirely of:</w:t>
      </w:r>
    </w:p>
    <w:p>
      <w:pPr>
        <w:spacing w:after="0" w:line="175" w:lineRule="exact"/>
        <w:rPr>
          <w:sz w:val="20"/>
          <w:szCs w:val="20"/>
          <w:color w:val="auto"/>
        </w:rPr>
      </w:pPr>
    </w:p>
    <w:p>
      <w:pPr>
        <w:ind w:left="1800" w:hanging="455"/>
        <w:spacing w:after="0"/>
        <w:tabs>
          <w:tab w:leader="none" w:pos="1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w:t>
      </w:r>
    </w:p>
    <w:p>
      <w:pPr>
        <w:spacing w:after="0" w:line="176" w:lineRule="exact"/>
        <w:rPr>
          <w:rFonts w:ascii="Courier New" w:cs="Courier New" w:eastAsia="Courier New" w:hAnsi="Courier New"/>
          <w:sz w:val="15"/>
          <w:szCs w:val="15"/>
          <w:color w:val="auto"/>
        </w:rPr>
      </w:pPr>
    </w:p>
    <w:p>
      <w:pPr>
        <w:ind w:left="1800" w:hanging="545"/>
        <w:spacing w:after="0"/>
        <w:tabs>
          <w:tab w:leader="none" w:pos="1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w:t>
      </w:r>
    </w:p>
    <w:p>
      <w:pPr>
        <w:spacing w:after="0" w:line="176" w:lineRule="exact"/>
        <w:rPr>
          <w:rFonts w:ascii="Courier New" w:cs="Courier New" w:eastAsia="Courier New" w:hAnsi="Courier New"/>
          <w:sz w:val="15"/>
          <w:szCs w:val="15"/>
          <w:color w:val="auto"/>
        </w:rPr>
      </w:pPr>
    </w:p>
    <w:p>
      <w:pPr>
        <w:ind w:left="1800" w:hanging="635"/>
        <w:spacing w:after="0"/>
        <w:tabs>
          <w:tab w:leader="none" w:pos="1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w:t>
      </w:r>
    </w:p>
    <w:p>
      <w:pPr>
        <w:spacing w:after="0" w:line="177" w:lineRule="exact"/>
        <w:rPr>
          <w:rFonts w:ascii="Courier New" w:cs="Courier New" w:eastAsia="Courier New" w:hAnsi="Courier New"/>
          <w:sz w:val="15"/>
          <w:szCs w:val="15"/>
          <w:color w:val="auto"/>
        </w:rPr>
      </w:pPr>
    </w:p>
    <w:p>
      <w:pPr>
        <w:ind w:right="3099" w:firstLine="1255"/>
        <w:spacing w:after="0" w:line="244" w:lineRule="auto"/>
        <w:tabs>
          <w:tab w:leader="none" w:pos="180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76" w:lineRule="exact"/>
        <w:rPr>
          <w:rFonts w:ascii="Courier New" w:cs="Courier New" w:eastAsia="Courier New" w:hAnsi="Courier New"/>
          <w:sz w:val="15"/>
          <w:szCs w:val="15"/>
          <w:color w:val="auto"/>
        </w:rPr>
      </w:pPr>
    </w:p>
    <w:p>
      <w:pPr>
        <w:ind w:right="3279" w:firstLine="1345"/>
        <w:spacing w:after="0" w:line="244" w:lineRule="auto"/>
        <w:tabs>
          <w:tab w:leader="none" w:pos="180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75" w:lineRule="exact"/>
        <w:rPr>
          <w:rFonts w:ascii="Courier New" w:cs="Courier New" w:eastAsia="Courier New" w:hAnsi="Courier New"/>
          <w:sz w:val="15"/>
          <w:szCs w:val="15"/>
          <w:color w:val="auto"/>
        </w:rPr>
      </w:pPr>
    </w:p>
    <w:p>
      <w:pPr>
        <w:ind w:right="3199" w:firstLine="1255"/>
        <w:spacing w:after="0" w:line="270" w:lineRule="auto"/>
        <w:tabs>
          <w:tab w:leader="none" w:pos="1803"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amount of any Company liability to the Optionee, including any liability attributable to the Optionee's participation in any Company-sponsored deferred compensation program or arrangement;</w:t>
      </w:r>
    </w:p>
    <w:p>
      <w:pPr>
        <w:spacing w:after="0" w:line="157" w:lineRule="exact"/>
        <w:rPr>
          <w:rFonts w:ascii="Courier New" w:cs="Courier New" w:eastAsia="Courier New" w:hAnsi="Courier New"/>
          <w:sz w:val="14"/>
          <w:szCs w:val="14"/>
          <w:color w:val="auto"/>
        </w:rPr>
      </w:pPr>
    </w:p>
    <w:p>
      <w:pPr>
        <w:ind w:left="1800" w:hanging="635"/>
        <w:spacing w:after="0"/>
        <w:tabs>
          <w:tab w:leader="none" w:pos="1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foregoing methods of payment; or</w:t>
      </w:r>
    </w:p>
    <w:p>
      <w:pPr>
        <w:spacing w:after="0" w:line="177" w:lineRule="exact"/>
        <w:rPr>
          <w:rFonts w:ascii="Courier New" w:cs="Courier New" w:eastAsia="Courier New" w:hAnsi="Courier New"/>
          <w:sz w:val="15"/>
          <w:szCs w:val="15"/>
          <w:color w:val="auto"/>
        </w:rPr>
      </w:pPr>
    </w:p>
    <w:p>
      <w:pPr>
        <w:ind w:right="3559" w:firstLine="1074"/>
        <w:spacing w:after="0" w:line="243" w:lineRule="auto"/>
        <w:tabs>
          <w:tab w:leader="none" w:pos="180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and method of payment for the issuance of Shares to the extent permitted by Applicable Laws.</w:t>
      </w:r>
    </w:p>
    <w:p>
      <w:pPr>
        <w:sectPr>
          <w:pgSz w:w="11900" w:h="16838" w:orient="portrait"/>
          <w:cols w:equalWidth="0" w:num="1">
            <w:col w:w="10219"/>
          </w:cols>
          <w:pgMar w:left="240" w:top="638" w:right="1440" w:bottom="1440" w:gutter="0" w:footer="0" w:header="0"/>
        </w:sectPr>
      </w:pPr>
    </w:p>
    <w:bookmarkStart w:id="58" w:name="page59"/>
    <w:bookmarkEnd w:id="58"/>
    <w:p>
      <w:pPr>
        <w:ind w:left="620" w:hanging="447"/>
        <w:spacing w:after="0"/>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Exercise; Rights as a Shareholder.  Any Option granted</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thereunder shall be exercisable according to the terms of the Plan and at such times and under such conditions as determined by the Administrator and set forth in the Option Agreement.</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An Option may not be exercised for a fraction of a Share.</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83"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Exercising an Option in any manner shall decrease the number of Shares thereafter available, both for purposes of the Plan and for sale under the Option, by the number of Shares as to which the Option is exercised.</w:t>
      </w:r>
    </w:p>
    <w:p>
      <w:pPr>
        <w:spacing w:after="0" w:line="175" w:lineRule="exact"/>
        <w:rPr>
          <w:sz w:val="20"/>
          <w:szCs w:val="20"/>
          <w:color w:val="auto"/>
        </w:rPr>
      </w:pPr>
    </w:p>
    <w:p>
      <w:pPr>
        <w:ind w:left="980" w:hanging="356"/>
        <w:spacing w:after="0"/>
        <w:tabs>
          <w:tab w:leader="none" w:pos="9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or Consulting Relationship.  Upon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1" w:lineRule="exact"/>
        <w:rPr>
          <w:sz w:val="20"/>
          <w:szCs w:val="20"/>
          <w:color w:val="auto"/>
        </w:rPr>
      </w:pPr>
    </w:p>
    <w:p>
      <w:pPr>
        <w:ind w:left="620"/>
        <w:spacing w:after="0"/>
        <w:tabs>
          <w:tab w:leader="none" w:pos="3220" w:val="left"/>
        </w:tabs>
        <w:rPr>
          <w:sz w:val="20"/>
          <w:szCs w:val="20"/>
          <w:color w:val="auto"/>
        </w:rPr>
      </w:pPr>
      <w:r>
        <w:rPr>
          <w:rFonts w:ascii="Courier New" w:cs="Courier New" w:eastAsia="Courier New" w:hAnsi="Courier New"/>
          <w:sz w:val="15"/>
          <w:szCs w:val="15"/>
          <w:color w:val="auto"/>
        </w:rPr>
        <w:t>(c) Disability of Optionee.</w:t>
      </w:r>
      <w:r>
        <w:rPr>
          <w:sz w:val="20"/>
          <w:szCs w:val="20"/>
          <w:color w:val="auto"/>
        </w:rPr>
        <w:tab/>
      </w:r>
      <w:r>
        <w:rPr>
          <w:rFonts w:ascii="Courier New" w:cs="Courier New" w:eastAsia="Courier New" w:hAnsi="Courier New"/>
          <w:sz w:val="14"/>
          <w:szCs w:val="14"/>
          <w:color w:val="auto"/>
        </w:rPr>
        <w:t>In the event that an Optionee's Continuous</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80" w:lineRule="exact"/>
        <w:rPr>
          <w:sz w:val="20"/>
          <w:szCs w:val="20"/>
          <w:color w:val="auto"/>
        </w:rPr>
      </w:pPr>
    </w:p>
    <w:p>
      <w:pPr>
        <w:ind w:left="980" w:hanging="356"/>
        <w:spacing w:after="0"/>
        <w:tabs>
          <w:tab w:leader="none" w:pos="9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Optionee.  In the event of the death of an Optionee, the</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ectPr>
          <w:pgSz w:w="11900" w:h="16838" w:orient="portrait"/>
          <w:cols w:equalWidth="0" w:num="1">
            <w:col w:w="10219"/>
          </w:cols>
          <w:pgMar w:left="240" w:top="638" w:right="1440" w:bottom="1440" w:gutter="0" w:footer="0" w:header="0"/>
        </w:sectPr>
      </w:pPr>
    </w:p>
    <w:bookmarkStart w:id="59" w:name="page60"/>
    <w:bookmarkEnd w:id="59"/>
    <w:p>
      <w:pPr>
        <w:ind w:left="628"/>
        <w:spacing w:after="0"/>
        <w:tabs>
          <w:tab w:leader="none" w:pos="2227" w:val="left"/>
        </w:tabs>
        <w:rPr>
          <w:sz w:val="20"/>
          <w:szCs w:val="20"/>
          <w:color w:val="auto"/>
        </w:rPr>
      </w:pPr>
      <w:r>
        <w:rPr>
          <w:rFonts w:ascii="Courier New" w:cs="Courier New" w:eastAsia="Courier New" w:hAnsi="Courier New"/>
          <w:sz w:val="15"/>
          <w:szCs w:val="15"/>
          <w:color w:val="auto"/>
        </w:rPr>
        <w:t>(e) Suspension.</w:t>
        <w:tab/>
        <w:t>Any Optionee who is also a participant in the</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76" w:lineRule="exact"/>
        <w:rPr>
          <w:sz w:val="20"/>
          <w:szCs w:val="20"/>
          <w:color w:val="auto"/>
        </w:rPr>
      </w:pPr>
    </w:p>
    <w:p>
      <w:pPr>
        <w:ind w:left="628" w:hanging="447"/>
        <w:spacing w:after="0"/>
        <w:tabs>
          <w:tab w:leader="none" w:pos="62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Unless otherwise specified by the</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75" w:lineRule="exact"/>
        <w:rPr>
          <w:sz w:val="20"/>
          <w:szCs w:val="20"/>
          <w:color w:val="auto"/>
        </w:rPr>
      </w:pPr>
    </w:p>
    <w:p>
      <w:pPr>
        <w:ind w:left="628" w:hanging="447"/>
        <w:spacing w:after="0"/>
        <w:tabs>
          <w:tab w:leader="none" w:pos="62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Merger, or Asset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w:t>
      </w:r>
    </w:p>
    <w:p>
      <w:pPr>
        <w:spacing w:after="0" w:line="3" w:lineRule="exact"/>
        <w:rPr>
          <w:sz w:val="20"/>
          <w:szCs w:val="20"/>
          <w:color w:val="auto"/>
        </w:rPr>
      </w:pPr>
    </w:p>
    <w:p>
      <w:pPr>
        <w:ind w:left="188" w:hanging="188"/>
        <w:spacing w:after="0"/>
        <w:tabs>
          <w:tab w:leader="none" w:pos="18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6" w:lineRule="exact"/>
        <w:rPr>
          <w:rFonts w:ascii="Courier New" w:cs="Courier New" w:eastAsia="Courier New" w:hAnsi="Courier New"/>
          <w:sz w:val="15"/>
          <w:szCs w:val="15"/>
          <w:color w:val="auto"/>
        </w:rPr>
      </w:pPr>
    </w:p>
    <w:p>
      <w:pPr>
        <w:ind w:left="988" w:hanging="356"/>
        <w:spacing w:after="0"/>
        <w:tabs>
          <w:tab w:leader="none" w:pos="988"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Subject to any required action by the</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84" w:lineRule="exact"/>
        <w:rPr>
          <w:sz w:val="20"/>
          <w:szCs w:val="20"/>
          <w:color w:val="auto"/>
        </w:rPr>
      </w:pPr>
    </w:p>
    <w:p>
      <w:pPr>
        <w:ind w:left="628"/>
        <w:spacing w:after="0"/>
        <w:tabs>
          <w:tab w:leader="none" w:pos="3587" w:val="left"/>
        </w:tabs>
        <w:rPr>
          <w:sz w:val="20"/>
          <w:szCs w:val="20"/>
          <w:color w:val="auto"/>
        </w:rPr>
      </w:pPr>
      <w:r>
        <w:rPr>
          <w:rFonts w:ascii="Courier New" w:cs="Courier New" w:eastAsia="Courier New" w:hAnsi="Courier New"/>
          <w:sz w:val="15"/>
          <w:szCs w:val="15"/>
          <w:color w:val="auto"/>
        </w:rPr>
        <w:t>(b) Dissolution or Liquidation.</w:t>
      </w:r>
      <w:r>
        <w:rPr>
          <w:sz w:val="20"/>
          <w:szCs w:val="20"/>
          <w:color w:val="auto"/>
        </w:rPr>
        <w:tab/>
      </w:r>
      <w:r>
        <w:rPr>
          <w:rFonts w:ascii="Courier New" w:cs="Courier New" w:eastAsia="Courier New" w:hAnsi="Courier New"/>
          <w:sz w:val="14"/>
          <w:szCs w:val="14"/>
          <w:color w:val="auto"/>
        </w:rPr>
        <w:t>In the event of the proposed dissolution</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7" w:lineRule="exact"/>
        <w:rPr>
          <w:sz w:val="20"/>
          <w:szCs w:val="20"/>
          <w:color w:val="auto"/>
        </w:rPr>
      </w:pPr>
    </w:p>
    <w:p>
      <w:pPr>
        <w:ind w:left="628"/>
        <w:spacing w:after="0"/>
        <w:tabs>
          <w:tab w:leader="none" w:pos="3047" w:val="left"/>
        </w:tabs>
        <w:rPr>
          <w:sz w:val="20"/>
          <w:szCs w:val="20"/>
          <w:color w:val="auto"/>
        </w:rPr>
      </w:pPr>
      <w:r>
        <w:rPr>
          <w:rFonts w:ascii="Courier New" w:cs="Courier New" w:eastAsia="Courier New" w:hAnsi="Courier New"/>
          <w:sz w:val="15"/>
          <w:szCs w:val="15"/>
          <w:color w:val="auto"/>
        </w:rPr>
        <w:t>(c) Merger or Asset Sale.</w:t>
      </w:r>
      <w:r>
        <w:rPr>
          <w:sz w:val="20"/>
          <w:szCs w:val="20"/>
          <w:color w:val="auto"/>
        </w:rPr>
        <w:tab/>
      </w:r>
      <w:r>
        <w:rPr>
          <w:rFonts w:ascii="Courier New" w:cs="Courier New" w:eastAsia="Courier New" w:hAnsi="Courier New"/>
          <w:sz w:val="14"/>
          <w:szCs w:val="14"/>
          <w:color w:val="auto"/>
        </w:rPr>
        <w:t>In the event of a merger of the Company with</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0" w:lineRule="exact"/>
        <w:rPr>
          <w:sz w:val="20"/>
          <w:szCs w:val="20"/>
          <w:color w:val="auto"/>
        </w:rPr>
      </w:pPr>
    </w:p>
    <w:p>
      <w:pPr>
        <w:spacing w:after="0" w:line="309" w:lineRule="exact"/>
        <w:rPr>
          <w:sz w:val="20"/>
          <w:szCs w:val="20"/>
          <w:color w:val="auto"/>
        </w:rPr>
      </w:pPr>
    </w:p>
    <w:p>
      <w:pPr>
        <w:ind w:left="988" w:hanging="356"/>
        <w:spacing w:after="0"/>
        <w:tabs>
          <w:tab w:leader="none" w:pos="98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In the event of a Change in Control, the</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unexercised portion of the Option shall become immediately exercisable.</w:t>
      </w:r>
    </w:p>
    <w:p>
      <w:pPr>
        <w:sectPr>
          <w:pgSz w:w="11900" w:h="16838" w:orient="portrait"/>
          <w:cols w:equalWidth="0" w:num="1">
            <w:col w:w="10227"/>
          </w:cols>
          <w:pgMar w:left="232" w:top="638" w:right="1440" w:bottom="1075" w:gutter="0" w:footer="0" w:header="0"/>
        </w:sectPr>
      </w:pPr>
    </w:p>
    <w:bookmarkStart w:id="60" w:name="page61"/>
    <w:bookmarkEnd w:id="60"/>
    <w:p>
      <w:pPr>
        <w:ind w:left="620" w:hanging="447"/>
        <w:spacing w:after="0"/>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The date of grant of an Option shall be, for all</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75" w:lineRule="exact"/>
        <w:rPr>
          <w:sz w:val="20"/>
          <w:szCs w:val="20"/>
          <w:color w:val="auto"/>
        </w:rPr>
      </w:pPr>
    </w:p>
    <w:p>
      <w:pPr>
        <w:ind w:left="620" w:hanging="447"/>
        <w:spacing w:after="0"/>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980" w:hanging="356"/>
        <w:spacing w:after="0"/>
        <w:tabs>
          <w:tab w:leader="none" w:pos="98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The Board may at any time amend, alter,</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suspend, or terminate the Plan.</w:t>
      </w:r>
    </w:p>
    <w:p>
      <w:pPr>
        <w:spacing w:after="0" w:line="177" w:lineRule="exact"/>
        <w:rPr>
          <w:sz w:val="20"/>
          <w:szCs w:val="20"/>
          <w:color w:val="auto"/>
        </w:rPr>
      </w:pPr>
    </w:p>
    <w:p>
      <w:pPr>
        <w:ind w:left="980" w:hanging="356"/>
        <w:spacing w:after="0"/>
        <w:tabs>
          <w:tab w:leader="none" w:pos="9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or Termination.  No amendment, alteration,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175" w:lineRule="exact"/>
        <w:rPr>
          <w:sz w:val="20"/>
          <w:szCs w:val="20"/>
          <w:color w:val="auto"/>
        </w:rPr>
      </w:pPr>
    </w:p>
    <w:p>
      <w:pPr>
        <w:ind w:left="620" w:hanging="447"/>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0" w:hanging="356"/>
        <w:spacing w:after="0"/>
        <w:tabs>
          <w:tab w:leader="none" w:pos="9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Compliance.  Shares shall not be issued pursuant to the</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76" w:lineRule="exact"/>
        <w:rPr>
          <w:sz w:val="20"/>
          <w:szCs w:val="20"/>
          <w:color w:val="auto"/>
        </w:rPr>
      </w:pPr>
    </w:p>
    <w:p>
      <w:pPr>
        <w:ind w:left="980" w:hanging="356"/>
        <w:spacing w:after="0"/>
        <w:tabs>
          <w:tab w:leader="none" w:pos="9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As a condition to the exercise of an</w:t>
      </w:r>
    </w:p>
    <w:p>
      <w:pPr>
        <w:spacing w:after="0" w:line="3"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6" w:lineRule="exact"/>
        <w:rPr>
          <w:sz w:val="20"/>
          <w:szCs w:val="20"/>
          <w:color w:val="auto"/>
        </w:rPr>
      </w:pPr>
    </w:p>
    <w:p>
      <w:pPr>
        <w:ind w:left="620" w:hanging="447"/>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Company.  The inability of the Company to obtain authority</w:t>
      </w:r>
    </w:p>
    <w:p>
      <w:pPr>
        <w:spacing w:after="0" w:line="3"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sz w:val="20"/>
          <w:szCs w:val="20"/>
          <w:color w:val="auto"/>
        </w:rPr>
      </w:pPr>
    </w:p>
    <w:p>
      <w:pPr>
        <w:ind w:left="620" w:hanging="447"/>
        <w:spacing w:after="0"/>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Shares.  The Company, during the term of this Plan, will</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at all times reserve and keep available such number of Shares as shall be sufficient to satisfy the requirements of the Plan.</w:t>
      </w:r>
    </w:p>
    <w:p>
      <w:pPr>
        <w:sectPr>
          <w:pgSz w:w="11900" w:h="16838" w:orient="portrait"/>
          <w:cols w:equalWidth="0" w:num="1">
            <w:col w:w="10219"/>
          </w:cols>
          <w:pgMar w:left="240" w:top="638" w:right="1440" w:bottom="1440" w:gutter="0" w:footer="0" w:header="0"/>
        </w:sectPr>
      </w:pPr>
    </w:p>
    <w:bookmarkStart w:id="61" w:name="page62"/>
    <w:bookmarkEnd w:id="61"/>
    <w:p>
      <w:pPr>
        <w:ind w:left="6120"/>
        <w:spacing w:after="0"/>
        <w:rPr>
          <w:sz w:val="20"/>
          <w:szCs w:val="20"/>
          <w:color w:val="auto"/>
        </w:rPr>
      </w:pPr>
      <w:r>
        <w:rPr>
          <w:rFonts w:ascii="Courier New" w:cs="Courier New" w:eastAsia="Courier New" w:hAnsi="Courier New"/>
          <w:sz w:val="15"/>
          <w:szCs w:val="15"/>
          <w:color w:val="auto"/>
        </w:rPr>
        <w:t>EXHIBIT 11.1</w:t>
      </w:r>
    </w:p>
    <w:p>
      <w:pPr>
        <w:spacing w:after="0" w:line="177"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COMPUTATION OF PER SHARE EARNINGS</w:t>
      </w:r>
    </w:p>
    <w:p>
      <w:pPr>
        <w:spacing w:after="0" w:line="3"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(AMOUNTS IN MILLIONS EXCEPT FOR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FISCAL YEAR ENDED</w:t>
            </w:r>
          </w:p>
        </w:tc>
        <w:tc>
          <w:tcPr>
            <w:tcW w:w="1540" w:type="dxa"/>
            <w:vAlign w:val="bottom"/>
          </w:tcPr>
          <w:p>
            <w:pPr>
              <w:spacing w:after="0"/>
              <w:rPr>
                <w:sz w:val="14"/>
                <w:szCs w:val="14"/>
                <w:color w:val="auto"/>
              </w:rPr>
            </w:pPr>
          </w:p>
        </w:tc>
      </w:tr>
      <w:tr>
        <w:trPr>
          <w:trHeight w:val="173"/>
        </w:trPr>
        <w:tc>
          <w:tcPr>
            <w:tcW w:w="5400" w:type="dxa"/>
            <w:vAlign w:val="bottom"/>
          </w:tcPr>
          <w:p>
            <w:pPr>
              <w:spacing w:after="0"/>
              <w:rPr>
                <w:sz w:val="15"/>
                <w:szCs w:val="15"/>
                <w:color w:val="auto"/>
              </w:rPr>
            </w:pPr>
          </w:p>
        </w:tc>
        <w:tc>
          <w:tcPr>
            <w:tcW w:w="4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0" w:type="dxa"/>
            <w:vAlign w:val="bottom"/>
          </w:tcPr>
          <w:p>
            <w:pPr>
              <w:spacing w:after="0"/>
              <w:rPr>
                <w:sz w:val="15"/>
                <w:szCs w:val="15"/>
                <w:color w:val="auto"/>
              </w:rPr>
            </w:pPr>
          </w:p>
        </w:tc>
        <w:tc>
          <w:tcPr>
            <w:tcW w:w="1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AUGUST 28, 1997</w:t>
            </w:r>
          </w:p>
        </w:tc>
        <w:tc>
          <w:tcPr>
            <w:tcW w:w="1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AUGUST 29, 1996</w:t>
            </w:r>
          </w:p>
        </w:tc>
        <w:tc>
          <w:tcPr>
            <w:tcW w:w="1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AUGUST 31, 1995</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Weighted average shares outstanding.........................</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205.1</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effect of dilutive stock options........................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shares................................................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216.3</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213.9</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$332.2</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$844.1</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Primary earnings per share..................................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$ 1.54</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$ 2.76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$ 3.95</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47"/>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Weighted average shares outstanding.........................</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205.1</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effect of dilutive stock options........................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shares................................................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217.5</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216.2</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$332.2</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$593.5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$844.1</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Fully diluted earnings per share............................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$ 1.53</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$ 2.76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$ 3.90</w:t>
            </w:r>
          </w:p>
        </w:tc>
      </w:tr>
      <w:tr>
        <w:trPr>
          <w:trHeight w:val="173"/>
        </w:trPr>
        <w:tc>
          <w:tcPr>
            <w:tcW w:w="54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80"/>
          </w:cols>
          <w:pgMar w:left="240" w:top="488" w:right="1379" w:bottom="1440" w:gutter="0" w:footer="0" w:header="0"/>
        </w:sectPr>
      </w:pPr>
    </w:p>
    <w:bookmarkStart w:id="62" w:name="page63"/>
    <w:bookmarkEnd w:id="62"/>
    <w:p>
      <w:pPr>
        <w:ind w:left="6120"/>
        <w:spacing w:after="0"/>
        <w:rPr>
          <w:sz w:val="20"/>
          <w:szCs w:val="20"/>
          <w:color w:val="auto"/>
        </w:rPr>
      </w:pPr>
      <w:r>
        <w:rPr>
          <w:rFonts w:ascii="Courier New" w:cs="Courier New" w:eastAsia="Courier New" w:hAnsi="Courier New"/>
          <w:sz w:val="15"/>
          <w:szCs w:val="15"/>
          <w:color w:val="auto"/>
        </w:rPr>
        <w:t>EXHIBIT 21.1</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MICRON TECHNOLOGY, INC.</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SUBSIDIARIES OF THE REGISTRANT</w:t>
      </w:r>
    </w:p>
    <w:p>
      <w:pPr>
        <w:spacing w:after="0" w:line="200" w:lineRule="exact"/>
        <w:rPr>
          <w:sz w:val="20"/>
          <w:szCs w:val="20"/>
          <w:color w:val="auto"/>
        </w:rPr>
      </w:pPr>
    </w:p>
    <w:p>
      <w:pPr>
        <w:spacing w:after="0" w:line="324" w:lineRule="exact"/>
        <w:rPr>
          <w:sz w:val="20"/>
          <w:szCs w:val="20"/>
          <w:color w:val="auto"/>
        </w:rPr>
      </w:pPr>
    </w:p>
    <w:p>
      <w:pPr>
        <w:ind w:left="7200"/>
        <w:spacing w:after="0"/>
        <w:rPr>
          <w:sz w:val="20"/>
          <w:szCs w:val="20"/>
          <w:color w:val="auto"/>
        </w:rPr>
      </w:pPr>
      <w:r>
        <w:rPr>
          <w:rFonts w:ascii="Courier New" w:cs="Courier New" w:eastAsia="Courier New" w:hAnsi="Courier New"/>
          <w:sz w:val="15"/>
          <w:szCs w:val="15"/>
          <w:color w:val="auto"/>
        </w:rPr>
        <w:t>STATE (OR JURISDICTION) IN</w:t>
      </w:r>
    </w:p>
    <w:p>
      <w:pPr>
        <w:spacing w:after="0" w:line="3" w:lineRule="exact"/>
        <w:rPr>
          <w:sz w:val="20"/>
          <w:szCs w:val="20"/>
          <w:color w:val="auto"/>
        </w:rPr>
      </w:pPr>
    </w:p>
    <w:p>
      <w:pPr>
        <w:spacing w:after="0"/>
        <w:tabs>
          <w:tab w:leader="none" w:pos="75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WHICH iNCORPORATED</w:t>
      </w:r>
    </w:p>
    <w:p>
      <w:pPr>
        <w:spacing w:after="0" w:line="3" w:lineRule="exact"/>
        <w:rPr>
          <w:sz w:val="20"/>
          <w:szCs w:val="20"/>
          <w:color w:val="auto"/>
        </w:rPr>
      </w:pPr>
    </w:p>
    <w:p>
      <w:pPr>
        <w:spacing w:after="0"/>
        <w:tabs>
          <w:tab w:leader="none" w:pos="7720" w:val="left"/>
        </w:tabs>
        <w:rPr>
          <w:sz w:val="20"/>
          <w:szCs w:val="20"/>
          <w:color w:val="auto"/>
        </w:rPr>
      </w:pPr>
      <w:r>
        <w:rPr>
          <w:rFonts w:ascii="Courier New" w:cs="Courier New" w:eastAsia="Courier New" w:hAnsi="Courier New"/>
          <w:sz w:val="15"/>
          <w:szCs w:val="15"/>
          <w:color w:val="auto"/>
        </w:rPr>
        <w:t>- - - ------------------------------------------------------------------------------</w:t>
        <w:tab/>
        <w:t>--------------------------</w:t>
      </w:r>
    </w:p>
    <w:p>
      <w:pPr>
        <w:sectPr>
          <w:pgSz w:w="11900" w:h="16838" w:orient="portrait"/>
          <w:cols w:equalWidth="0" w:num="1">
            <w:col w:w="10219"/>
          </w:cols>
          <w:pgMar w:left="240" w:top="487" w:right="1440" w:bottom="1440" w:gutter="0" w:footer="0" w:header="0"/>
        </w:sectPr>
      </w:pPr>
    </w:p>
    <w:p>
      <w:pPr>
        <w:spacing w:after="0" w:line="17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Communications,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Display Technology,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Electronics, Inc.......................................................</w:t>
      </w:r>
    </w:p>
    <w:p>
      <w:pPr>
        <w:spacing w:after="0" w:line="1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Custom Manufacturing Services, Inc...................................</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M.C.M.S. SDN. BHD........................................................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PC Tech, Inc................................................................</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Electronics (H.K.) Limited...........................................</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Electronics Japan K.K................................................</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Micron Electronics Overseas Trading, Inc....................................</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Europe Limited.........................................................</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International Sales,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Quantum Devices,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Asia Pacific Pte. Ltd....................................</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Asia Pacific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(Deutschland) GmbH.......................................</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Semiconductor Products,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International, Inc..........................................</w:t>
      </w:r>
    </w:p>
    <w:p>
      <w:pPr>
        <w:spacing w:after="0" w:line="1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Micron Technology Japan K.K...................................................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Minnesota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Germany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British Virgin Islands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ectPr>
          <w:pgSz w:w="11900" w:h="16838" w:orient="portrait"/>
          <w:cols w:equalWidth="0" w:num="2">
            <w:col w:w="7020" w:space="180"/>
            <w:col w:w="3019"/>
          </w:cols>
          <w:pgMar w:left="240" w:top="487" w:right="1440" w:bottom="1440" w:gutter="0" w:footer="0" w:header="0"/>
          <w:type w:val="continuous"/>
        </w:sectPr>
      </w:pPr>
    </w:p>
    <w:bookmarkStart w:id="63" w:name="page64"/>
    <w:bookmarkEnd w:id="63"/>
    <w:p>
      <w:pPr>
        <w:ind w:left="2960"/>
        <w:spacing w:after="0"/>
        <w:rPr>
          <w:sz w:val="20"/>
          <w:szCs w:val="20"/>
          <w:color w:val="auto"/>
        </w:rPr>
      </w:pPr>
      <w:r>
        <w:rPr>
          <w:rFonts w:ascii="Courier New" w:cs="Courier New" w:eastAsia="Courier New" w:hAnsi="Courier New"/>
          <w:sz w:val="15"/>
          <w:szCs w:val="15"/>
          <w:color w:val="auto"/>
        </w:rPr>
        <w:t>ATTACHMENT A</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019" w:firstLine="180"/>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Micron Technology, Inc., on Forms S-3 as amended (File No. 333-18441) and Forms S-8 (File Nos. 33-3686, 33-16832, 33-27078, 33-38665, 33-38926, 33-65050, 33-52653, 33-57887 and 333-07283) of our report dated September 22, 1997, on our audits of the consolidated financial statements of Micron Technology, Inc., and subsidiaries as of August 28, 1997, and August 29, 1996, and for the three years in the period ended August 28, 1997, which report is included in this amendment on Form 10-K.</w:t>
      </w:r>
    </w:p>
    <w:p>
      <w:pPr>
        <w:spacing w:after="0" w:line="200" w:lineRule="exact"/>
        <w:rPr>
          <w:sz w:val="20"/>
          <w:szCs w:val="20"/>
          <w:color w:val="auto"/>
        </w:rPr>
      </w:pPr>
    </w:p>
    <w:p>
      <w:pPr>
        <w:spacing w:after="0" w:line="3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 COOPERS &amp; LYBRAND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 1997</w:t>
      </w:r>
    </w:p>
    <w:p>
      <w:pPr>
        <w:sectPr>
          <w:pgSz w:w="11900" w:h="16838" w:orient="portrait"/>
          <w:cols w:equalWidth="0" w:num="1">
            <w:col w:w="10219"/>
          </w:cols>
          <w:pgMar w:left="240" w:top="487" w:right="1440"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7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50"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YEAR</w:t>
            </w:r>
          </w:p>
        </w:tc>
        <w:tc>
          <w:tcPr>
            <w:tcW w:w="2160" w:type="dxa"/>
            <w:vAlign w:val="bottom"/>
          </w:tcPr>
          <w:p>
            <w:pPr>
              <w:ind w:left="1440"/>
              <w:spacing w:after="0"/>
              <w:rPr>
                <w:sz w:val="20"/>
                <w:szCs w:val="20"/>
                <w:color w:val="auto"/>
              </w:rPr>
            </w:pPr>
            <w:r>
              <w:rPr>
                <w:rFonts w:ascii="Courier New" w:cs="Courier New" w:eastAsia="Courier New" w:hAnsi="Courier New"/>
                <w:sz w:val="15"/>
                <w:szCs w:val="15"/>
                <w:color w:val="auto"/>
              </w:rPr>
              <w:t>YEAR</w:t>
            </w:r>
          </w:p>
        </w:tc>
        <w:tc>
          <w:tcPr>
            <w:tcW w:w="2080" w:type="dxa"/>
            <w:vAlign w:val="bottom"/>
          </w:tcPr>
          <w:p>
            <w:pPr>
              <w:spacing w:after="0"/>
              <w:rPr>
                <w:sz w:val="14"/>
                <w:szCs w:val="14"/>
                <w:color w:val="auto"/>
              </w:rPr>
            </w:pPr>
          </w:p>
        </w:tc>
      </w:tr>
      <w:tr>
        <w:trPr>
          <w:trHeight w:val="173"/>
        </w:trPr>
        <w:tc>
          <w:tcPr>
            <w:tcW w:w="64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Courier New" w:cs="Courier New" w:eastAsia="Courier New" w:hAnsi="Courier New"/>
                <w:sz w:val="15"/>
                <w:szCs w:val="15"/>
                <w:color w:val="auto"/>
              </w:rPr>
              <w:t>AUG-29-1996</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AUG-28-1997</w:t>
            </w:r>
          </w:p>
        </w:tc>
      </w:tr>
      <w:tr>
        <w:trPr>
          <w:trHeight w:val="173"/>
        </w:trPr>
        <w:tc>
          <w:tcPr>
            <w:tcW w:w="640" w:type="dxa"/>
            <w:vAlign w:val="bottom"/>
          </w:tcPr>
          <w:p>
            <w:pPr>
              <w:spacing w:after="0"/>
              <w:rPr>
                <w:sz w:val="15"/>
                <w:szCs w:val="15"/>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rPr>
              <w:t>AUG-29-1996</w:t>
            </w:r>
          </w:p>
        </w:tc>
        <w:tc>
          <w:tcPr>
            <w:tcW w:w="2080" w:type="dxa"/>
            <w:vAlign w:val="bottom"/>
          </w:tcPr>
          <w:p>
            <w:pPr>
              <w:ind w:left="460"/>
              <w:spacing w:after="0"/>
              <w:rPr>
                <w:sz w:val="20"/>
                <w:szCs w:val="20"/>
                <w:color w:val="auto"/>
              </w:rPr>
            </w:pPr>
            <w:r>
              <w:rPr>
                <w:rFonts w:ascii="Courier New" w:cs="Courier New" w:eastAsia="Courier New" w:hAnsi="Courier New"/>
                <w:sz w:val="15"/>
                <w:szCs w:val="15"/>
                <w:color w:val="auto"/>
              </w:rPr>
              <w:t>AUG-28-1997</w:t>
            </w:r>
          </w:p>
        </w:tc>
      </w:tr>
      <w:tr>
        <w:trPr>
          <w:trHeight w:val="173"/>
        </w:trPr>
        <w:tc>
          <w:tcPr>
            <w:tcW w:w="640" w:type="dxa"/>
            <w:vAlign w:val="bottom"/>
          </w:tcPr>
          <w:p>
            <w:pPr>
              <w:spacing w:after="0"/>
              <w:rPr>
                <w:sz w:val="15"/>
                <w:szCs w:val="15"/>
                <w:color w:val="auto"/>
              </w:rPr>
            </w:pPr>
          </w:p>
        </w:tc>
        <w:tc>
          <w:tcPr>
            <w:tcW w:w="2160" w:type="dxa"/>
            <w:vAlign w:val="bottom"/>
          </w:tcPr>
          <w:p>
            <w:pPr>
              <w:ind w:left="1700"/>
              <w:spacing w:after="0"/>
              <w:rPr>
                <w:sz w:val="20"/>
                <w:szCs w:val="20"/>
                <w:color w:val="auto"/>
              </w:rPr>
            </w:pPr>
            <w:r>
              <w:rPr>
                <w:rFonts w:ascii="Courier New" w:cs="Courier New" w:eastAsia="Courier New" w:hAnsi="Courier New"/>
                <w:sz w:val="15"/>
                <w:szCs w:val="15"/>
                <w:color w:val="auto"/>
              </w:rPr>
              <w:t>276</w:t>
            </w: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620</w:t>
            </w:r>
          </w:p>
        </w:tc>
      </w:tr>
      <w:tr>
        <w:trPr>
          <w:trHeight w:val="173"/>
        </w:trPr>
        <w:tc>
          <w:tcPr>
            <w:tcW w:w="640" w:type="dxa"/>
            <w:vAlign w:val="bottom"/>
          </w:tcPr>
          <w:p>
            <w:pPr>
              <w:spacing w:after="0"/>
              <w:rPr>
                <w:sz w:val="15"/>
                <w:szCs w:val="15"/>
                <w:color w:val="auto"/>
              </w:rPr>
            </w:pPr>
          </w:p>
        </w:tc>
        <w:tc>
          <w:tcPr>
            <w:tcW w:w="2160" w:type="dxa"/>
            <w:vAlign w:val="bottom"/>
          </w:tcPr>
          <w:p>
            <w:pPr>
              <w:ind w:left="1260"/>
              <w:spacing w:after="0"/>
              <w:rPr>
                <w:sz w:val="20"/>
                <w:szCs w:val="20"/>
                <w:color w:val="auto"/>
              </w:rPr>
            </w:pPr>
            <w:r>
              <w:rPr>
                <w:rFonts w:ascii="Courier New" w:cs="Courier New" w:eastAsia="Courier New" w:hAnsi="Courier New"/>
                <w:sz w:val="15"/>
                <w:szCs w:val="15"/>
                <w:color w:val="auto"/>
              </w:rPr>
              <w:t>11</w:t>
            </w:r>
          </w:p>
        </w:tc>
        <w:tc>
          <w:tcPr>
            <w:tcW w:w="2080" w:type="dxa"/>
            <w:vAlign w:val="bottom"/>
          </w:tcPr>
          <w:p>
            <w:pPr>
              <w:ind w:left="1180"/>
              <w:spacing w:after="0"/>
              <w:rPr>
                <w:sz w:val="20"/>
                <w:szCs w:val="20"/>
                <w:color w:val="auto"/>
              </w:rPr>
            </w:pPr>
            <w:r>
              <w:rPr>
                <w:rFonts w:ascii="Courier New" w:cs="Courier New" w:eastAsia="Courier New" w:hAnsi="Courier New"/>
                <w:sz w:val="15"/>
                <w:szCs w:val="15"/>
                <w:color w:val="auto"/>
              </w:rPr>
              <w:t>368</w:t>
            </w:r>
          </w:p>
        </w:tc>
      </w:tr>
      <w:tr>
        <w:trPr>
          <w:trHeight w:val="173"/>
        </w:trPr>
        <w:tc>
          <w:tcPr>
            <w:tcW w:w="640" w:type="dxa"/>
            <w:vAlign w:val="bottom"/>
          </w:tcPr>
          <w:p>
            <w:pPr>
              <w:spacing w:after="0"/>
              <w:rPr>
                <w:sz w:val="15"/>
                <w:szCs w:val="15"/>
                <w:color w:val="auto"/>
              </w:rPr>
            </w:pPr>
          </w:p>
        </w:tc>
        <w:tc>
          <w:tcPr>
            <w:tcW w:w="2160" w:type="dxa"/>
            <w:vAlign w:val="bottom"/>
          </w:tcPr>
          <w:p>
            <w:pPr>
              <w:ind w:left="1080"/>
              <w:spacing w:after="0"/>
              <w:rPr>
                <w:sz w:val="20"/>
                <w:szCs w:val="20"/>
                <w:color w:val="auto"/>
              </w:rPr>
            </w:pPr>
            <w:r>
              <w:rPr>
                <w:rFonts w:ascii="Courier New" w:cs="Courier New" w:eastAsia="Courier New" w:hAnsi="Courier New"/>
                <w:sz w:val="15"/>
                <w:szCs w:val="15"/>
                <w:color w:val="auto"/>
              </w:rPr>
              <w:t>375</w:t>
            </w:r>
          </w:p>
        </w:tc>
        <w:tc>
          <w:tcPr>
            <w:tcW w:w="2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497</w:t>
            </w:r>
          </w:p>
        </w:tc>
      </w:tr>
      <w:tr>
        <w:trPr>
          <w:trHeight w:val="173"/>
        </w:trPr>
        <w:tc>
          <w:tcPr>
            <w:tcW w:w="640" w:type="dxa"/>
            <w:vAlign w:val="bottom"/>
          </w:tcPr>
          <w:p>
            <w:pPr>
              <w:spacing w:after="0"/>
              <w:rPr>
                <w:sz w:val="15"/>
                <w:szCs w:val="15"/>
                <w:color w:val="auto"/>
              </w:rPr>
            </w:pPr>
          </w:p>
        </w:tc>
        <w:tc>
          <w:tcPr>
            <w:tcW w:w="2160" w:type="dxa"/>
            <w:vAlign w:val="bottom"/>
          </w:tcPr>
          <w:p>
            <w:pPr>
              <w:ind w:left="1260"/>
              <w:spacing w:after="0"/>
              <w:rPr>
                <w:sz w:val="20"/>
                <w:szCs w:val="20"/>
                <w:color w:val="auto"/>
              </w:rPr>
            </w:pPr>
            <w:r>
              <w:rPr>
                <w:rFonts w:ascii="Courier New" w:cs="Courier New" w:eastAsia="Courier New" w:hAnsi="Courier New"/>
                <w:sz w:val="15"/>
                <w:szCs w:val="15"/>
                <w:color w:val="auto"/>
              </w:rPr>
              <w:t>28</w:t>
            </w:r>
          </w:p>
        </w:tc>
        <w:tc>
          <w:tcPr>
            <w:tcW w:w="2080" w:type="dxa"/>
            <w:vAlign w:val="bottom"/>
          </w:tcPr>
          <w:p>
            <w:pPr>
              <w:ind w:left="1260"/>
              <w:spacing w:after="0"/>
              <w:rPr>
                <w:sz w:val="20"/>
                <w:szCs w:val="20"/>
                <w:color w:val="auto"/>
              </w:rPr>
            </w:pPr>
            <w:r>
              <w:rPr>
                <w:rFonts w:ascii="Courier New" w:cs="Courier New" w:eastAsia="Courier New" w:hAnsi="Courier New"/>
                <w:sz w:val="15"/>
                <w:szCs w:val="15"/>
                <w:color w:val="auto"/>
              </w:rPr>
              <w:t>38</w:t>
            </w:r>
          </w:p>
        </w:tc>
      </w:tr>
      <w:tr>
        <w:trPr>
          <w:trHeight w:val="173"/>
        </w:trPr>
        <w:tc>
          <w:tcPr>
            <w:tcW w:w="640" w:type="dxa"/>
            <w:vAlign w:val="bottom"/>
          </w:tcPr>
          <w:p>
            <w:pPr>
              <w:spacing w:after="0"/>
              <w:rPr>
                <w:sz w:val="15"/>
                <w:szCs w:val="15"/>
                <w:color w:val="auto"/>
              </w:rPr>
            </w:pPr>
          </w:p>
        </w:tc>
        <w:tc>
          <w:tcPr>
            <w:tcW w:w="2160" w:type="dxa"/>
            <w:vAlign w:val="bottom"/>
          </w:tcPr>
          <w:p>
            <w:pPr>
              <w:ind w:left="1260"/>
              <w:spacing w:after="0"/>
              <w:rPr>
                <w:sz w:val="20"/>
                <w:szCs w:val="20"/>
                <w:color w:val="auto"/>
              </w:rPr>
            </w:pPr>
            <w:r>
              <w:rPr>
                <w:rFonts w:ascii="Courier New" w:cs="Courier New" w:eastAsia="Courier New" w:hAnsi="Courier New"/>
                <w:sz w:val="15"/>
                <w:szCs w:val="15"/>
                <w:color w:val="auto"/>
              </w:rPr>
              <w:t>251</w:t>
            </w:r>
          </w:p>
        </w:tc>
        <w:tc>
          <w:tcPr>
            <w:tcW w:w="2080" w:type="dxa"/>
            <w:vAlign w:val="bottom"/>
          </w:tcPr>
          <w:p>
            <w:pPr>
              <w:ind w:left="1260"/>
              <w:spacing w:after="0"/>
              <w:rPr>
                <w:sz w:val="20"/>
                <w:szCs w:val="20"/>
                <w:color w:val="auto"/>
              </w:rPr>
            </w:pPr>
            <w:r>
              <w:rPr>
                <w:rFonts w:ascii="Courier New" w:cs="Courier New" w:eastAsia="Courier New" w:hAnsi="Courier New"/>
                <w:sz w:val="15"/>
                <w:szCs w:val="15"/>
                <w:color w:val="auto"/>
              </w:rPr>
              <w:t>454</w:t>
            </w:r>
          </w:p>
        </w:tc>
      </w:tr>
      <w:tr>
        <w:trPr>
          <w:trHeight w:val="173"/>
        </w:trPr>
        <w:tc>
          <w:tcPr>
            <w:tcW w:w="640" w:type="dxa"/>
            <w:vAlign w:val="bottom"/>
          </w:tcPr>
          <w:p>
            <w:pPr>
              <w:spacing w:after="0"/>
              <w:rPr>
                <w:sz w:val="15"/>
                <w:szCs w:val="15"/>
                <w:color w:val="auto"/>
              </w:rPr>
            </w:pPr>
          </w:p>
        </w:tc>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964</w:t>
            </w:r>
          </w:p>
        </w:tc>
        <w:tc>
          <w:tcPr>
            <w:tcW w:w="20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7"/>
              </w:rPr>
              <w:t>1,972</w:t>
            </w:r>
          </w:p>
        </w:tc>
      </w:tr>
      <w:tr>
        <w:trPr>
          <w:trHeight w:val="173"/>
        </w:trPr>
        <w:tc>
          <w:tcPr>
            <w:tcW w:w="640" w:type="dxa"/>
            <w:vAlign w:val="bottom"/>
          </w:tcPr>
          <w:p>
            <w:pPr>
              <w:spacing w:after="0"/>
              <w:rPr>
                <w:sz w:val="15"/>
                <w:szCs w:val="15"/>
                <w:color w:val="auto"/>
              </w:rPr>
            </w:pPr>
          </w:p>
        </w:tc>
        <w:tc>
          <w:tcPr>
            <w:tcW w:w="2160" w:type="dxa"/>
            <w:vAlign w:val="bottom"/>
          </w:tcPr>
          <w:p>
            <w:pPr>
              <w:ind w:left="1520"/>
              <w:spacing w:after="0"/>
              <w:rPr>
                <w:sz w:val="20"/>
                <w:szCs w:val="20"/>
                <w:color w:val="auto"/>
              </w:rPr>
            </w:pPr>
            <w:r>
              <w:rPr>
                <w:rFonts w:ascii="Courier New" w:cs="Courier New" w:eastAsia="Courier New" w:hAnsi="Courier New"/>
                <w:sz w:val="15"/>
                <w:szCs w:val="15"/>
                <w:color w:val="auto"/>
              </w:rPr>
              <w:t>3,539</w:t>
            </w: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3,951</w:t>
            </w:r>
          </w:p>
        </w:tc>
      </w:tr>
      <w:tr>
        <w:trPr>
          <w:trHeight w:val="173"/>
        </w:trPr>
        <w:tc>
          <w:tcPr>
            <w:tcW w:w="640" w:type="dxa"/>
            <w:vAlign w:val="bottom"/>
          </w:tcPr>
          <w:p>
            <w:pPr>
              <w:spacing w:after="0"/>
              <w:rPr>
                <w:sz w:val="15"/>
                <w:szCs w:val="15"/>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831</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7"/>
              </w:rPr>
              <w:t>1,190</w:t>
            </w:r>
          </w:p>
        </w:tc>
      </w:tr>
      <w:tr>
        <w:trPr>
          <w:trHeight w:val="173"/>
        </w:trPr>
        <w:tc>
          <w:tcPr>
            <w:tcW w:w="640" w:type="dxa"/>
            <w:vAlign w:val="bottom"/>
          </w:tcPr>
          <w:p>
            <w:pPr>
              <w:spacing w:after="0"/>
              <w:rPr>
                <w:sz w:val="15"/>
                <w:szCs w:val="15"/>
                <w:color w:val="auto"/>
              </w:rPr>
            </w:pPr>
          </w:p>
        </w:tc>
        <w:tc>
          <w:tcPr>
            <w:tcW w:w="2160" w:type="dxa"/>
            <w:vAlign w:val="bottom"/>
          </w:tcPr>
          <w:p>
            <w:pPr>
              <w:ind w:left="800"/>
              <w:spacing w:after="0"/>
              <w:rPr>
                <w:sz w:val="20"/>
                <w:szCs w:val="20"/>
                <w:color w:val="auto"/>
              </w:rPr>
            </w:pPr>
            <w:r>
              <w:rPr>
                <w:rFonts w:ascii="Courier New" w:cs="Courier New" w:eastAsia="Courier New" w:hAnsi="Courier New"/>
                <w:sz w:val="15"/>
                <w:szCs w:val="15"/>
                <w:color w:val="auto"/>
              </w:rPr>
              <w:t>3,752</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7"/>
              </w:rPr>
              <w:t>4,851</w:t>
            </w:r>
          </w:p>
        </w:tc>
      </w:tr>
      <w:tr>
        <w:trPr>
          <w:trHeight w:val="173"/>
        </w:trPr>
        <w:tc>
          <w:tcPr>
            <w:tcW w:w="640" w:type="dxa"/>
            <w:vAlign w:val="bottom"/>
          </w:tcPr>
          <w:p>
            <w:pPr>
              <w:spacing w:after="0"/>
              <w:rPr>
                <w:sz w:val="15"/>
                <w:szCs w:val="15"/>
                <w:color w:val="auto"/>
              </w:rPr>
            </w:pPr>
          </w:p>
        </w:tc>
        <w:tc>
          <w:tcPr>
            <w:tcW w:w="216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665</w:t>
            </w:r>
          </w:p>
        </w:tc>
        <w:tc>
          <w:tcPr>
            <w:tcW w:w="20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750</w:t>
            </w:r>
          </w:p>
        </w:tc>
      </w:tr>
      <w:tr>
        <w:trPr>
          <w:trHeight w:val="173"/>
        </w:trPr>
        <w:tc>
          <w:tcPr>
            <w:tcW w:w="640" w:type="dxa"/>
            <w:vAlign w:val="bottom"/>
          </w:tcPr>
          <w:p>
            <w:pPr>
              <w:spacing w:after="0"/>
              <w:rPr>
                <w:sz w:val="15"/>
                <w:szCs w:val="15"/>
                <w:color w:val="auto"/>
              </w:rPr>
            </w:pPr>
          </w:p>
        </w:tc>
        <w:tc>
          <w:tcPr>
            <w:tcW w:w="2160" w:type="dxa"/>
            <w:vAlign w:val="bottom"/>
          </w:tcPr>
          <w:p>
            <w:pPr>
              <w:ind w:left="180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1800"/>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ind w:left="144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1440"/>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ind w:left="1620"/>
              <w:spacing w:after="0"/>
              <w:rPr>
                <w:sz w:val="20"/>
                <w:szCs w:val="20"/>
                <w:color w:val="auto"/>
              </w:rPr>
            </w:pPr>
            <w:r>
              <w:rPr>
                <w:rFonts w:ascii="Courier New" w:cs="Courier New" w:eastAsia="Courier New" w:hAnsi="Courier New"/>
                <w:sz w:val="15"/>
                <w:szCs w:val="15"/>
                <w:color w:val="auto"/>
              </w:rPr>
              <w:t>21</w:t>
            </w:r>
          </w:p>
        </w:tc>
        <w:tc>
          <w:tcPr>
            <w:tcW w:w="2080" w:type="dxa"/>
            <w:vAlign w:val="bottom"/>
          </w:tcPr>
          <w:p>
            <w:pPr>
              <w:ind w:left="1620"/>
              <w:spacing w:after="0"/>
              <w:rPr>
                <w:sz w:val="20"/>
                <w:szCs w:val="20"/>
                <w:color w:val="auto"/>
              </w:rPr>
            </w:pPr>
            <w:r>
              <w:rPr>
                <w:rFonts w:ascii="Courier New" w:cs="Courier New" w:eastAsia="Courier New" w:hAnsi="Courier New"/>
                <w:sz w:val="15"/>
                <w:szCs w:val="15"/>
                <w:color w:val="auto"/>
              </w:rPr>
              <w:t>21</w:t>
            </w:r>
          </w:p>
        </w:tc>
      </w:tr>
      <w:tr>
        <w:trPr>
          <w:trHeight w:val="173"/>
        </w:trPr>
        <w:tc>
          <w:tcPr>
            <w:tcW w:w="640" w:type="dxa"/>
            <w:vAlign w:val="bottom"/>
          </w:tcPr>
          <w:p>
            <w:pPr>
              <w:spacing w:after="0"/>
              <w:rPr>
                <w:sz w:val="15"/>
                <w:szCs w:val="15"/>
                <w:color w:val="auto"/>
              </w:rPr>
            </w:pPr>
          </w:p>
        </w:tc>
        <w:tc>
          <w:tcPr>
            <w:tcW w:w="2160" w:type="dxa"/>
            <w:vAlign w:val="bottom"/>
          </w:tcPr>
          <w:p>
            <w:pPr>
              <w:ind w:left="1160"/>
              <w:spacing w:after="0"/>
              <w:rPr>
                <w:sz w:val="20"/>
                <w:szCs w:val="20"/>
                <w:color w:val="auto"/>
              </w:rPr>
            </w:pPr>
            <w:r>
              <w:rPr>
                <w:rFonts w:ascii="Courier New" w:cs="Courier New" w:eastAsia="Courier New" w:hAnsi="Courier New"/>
                <w:sz w:val="15"/>
                <w:szCs w:val="15"/>
                <w:color w:val="auto"/>
              </w:rPr>
              <w:t>2,481</w:t>
            </w:r>
          </w:p>
        </w:tc>
        <w:tc>
          <w:tcPr>
            <w:tcW w:w="2080" w:type="dxa"/>
            <w:vAlign w:val="bottom"/>
          </w:tcPr>
          <w:p>
            <w:pPr>
              <w:ind w:left="1180"/>
              <w:spacing w:after="0"/>
              <w:rPr>
                <w:sz w:val="20"/>
                <w:szCs w:val="20"/>
                <w:color w:val="auto"/>
              </w:rPr>
            </w:pPr>
            <w:r>
              <w:rPr>
                <w:rFonts w:ascii="Courier New" w:cs="Courier New" w:eastAsia="Courier New" w:hAnsi="Courier New"/>
                <w:sz w:val="15"/>
                <w:szCs w:val="15"/>
                <w:color w:val="auto"/>
              </w:rPr>
              <w:t>2,862</w:t>
            </w:r>
          </w:p>
        </w:tc>
      </w:tr>
      <w:tr>
        <w:trPr>
          <w:trHeight w:val="173"/>
        </w:trPr>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3,752</w:t>
            </w:r>
          </w:p>
        </w:tc>
        <w:tc>
          <w:tcPr>
            <w:tcW w:w="2160" w:type="dxa"/>
            <w:vAlign w:val="bottom"/>
          </w:tcPr>
          <w:p>
            <w:pPr>
              <w:ind w:left="1700"/>
              <w:spacing w:after="0"/>
              <w:rPr>
                <w:sz w:val="20"/>
                <w:szCs w:val="20"/>
                <w:color w:val="auto"/>
              </w:rPr>
            </w:pPr>
            <w:r>
              <w:rPr>
                <w:rFonts w:ascii="Courier New" w:cs="Courier New" w:eastAsia="Courier New" w:hAnsi="Courier New"/>
                <w:sz w:val="15"/>
                <w:szCs w:val="15"/>
                <w:color w:val="auto"/>
                <w:w w:val="97"/>
              </w:rPr>
              <w:t>4,851</w:t>
            </w:r>
          </w:p>
        </w:tc>
        <w:tc>
          <w:tcPr>
            <w:tcW w:w="2080" w:type="dxa"/>
            <w:vAlign w:val="bottom"/>
          </w:tcPr>
          <w:p>
            <w:pPr>
              <w:spacing w:after="0"/>
              <w:rPr>
                <w:sz w:val="15"/>
                <w:szCs w:val="15"/>
                <w:color w:val="auto"/>
              </w:rPr>
            </w:pPr>
          </w:p>
        </w:tc>
      </w:tr>
      <w:tr>
        <w:trPr>
          <w:trHeight w:val="173"/>
        </w:trPr>
        <w:tc>
          <w:tcPr>
            <w:tcW w:w="640" w:type="dxa"/>
            <w:vAlign w:val="bottom"/>
          </w:tcPr>
          <w:p>
            <w:pPr>
              <w:spacing w:after="0"/>
              <w:rPr>
                <w:sz w:val="15"/>
                <w:szCs w:val="15"/>
                <w:color w:val="auto"/>
              </w:rPr>
            </w:pPr>
          </w:p>
        </w:tc>
        <w:tc>
          <w:tcPr>
            <w:tcW w:w="2160" w:type="dxa"/>
            <w:vAlign w:val="bottom"/>
          </w:tcPr>
          <w:p>
            <w:pPr>
              <w:ind w:left="1440"/>
              <w:spacing w:after="0"/>
              <w:rPr>
                <w:sz w:val="20"/>
                <w:szCs w:val="20"/>
                <w:color w:val="auto"/>
              </w:rPr>
            </w:pPr>
            <w:r>
              <w:rPr>
                <w:rFonts w:ascii="Courier New" w:cs="Courier New" w:eastAsia="Courier New" w:hAnsi="Courier New"/>
                <w:sz w:val="15"/>
                <w:szCs w:val="15"/>
                <w:color w:val="auto"/>
              </w:rPr>
              <w:t>3,654</w:t>
            </w:r>
          </w:p>
        </w:tc>
        <w:tc>
          <w:tcPr>
            <w:tcW w:w="2080" w:type="dxa"/>
            <w:vAlign w:val="bottom"/>
          </w:tcPr>
          <w:p>
            <w:pPr>
              <w:ind w:left="1440"/>
              <w:spacing w:after="0"/>
              <w:rPr>
                <w:sz w:val="20"/>
                <w:szCs w:val="20"/>
                <w:color w:val="auto"/>
              </w:rPr>
            </w:pPr>
            <w:r>
              <w:rPr>
                <w:rFonts w:ascii="Courier New" w:cs="Courier New" w:eastAsia="Courier New" w:hAnsi="Courier New"/>
                <w:sz w:val="15"/>
                <w:szCs w:val="15"/>
                <w:color w:val="auto"/>
              </w:rPr>
              <w:t>3,516</w:t>
            </w:r>
          </w:p>
        </w:tc>
      </w:tr>
      <w:tr>
        <w:trPr>
          <w:trHeight w:val="173"/>
        </w:trPr>
        <w:tc>
          <w:tcPr>
            <w:tcW w:w="640" w:type="dxa"/>
            <w:vAlign w:val="bottom"/>
          </w:tcPr>
          <w:p>
            <w:pPr>
              <w:spacing w:after="0"/>
              <w:rPr>
                <w:sz w:val="15"/>
                <w:szCs w:val="15"/>
                <w:color w:val="auto"/>
              </w:rPr>
            </w:pP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3,654</w:t>
            </w:r>
          </w:p>
        </w:tc>
        <w:tc>
          <w:tcPr>
            <w:tcW w:w="208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7"/>
              </w:rPr>
              <w:t>3,516</w:t>
            </w:r>
          </w:p>
        </w:tc>
      </w:tr>
      <w:tr>
        <w:trPr>
          <w:trHeight w:val="173"/>
        </w:trPr>
        <w:tc>
          <w:tcPr>
            <w:tcW w:w="640" w:type="dxa"/>
            <w:vAlign w:val="bottom"/>
          </w:tcPr>
          <w:p>
            <w:pPr>
              <w:spacing w:after="0"/>
              <w:rPr>
                <w:sz w:val="15"/>
                <w:szCs w:val="15"/>
                <w:color w:val="auto"/>
              </w:rPr>
            </w:pPr>
          </w:p>
        </w:tc>
        <w:tc>
          <w:tcPr>
            <w:tcW w:w="2160" w:type="dxa"/>
            <w:vAlign w:val="bottom"/>
          </w:tcPr>
          <w:p>
            <w:pPr>
              <w:ind w:left="1620"/>
              <w:spacing w:after="0"/>
              <w:rPr>
                <w:sz w:val="20"/>
                <w:szCs w:val="20"/>
                <w:color w:val="auto"/>
              </w:rPr>
            </w:pPr>
            <w:r>
              <w:rPr>
                <w:rFonts w:ascii="Courier New" w:cs="Courier New" w:eastAsia="Courier New" w:hAnsi="Courier New"/>
                <w:sz w:val="15"/>
                <w:szCs w:val="15"/>
                <w:color w:val="auto"/>
              </w:rPr>
              <w:t>2,198</w:t>
            </w:r>
          </w:p>
        </w:tc>
        <w:tc>
          <w:tcPr>
            <w:tcW w:w="2080" w:type="dxa"/>
            <w:vAlign w:val="bottom"/>
          </w:tcPr>
          <w:p>
            <w:pPr>
              <w:ind w:left="1620"/>
              <w:spacing w:after="0"/>
              <w:rPr>
                <w:sz w:val="20"/>
                <w:szCs w:val="20"/>
                <w:color w:val="auto"/>
              </w:rPr>
            </w:pPr>
            <w:r>
              <w:rPr>
                <w:rFonts w:ascii="Courier New" w:cs="Courier New" w:eastAsia="Courier New" w:hAnsi="Courier New"/>
                <w:sz w:val="15"/>
                <w:szCs w:val="15"/>
                <w:color w:val="auto"/>
                <w:w w:val="97"/>
              </w:rPr>
              <w:t>2,539</w:t>
            </w:r>
          </w:p>
        </w:tc>
      </w:tr>
      <w:tr>
        <w:trPr>
          <w:trHeight w:val="173"/>
        </w:trPr>
        <w:tc>
          <w:tcPr>
            <w:tcW w:w="640" w:type="dxa"/>
            <w:vAlign w:val="bottom"/>
          </w:tcPr>
          <w:p>
            <w:pPr>
              <w:spacing w:after="0"/>
              <w:rPr>
                <w:sz w:val="15"/>
                <w:szCs w:val="15"/>
                <w:color w:val="auto"/>
              </w:rPr>
            </w:pPr>
          </w:p>
        </w:tc>
        <w:tc>
          <w:tcPr>
            <w:tcW w:w="2160" w:type="dxa"/>
            <w:vAlign w:val="bottom"/>
          </w:tcPr>
          <w:p>
            <w:pPr>
              <w:ind w:left="900"/>
              <w:spacing w:after="0"/>
              <w:rPr>
                <w:sz w:val="20"/>
                <w:szCs w:val="20"/>
                <w:color w:val="auto"/>
              </w:rPr>
            </w:pPr>
            <w:r>
              <w:rPr>
                <w:rFonts w:ascii="Courier New" w:cs="Courier New" w:eastAsia="Courier New" w:hAnsi="Courier New"/>
                <w:sz w:val="15"/>
                <w:szCs w:val="15"/>
                <w:color w:val="auto"/>
              </w:rPr>
              <w:t>2,713</w:t>
            </w:r>
          </w:p>
        </w:tc>
        <w:tc>
          <w:tcPr>
            <w:tcW w:w="2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3,113</w:t>
            </w:r>
          </w:p>
        </w:tc>
      </w:tr>
      <w:tr>
        <w:trPr>
          <w:trHeight w:val="173"/>
        </w:trPr>
        <w:tc>
          <w:tcPr>
            <w:tcW w:w="640" w:type="dxa"/>
            <w:vAlign w:val="bottom"/>
          </w:tcPr>
          <w:p>
            <w:pPr>
              <w:spacing w:after="0"/>
              <w:rPr>
                <w:sz w:val="15"/>
                <w:szCs w:val="15"/>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r>
      <w:tr>
        <w:trPr>
          <w:trHeight w:val="173"/>
        </w:trPr>
        <w:tc>
          <w:tcPr>
            <w:tcW w:w="640" w:type="dxa"/>
            <w:vAlign w:val="bottom"/>
          </w:tcPr>
          <w:p>
            <w:pPr>
              <w:spacing w:after="0"/>
              <w:rPr>
                <w:sz w:val="15"/>
                <w:szCs w:val="15"/>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r>
      <w:tr>
        <w:trPr>
          <w:trHeight w:val="173"/>
        </w:trPr>
        <w:tc>
          <w:tcPr>
            <w:tcW w:w="640" w:type="dxa"/>
            <w:vAlign w:val="bottom"/>
          </w:tcPr>
          <w:p>
            <w:pPr>
              <w:spacing w:after="0"/>
              <w:rPr>
                <w:sz w:val="15"/>
                <w:szCs w:val="15"/>
                <w:color w:val="auto"/>
              </w:rPr>
            </w:pPr>
          </w:p>
        </w:tc>
        <w:tc>
          <w:tcPr>
            <w:tcW w:w="2160" w:type="dxa"/>
            <w:vAlign w:val="bottom"/>
          </w:tcPr>
          <w:p>
            <w:pPr>
              <w:ind w:left="620"/>
              <w:spacing w:after="0"/>
              <w:rPr>
                <w:sz w:val="20"/>
                <w:szCs w:val="20"/>
                <w:color w:val="auto"/>
              </w:rPr>
            </w:pPr>
            <w:r>
              <w:rPr>
                <w:rFonts w:ascii="Courier New" w:cs="Courier New" w:eastAsia="Courier New" w:hAnsi="Courier New"/>
                <w:sz w:val="15"/>
                <w:szCs w:val="15"/>
                <w:color w:val="auto"/>
              </w:rPr>
              <w:t>(14)</w:t>
            </w:r>
          </w:p>
        </w:tc>
        <w:tc>
          <w:tcPr>
            <w:tcW w:w="2080" w:type="dxa"/>
            <w:vAlign w:val="bottom"/>
          </w:tcPr>
          <w:p>
            <w:pPr>
              <w:jc w:val="center"/>
              <w:ind w:right="285"/>
              <w:spacing w:after="0"/>
              <w:rPr>
                <w:sz w:val="20"/>
                <w:szCs w:val="20"/>
                <w:color w:val="auto"/>
              </w:rPr>
            </w:pPr>
            <w:r>
              <w:rPr>
                <w:rFonts w:ascii="Courier New" w:cs="Courier New" w:eastAsia="Courier New" w:hAnsi="Courier New"/>
                <w:sz w:val="15"/>
                <w:szCs w:val="15"/>
                <w:color w:val="auto"/>
              </w:rPr>
              <w:t>(1)</w:t>
            </w:r>
          </w:p>
        </w:tc>
      </w:tr>
      <w:tr>
        <w:trPr>
          <w:trHeight w:val="173"/>
        </w:trPr>
        <w:tc>
          <w:tcPr>
            <w:tcW w:w="640" w:type="dxa"/>
            <w:vAlign w:val="bottom"/>
          </w:tcPr>
          <w:p>
            <w:pPr>
              <w:spacing w:after="0"/>
              <w:rPr>
                <w:sz w:val="15"/>
                <w:szCs w:val="15"/>
                <w:color w:val="auto"/>
              </w:rPr>
            </w:pPr>
          </w:p>
        </w:tc>
        <w:tc>
          <w:tcPr>
            <w:tcW w:w="2160" w:type="dxa"/>
            <w:vAlign w:val="bottom"/>
          </w:tcPr>
          <w:p>
            <w:pPr>
              <w:ind w:left="900"/>
              <w:spacing w:after="0"/>
              <w:rPr>
                <w:sz w:val="20"/>
                <w:szCs w:val="20"/>
                <w:color w:val="auto"/>
              </w:rPr>
            </w:pPr>
            <w:r>
              <w:rPr>
                <w:rFonts w:ascii="Courier New" w:cs="Courier New" w:eastAsia="Courier New" w:hAnsi="Courier New"/>
                <w:sz w:val="15"/>
                <w:szCs w:val="15"/>
                <w:color w:val="auto"/>
              </w:rPr>
              <w:t>951</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599</w:t>
            </w:r>
          </w:p>
        </w:tc>
      </w:tr>
      <w:tr>
        <w:trPr>
          <w:trHeight w:val="173"/>
        </w:trPr>
        <w:tc>
          <w:tcPr>
            <w:tcW w:w="640" w:type="dxa"/>
            <w:vAlign w:val="bottom"/>
          </w:tcPr>
          <w:p>
            <w:pPr>
              <w:spacing w:after="0"/>
              <w:rPr>
                <w:sz w:val="15"/>
                <w:szCs w:val="15"/>
                <w:color w:val="auto"/>
              </w:rPr>
            </w:pPr>
          </w:p>
        </w:tc>
        <w:tc>
          <w:tcPr>
            <w:tcW w:w="2160" w:type="dxa"/>
            <w:vAlign w:val="bottom"/>
          </w:tcPr>
          <w:p>
            <w:pPr>
              <w:ind w:left="1160"/>
              <w:spacing w:after="0"/>
              <w:rPr>
                <w:sz w:val="20"/>
                <w:szCs w:val="20"/>
                <w:color w:val="auto"/>
              </w:rPr>
            </w:pPr>
            <w:r>
              <w:rPr>
                <w:rFonts w:ascii="Courier New" w:cs="Courier New" w:eastAsia="Courier New" w:hAnsi="Courier New"/>
                <w:sz w:val="15"/>
                <w:szCs w:val="15"/>
                <w:color w:val="auto"/>
              </w:rPr>
              <w:t>357</w:t>
            </w:r>
          </w:p>
        </w:tc>
        <w:tc>
          <w:tcPr>
            <w:tcW w:w="2080" w:type="dxa"/>
            <w:vAlign w:val="bottom"/>
          </w:tcPr>
          <w:p>
            <w:pPr>
              <w:ind w:left="1180"/>
              <w:spacing w:after="0"/>
              <w:rPr>
                <w:sz w:val="20"/>
                <w:szCs w:val="20"/>
                <w:color w:val="auto"/>
              </w:rPr>
            </w:pPr>
            <w:r>
              <w:rPr>
                <w:rFonts w:ascii="Courier New" w:cs="Courier New" w:eastAsia="Courier New" w:hAnsi="Courier New"/>
                <w:sz w:val="15"/>
                <w:szCs w:val="15"/>
                <w:color w:val="auto"/>
              </w:rPr>
              <w:t>267</w:t>
            </w:r>
          </w:p>
        </w:tc>
      </w:tr>
      <w:tr>
        <w:trPr>
          <w:trHeight w:val="173"/>
        </w:trPr>
        <w:tc>
          <w:tcPr>
            <w:tcW w:w="640" w:type="dxa"/>
            <w:vAlign w:val="bottom"/>
          </w:tcPr>
          <w:p>
            <w:pPr>
              <w:spacing w:after="0"/>
              <w:rPr>
                <w:sz w:val="15"/>
                <w:szCs w:val="15"/>
                <w:color w:val="auto"/>
              </w:rPr>
            </w:pPr>
          </w:p>
        </w:tc>
        <w:tc>
          <w:tcPr>
            <w:tcW w:w="2160" w:type="dxa"/>
            <w:vAlign w:val="bottom"/>
          </w:tcPr>
          <w:p>
            <w:pPr>
              <w:ind w:left="72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720"/>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ind w:left="116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1180"/>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ind w:left="1620"/>
              <w:spacing w:after="0"/>
              <w:rPr>
                <w:sz w:val="20"/>
                <w:szCs w:val="20"/>
                <w:color w:val="auto"/>
              </w:rPr>
            </w:pPr>
            <w:r>
              <w:rPr>
                <w:rFonts w:ascii="Courier New" w:cs="Courier New" w:eastAsia="Courier New" w:hAnsi="Courier New"/>
                <w:sz w:val="15"/>
                <w:szCs w:val="15"/>
                <w:color w:val="auto"/>
              </w:rPr>
              <w:t>0</w:t>
            </w:r>
          </w:p>
        </w:tc>
        <w:tc>
          <w:tcPr>
            <w:tcW w:w="2080" w:type="dxa"/>
            <w:vAlign w:val="bottom"/>
          </w:tcPr>
          <w:p>
            <w:pPr>
              <w:ind w:left="1620"/>
              <w:spacing w:after="0"/>
              <w:rPr>
                <w:sz w:val="20"/>
                <w:szCs w:val="20"/>
                <w:color w:val="auto"/>
              </w:rPr>
            </w:pPr>
            <w:r>
              <w:rPr>
                <w:rFonts w:ascii="Courier New" w:cs="Courier New" w:eastAsia="Courier New" w:hAnsi="Courier New"/>
                <w:sz w:val="15"/>
                <w:szCs w:val="15"/>
                <w:color w:val="auto"/>
              </w:rPr>
              <w:t>0</w:t>
            </w:r>
          </w:p>
        </w:tc>
      </w:tr>
      <w:tr>
        <w:trPr>
          <w:trHeight w:val="173"/>
        </w:trPr>
        <w:tc>
          <w:tcPr>
            <w:tcW w:w="640" w:type="dxa"/>
            <w:vAlign w:val="bottom"/>
          </w:tcPr>
          <w:p>
            <w:pPr>
              <w:spacing w:after="0"/>
              <w:rPr>
                <w:sz w:val="15"/>
                <w:szCs w:val="15"/>
                <w:color w:val="auto"/>
              </w:rPr>
            </w:pPr>
          </w:p>
        </w:tc>
        <w:tc>
          <w:tcPr>
            <w:tcW w:w="2160" w:type="dxa"/>
            <w:vAlign w:val="bottom"/>
          </w:tcPr>
          <w:p>
            <w:pPr>
              <w:ind w:left="1160"/>
              <w:spacing w:after="0"/>
              <w:rPr>
                <w:sz w:val="20"/>
                <w:szCs w:val="20"/>
                <w:color w:val="auto"/>
              </w:rPr>
            </w:pPr>
            <w:r>
              <w:rPr>
                <w:rFonts w:ascii="Courier New" w:cs="Courier New" w:eastAsia="Courier New" w:hAnsi="Courier New"/>
                <w:sz w:val="15"/>
                <w:szCs w:val="15"/>
                <w:color w:val="auto"/>
              </w:rPr>
              <w:t>594</w:t>
            </w:r>
          </w:p>
        </w:tc>
        <w:tc>
          <w:tcPr>
            <w:tcW w:w="2080" w:type="dxa"/>
            <w:vAlign w:val="bottom"/>
          </w:tcPr>
          <w:p>
            <w:pPr>
              <w:ind w:left="1180"/>
              <w:spacing w:after="0"/>
              <w:rPr>
                <w:sz w:val="20"/>
                <w:szCs w:val="20"/>
                <w:color w:val="auto"/>
              </w:rPr>
            </w:pPr>
            <w:r>
              <w:rPr>
                <w:rFonts w:ascii="Courier New" w:cs="Courier New" w:eastAsia="Courier New" w:hAnsi="Courier New"/>
                <w:sz w:val="15"/>
                <w:szCs w:val="15"/>
                <w:color w:val="auto"/>
              </w:rPr>
              <w:t>332</w:t>
            </w:r>
          </w:p>
        </w:tc>
      </w:tr>
      <w:tr>
        <w:trPr>
          <w:trHeight w:val="173"/>
        </w:trPr>
        <w:tc>
          <w:tcPr>
            <w:tcW w:w="640" w:type="dxa"/>
            <w:vAlign w:val="bottom"/>
          </w:tcPr>
          <w:p>
            <w:pPr>
              <w:spacing w:after="0"/>
              <w:rPr>
                <w:sz w:val="15"/>
                <w:szCs w:val="15"/>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2.76</w:t>
            </w:r>
          </w:p>
        </w:tc>
        <w:tc>
          <w:tcPr>
            <w:tcW w:w="2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1.54</w:t>
            </w:r>
          </w:p>
        </w:tc>
      </w:tr>
      <w:tr>
        <w:trPr>
          <w:trHeight w:val="173"/>
        </w:trPr>
        <w:tc>
          <w:tcPr>
            <w:tcW w:w="640" w:type="dxa"/>
            <w:vAlign w:val="bottom"/>
          </w:tcPr>
          <w:p>
            <w:pPr>
              <w:spacing w:after="0"/>
              <w:rPr>
                <w:sz w:val="15"/>
                <w:szCs w:val="15"/>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5"/>
                <w:szCs w:val="15"/>
                <w:color w:val="auto"/>
              </w:rPr>
              <w:t>2.76</w:t>
            </w:r>
          </w:p>
        </w:tc>
        <w:tc>
          <w:tcPr>
            <w:tcW w:w="2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1.53</w:t>
            </w:r>
          </w:p>
        </w:tc>
      </w:tr>
    </w:tbl>
    <w:p>
      <w:pPr>
        <w:spacing w:after="0" w:line="1" w:lineRule="exact"/>
        <w:rPr>
          <w:sz w:val="20"/>
          <w:szCs w:val="20"/>
          <w:color w:val="auto"/>
        </w:rPr>
      </w:pP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upperLetter"/>
      <w:start w:val="24"/>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8"/>
    </w:lvl>
  </w:abstractNum>
  <w:abstractNum w:abstractNumId="3">
    <w:nsid w:val="520EEDD1"/>
    <w:multiLevelType w:val="hybridMultilevel"/>
    <w:lvl w:ilvl="0">
      <w:lvlJc w:val="left"/>
      <w:lvlText w:val="-"/>
      <w:numFmt w:val="bullet"/>
      <w:start w:val="1"/>
    </w:lvl>
    <w:lvl w:ilvl="1">
      <w:lvlJc w:val="left"/>
      <w:lvlText w:val="(%2)"/>
      <w:numFmt w:val="decimal"/>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1."/>
      <w:numFmt w:val="decimal"/>
      <w:start w:val="2"/>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lowerLetter"/>
      <w:start w:val="3"/>
    </w:lvl>
  </w:abstractNum>
  <w:abstractNum w:abstractNumId="16">
    <w:nsid w:val="741226BB"/>
    <w:multiLevelType w:val="hybridMultilevel"/>
    <w:lvl w:ilvl="0">
      <w:lvlJc w:val="left"/>
      <w:lvlText w:val="(%1)"/>
      <w:numFmt w:val="lowerLetter"/>
      <w:start w:val="5"/>
    </w:lvl>
  </w:abstractNum>
  <w:abstractNum w:abstractNumId="17">
    <w:nsid w:val="D34B6A8"/>
    <w:multiLevelType w:val="hybridMultilevel"/>
    <w:lvl w:ilvl="0">
      <w:lvlJc w:val="left"/>
      <w:lvlText w:val="(%1)"/>
      <w:numFmt w:val="lowerLetter"/>
      <w:start w:val="7"/>
    </w:lvl>
  </w:abstractNum>
  <w:abstractNum w:abstractNumId="18">
    <w:nsid w:val="10233C99"/>
    <w:multiLevelType w:val="hybridMultilevel"/>
    <w:lvl w:ilvl="0">
      <w:lvlJc w:val="left"/>
      <w:lvlText w:val="(%1)"/>
      <w:numFmt w:val="lowerLetter"/>
      <w:start w:val="10"/>
    </w:lvl>
  </w:abstractNum>
  <w:abstractNum w:abstractNumId="19">
    <w:nsid w:val="3F6AB60F"/>
    <w:multiLevelType w:val="hybridMultilevel"/>
    <w:lvl w:ilvl="0">
      <w:lvlJc w:val="left"/>
      <w:lvlText w:val="(%1)"/>
      <w:numFmt w:val="lowerLetter"/>
      <w:start w:val="11"/>
    </w:lvl>
  </w:abstractNum>
  <w:abstractNum w:abstractNumId="20">
    <w:nsid w:val="61574095"/>
    <w:multiLevelType w:val="hybridMultilevel"/>
    <w:lvl w:ilvl="0">
      <w:lvlJc w:val="left"/>
      <w:lvlText w:val="(%1)"/>
      <w:numFmt w:val="lowerLetter"/>
      <w:start w:val="13"/>
    </w:lvl>
  </w:abstractNum>
  <w:abstractNum w:abstractNumId="21">
    <w:nsid w:val="7E0C57B1"/>
    <w:multiLevelType w:val="hybridMultilevel"/>
    <w:lvl w:ilvl="0">
      <w:lvlJc w:val="left"/>
      <w:lvlText w:val="(%1)"/>
      <w:numFmt w:val="lowerLetter"/>
      <w:start w:val="16"/>
    </w:lvl>
  </w:abstractNum>
  <w:abstractNum w:abstractNumId="22">
    <w:nsid w:val="77AE35EB"/>
    <w:multiLevelType w:val="hybridMultilevel"/>
    <w:lvl w:ilvl="0">
      <w:lvlJc w:val="left"/>
      <w:lvlText w:val="(%1)"/>
      <w:numFmt w:val="lowerLetter"/>
      <w:start w:val="17"/>
    </w:lvl>
  </w:abstractNum>
  <w:abstractNum w:abstractNumId="23">
    <w:nsid w:val="579BE4F1"/>
    <w:multiLevelType w:val="hybridMultilevel"/>
    <w:lvl w:ilvl="0">
      <w:lvlJc w:val="left"/>
      <w:lvlText w:val="(%1)"/>
      <w:numFmt w:val="lowerLetter"/>
      <w:start w:val="20"/>
    </w:lvl>
  </w:abstractNum>
  <w:abstractNum w:abstractNumId="24">
    <w:nsid w:val="310C50B3"/>
    <w:multiLevelType w:val="hybridMultilevel"/>
    <w:lvl w:ilvl="0">
      <w:lvlJc w:val="left"/>
      <w:lvlText w:val="(%1)"/>
      <w:numFmt w:val="lowerLetter"/>
      <w:start w:val="22"/>
    </w:lvl>
  </w:abstractNum>
  <w:abstractNum w:abstractNumId="25">
    <w:nsid w:val="5FF87E05"/>
    <w:multiLevelType w:val="hybridMultilevel"/>
    <w:lvl w:ilvl="0">
      <w:lvlJc w:val="left"/>
      <w:lvlText w:val="%1."/>
      <w:numFmt w:val="decimal"/>
      <w:start w:val="3"/>
    </w:lvl>
  </w:abstractNum>
  <w:abstractNum w:abstractNumId="26">
    <w:nsid w:val="2F305DEF"/>
    <w:multiLevelType w:val="hybridMultilevel"/>
    <w:lvl w:ilvl="0">
      <w:lvlJc w:val="left"/>
      <w:lvlText w:val="%1."/>
      <w:numFmt w:val="decimal"/>
      <w:start w:val="4"/>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2"/>
    </w:lvl>
  </w:abstractNum>
  <w:abstractNum w:abstractNumId="29">
    <w:nsid w:val="4AD084E9"/>
    <w:multiLevelType w:val="hybridMultilevel"/>
    <w:lvl w:ilvl="0">
      <w:lvlJc w:val="left"/>
      <w:lvlText w:val="(%1)"/>
      <w:numFmt w:val="lowerRoman"/>
      <w:start w:val="1"/>
    </w:lvl>
  </w:abstractNum>
  <w:abstractNum w:abstractNumId="30">
    <w:nsid w:val="1F48EAA1"/>
    <w:multiLevelType w:val="hybridMultilevel"/>
    <w:lvl w:ilvl="0">
      <w:lvlJc w:val="left"/>
      <w:lvlText w:val="%1"/>
      <w:numFmt w:val="lowerLetter"/>
      <w:start w:val="1"/>
    </w:lvl>
    <w:lvl w:ilvl="1">
      <w:lvlJc w:val="left"/>
      <w:lvlText w:val="(%2)"/>
      <w:numFmt w:val="lowerRoman"/>
      <w:start w:val="11"/>
    </w:lvl>
  </w:abstractNum>
  <w:abstractNum w:abstractNumId="31">
    <w:nsid w:val="1381823A"/>
    <w:multiLevelType w:val="hybridMultilevel"/>
    <w:lvl w:ilvl="0">
      <w:lvlJc w:val="left"/>
      <w:lvlText w:val="(%1)"/>
      <w:numFmt w:val="lowerLetter"/>
      <w:start w:val="3"/>
    </w:lvl>
    <w:lvl w:ilvl="1">
      <w:lvlJc w:val="left"/>
      <w:lvlText w:val="%2"/>
      <w:numFmt w:val="lowerRoman"/>
      <w:start w:val="1"/>
    </w:lvl>
  </w:abstractNum>
  <w:abstractNum w:abstractNumId="32">
    <w:nsid w:val="5DB70AE5"/>
    <w:multiLevelType w:val="hybridMultilevel"/>
    <w:lvl w:ilvl="0">
      <w:lvlJc w:val="left"/>
      <w:lvlText w:val="%1."/>
      <w:numFmt w:val="decimal"/>
      <w:start w:val="5"/>
    </w:lvl>
  </w:abstractNum>
  <w:abstractNum w:abstractNumId="33">
    <w:nsid w:val="100F8FCA"/>
    <w:multiLevelType w:val="hybridMultilevel"/>
    <w:lvl w:ilvl="0">
      <w:lvlJc w:val="left"/>
      <w:lvlText w:val="%1."/>
      <w:numFmt w:val="decimal"/>
      <w:start w:val="6"/>
    </w:lvl>
  </w:abstractNum>
  <w:abstractNum w:abstractNumId="34">
    <w:nsid w:val="6590700B"/>
    <w:multiLevelType w:val="hybridMultilevel"/>
    <w:lvl w:ilvl="0">
      <w:lvlJc w:val="left"/>
      <w:lvlText w:val="%1."/>
      <w:numFmt w:val="decimal"/>
      <w:start w:val="7"/>
    </w:lvl>
  </w:abstractNum>
  <w:abstractNum w:abstractNumId="35">
    <w:nsid w:val="15014ACB"/>
    <w:multiLevelType w:val="hybridMultilevel"/>
    <w:lvl w:ilvl="0">
      <w:lvlJc w:val="left"/>
      <w:lvlText w:val="%1."/>
      <w:numFmt w:val="decimal"/>
      <w:start w:val="8"/>
    </w:lvl>
  </w:abstractNum>
  <w:abstractNum w:abstractNumId="36">
    <w:nsid w:val="5F5E7FD0"/>
    <w:multiLevelType w:val="hybridMultilevel"/>
    <w:lvl w:ilvl="0">
      <w:lvlJc w:val="left"/>
      <w:lvlText w:val="%1."/>
      <w:numFmt w:val="decimal"/>
      <w:start w:val="9"/>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Roman"/>
      <w:start w:val="1"/>
    </w:lvl>
  </w:abstractNum>
  <w:abstractNum w:abstractNumId="39">
    <w:nsid w:val="6B94764"/>
    <w:multiLevelType w:val="hybridMultilevel"/>
    <w:lvl w:ilvl="0">
      <w:lvlJc w:val="left"/>
      <w:lvlText w:val="%1."/>
      <w:numFmt w:val="decimal"/>
      <w:start w:val="10"/>
    </w:lvl>
    <w:lvl w:ilvl="1">
      <w:lvlJc w:val="left"/>
      <w:lvlText w:val="(%2)"/>
      <w:numFmt w:val="lowerLetter"/>
      <w:start w:val="1"/>
    </w:lvl>
  </w:abstractNum>
  <w:abstractNum w:abstractNumId="40">
    <w:nsid w:val="42C296BD"/>
    <w:multiLevelType w:val="hybridMultilevel"/>
    <w:lvl w:ilvl="0">
      <w:lvlJc w:val="left"/>
      <w:lvlText w:val="(%1)"/>
      <w:numFmt w:val="lowerLetter"/>
      <w:start w:val="3"/>
    </w:lvl>
  </w:abstractNum>
  <w:abstractNum w:abstractNumId="41">
    <w:nsid w:val="168E121F"/>
    <w:multiLevelType w:val="hybridMultilevel"/>
    <w:lvl w:ilvl="0">
      <w:lvlJc w:val="left"/>
      <w:lvlText w:val="(%1)"/>
      <w:numFmt w:val="lowerLetter"/>
      <w:start w:val="4"/>
    </w:lvl>
  </w:abstractNum>
  <w:abstractNum w:abstractNumId="42">
    <w:nsid w:val="1EBA5D23"/>
    <w:multiLevelType w:val="hybridMultilevel"/>
    <w:lvl w:ilvl="0">
      <w:lvlJc w:val="left"/>
      <w:lvlText w:val="(%1)"/>
      <w:numFmt w:val="lowerLetter"/>
      <w:start w:val="5"/>
    </w:lvl>
  </w:abstractNum>
  <w:abstractNum w:abstractNumId="43">
    <w:nsid w:val="661E3F1E"/>
    <w:multiLevelType w:val="hybridMultilevel"/>
    <w:lvl w:ilvl="0">
      <w:lvlJc w:val="left"/>
      <w:lvlText w:val="%1."/>
      <w:numFmt w:val="decimal"/>
      <w:start w:val="11"/>
    </w:lvl>
  </w:abstractNum>
  <w:abstractNum w:abstractNumId="44">
    <w:nsid w:val="5DC79EA8"/>
    <w:multiLevelType w:val="hybridMultilevel"/>
    <w:lvl w:ilvl="0">
      <w:lvlJc w:val="left"/>
      <w:lvlText w:val="%1."/>
      <w:numFmt w:val="decimal"/>
      <w:start w:val="12"/>
    </w:lvl>
  </w:abstractNum>
  <w:abstractNum w:abstractNumId="45">
    <w:nsid w:val="540A471C"/>
    <w:multiLevelType w:val="hybridMultilevel"/>
    <w:lvl w:ilvl="0">
      <w:lvlJc w:val="left"/>
      <w:lvlText w:val="-"/>
      <w:numFmt w:val="bullet"/>
      <w:start w:val="1"/>
    </w:lvl>
    <w:lvl w:ilvl="1">
      <w:lvlJc w:val="left"/>
      <w:lvlText w:val="(%2)"/>
      <w:numFmt w:val="lowerLetter"/>
      <w:start w:val="1"/>
    </w:lvl>
  </w:abstractNum>
  <w:abstractNum w:abstractNumId="46">
    <w:nsid w:val="7BD3EE7B"/>
    <w:multiLevelType w:val="hybridMultilevel"/>
    <w:lvl w:ilvl="0">
      <w:lvlJc w:val="left"/>
      <w:lvlText w:val="(%1)"/>
      <w:numFmt w:val="lowerLetter"/>
      <w:start w:val="3"/>
    </w:lvl>
  </w:abstractNum>
  <w:abstractNum w:abstractNumId="47">
    <w:nsid w:val="51D9C564"/>
    <w:multiLevelType w:val="hybridMultilevel"/>
    <w:lvl w:ilvl="0">
      <w:lvlJc w:val="left"/>
      <w:lvlText w:val="%1."/>
      <w:numFmt w:val="decimal"/>
      <w:start w:val="13"/>
    </w:lvl>
  </w:abstractNum>
  <w:abstractNum w:abstractNumId="48">
    <w:nsid w:val="613EFDC5"/>
    <w:multiLevelType w:val="hybridMultilevel"/>
    <w:lvl w:ilvl="0">
      <w:lvlJc w:val="left"/>
      <w:lvlText w:val="%1."/>
      <w:numFmt w:val="decimal"/>
      <w:start w:val="14"/>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2"/>
    </w:lvl>
  </w:abstractNum>
  <w:abstractNum w:abstractNumId="51">
    <w:nsid w:val="42963E5A"/>
    <w:multiLevelType w:val="hybridMultilevel"/>
    <w:lvl w:ilvl="0">
      <w:lvlJc w:val="left"/>
      <w:lvlText w:val="%1."/>
      <w:numFmt w:val="decimal"/>
      <w:start w:val="15"/>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2"/>
    </w:lvl>
  </w:abstractNum>
  <w:abstractNum w:abstractNumId="54">
    <w:nsid w:val="1A32234B"/>
    <w:multiLevelType w:val="hybridMultilevel"/>
    <w:lvl w:ilvl="0">
      <w:lvlJc w:val="left"/>
      <w:lvlText w:val="%1."/>
      <w:numFmt w:val="decimal"/>
      <w:start w:val="16"/>
    </w:lvl>
  </w:abstractNum>
  <w:abstractNum w:abstractNumId="55">
    <w:nsid w:val="3B0FD379"/>
    <w:multiLevelType w:val="hybridMultilevel"/>
    <w:lvl w:ilvl="0">
      <w:lvlJc w:val="left"/>
      <w:lvlText w:val="%1."/>
      <w:numFmt w:val="decimal"/>
      <w:start w:val="17"/>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1."/>
      <w:numFmt w:val="decimal"/>
      <w:start w:val="2"/>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2"/>
    </w:lvl>
  </w:abstractNum>
  <w:abstractNum w:abstractNumId="62">
    <w:nsid w:val="1A27709E"/>
    <w:multiLevelType w:val="hybridMultilevel"/>
    <w:lvl w:ilvl="0">
      <w:lvlJc w:val="left"/>
      <w:lvlText w:val="(%1)"/>
      <w:numFmt w:val="lowerLetter"/>
      <w:start w:val="3"/>
    </w:lvl>
  </w:abstractNum>
  <w:abstractNum w:abstractNumId="63">
    <w:nsid w:val="71EA1109"/>
    <w:multiLevelType w:val="hybridMultilevel"/>
    <w:lvl w:ilvl="0">
      <w:lvlJc w:val="left"/>
      <w:lvlText w:val="(%1)"/>
      <w:numFmt w:val="lowerLetter"/>
      <w:start w:val="5"/>
    </w:lvl>
  </w:abstractNum>
  <w:abstractNum w:abstractNumId="64">
    <w:nsid w:val="100F59DC"/>
    <w:multiLevelType w:val="hybridMultilevel"/>
    <w:lvl w:ilvl="0">
      <w:lvlJc w:val="left"/>
      <w:lvlText w:val="(%1)"/>
      <w:numFmt w:val="lowerLetter"/>
      <w:start w:val="7"/>
    </w:lvl>
  </w:abstractNum>
  <w:abstractNum w:abstractNumId="65">
    <w:nsid w:val="7FB7E0AA"/>
    <w:multiLevelType w:val="hybridMultilevel"/>
    <w:lvl w:ilvl="0">
      <w:lvlJc w:val="left"/>
      <w:lvlText w:val="(%1)"/>
      <w:numFmt w:val="lowerLetter"/>
      <w:start w:val="11"/>
    </w:lvl>
  </w:abstractNum>
  <w:abstractNum w:abstractNumId="66">
    <w:nsid w:val="6EB5BD4"/>
    <w:multiLevelType w:val="hybridMultilevel"/>
    <w:lvl w:ilvl="0">
      <w:lvlJc w:val="left"/>
      <w:lvlText w:val="(%1)"/>
      <w:numFmt w:val="lowerLetter"/>
      <w:start w:val="12"/>
    </w:lvl>
  </w:abstractNum>
  <w:abstractNum w:abstractNumId="67">
    <w:nsid w:val="6F6DD9AC"/>
    <w:multiLevelType w:val="hybridMultilevel"/>
    <w:lvl w:ilvl="0">
      <w:lvlJc w:val="left"/>
      <w:lvlText w:val="(%1)"/>
      <w:numFmt w:val="lowerLetter"/>
      <w:start w:val="14"/>
    </w:lvl>
  </w:abstractNum>
  <w:abstractNum w:abstractNumId="68">
    <w:nsid w:val="94211F2"/>
    <w:multiLevelType w:val="hybridMultilevel"/>
    <w:lvl w:ilvl="0">
      <w:lvlJc w:val="left"/>
      <w:lvlText w:val="(%1)"/>
      <w:numFmt w:val="lowerLetter"/>
      <w:start w:val="16"/>
    </w:lvl>
  </w:abstractNum>
  <w:abstractNum w:abstractNumId="69">
    <w:nsid w:val="885E1B"/>
    <w:multiLevelType w:val="hybridMultilevel"/>
    <w:lvl w:ilvl="0">
      <w:lvlJc w:val="left"/>
      <w:lvlText w:val="(%1)"/>
      <w:numFmt w:val="lowerLetter"/>
      <w:start w:val="17"/>
    </w:lvl>
  </w:abstractNum>
  <w:abstractNum w:abstractNumId="70">
    <w:nsid w:val="76272110"/>
    <w:multiLevelType w:val="hybridMultilevel"/>
    <w:lvl w:ilvl="0">
      <w:lvlJc w:val="left"/>
      <w:lvlText w:val="(%1)"/>
      <w:numFmt w:val="lowerLetter"/>
      <w:start w:val="18"/>
    </w:lvl>
  </w:abstractNum>
  <w:abstractNum w:abstractNumId="71">
    <w:nsid w:val="4C04A8AF"/>
    <w:multiLevelType w:val="hybridMultilevel"/>
    <w:lvl w:ilvl="0">
      <w:lvlJc w:val="left"/>
      <w:lvlText w:val="(%1)"/>
      <w:numFmt w:val="lowerLetter"/>
      <w:start w:val="19"/>
    </w:lvl>
  </w:abstractNum>
  <w:abstractNum w:abstractNumId="72">
    <w:nsid w:val="1716703B"/>
    <w:multiLevelType w:val="hybridMultilevel"/>
    <w:lvl w:ilvl="0">
      <w:lvlJc w:val="left"/>
      <w:lvlText w:val="(%1)"/>
      <w:numFmt w:val="lowerLetter"/>
      <w:start w:val="20"/>
    </w:lvl>
  </w:abstractNum>
  <w:abstractNum w:abstractNumId="73">
    <w:nsid w:val="14E17E33"/>
    <w:multiLevelType w:val="hybridMultilevel"/>
    <w:lvl w:ilvl="0">
      <w:lvlJc w:val="left"/>
      <w:lvlText w:val="(%1)"/>
      <w:numFmt w:val="lowerLetter"/>
      <w:start w:val="22"/>
    </w:lvl>
  </w:abstractNum>
  <w:abstractNum w:abstractNumId="74">
    <w:nsid w:val="3222E7CD"/>
    <w:multiLevelType w:val="hybridMultilevel"/>
    <w:lvl w:ilvl="0">
      <w:lvlJc w:val="left"/>
      <w:lvlText w:val="%1."/>
      <w:numFmt w:val="decimal"/>
      <w:start w:val="3"/>
    </w:lvl>
  </w:abstractNum>
  <w:abstractNum w:abstractNumId="75">
    <w:nsid w:val="74DE0EE3"/>
    <w:multiLevelType w:val="hybridMultilevel"/>
    <w:lvl w:ilvl="0">
      <w:lvlJc w:val="left"/>
      <w:lvlText w:val="%1."/>
      <w:numFmt w:val="decimal"/>
      <w:start w:val="4"/>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lowerLetter"/>
      <w:start w:val="2"/>
    </w:lvl>
  </w:abstractNum>
  <w:abstractNum w:abstractNumId="78">
    <w:nsid w:val="46B7D447"/>
    <w:multiLevelType w:val="hybridMultilevel"/>
    <w:lvl w:ilvl="0">
      <w:lvlJc w:val="left"/>
      <w:lvlText w:val="(%1)"/>
      <w:numFmt w:val="lowerRoman"/>
      <w:start w:val="1"/>
    </w:lvl>
  </w:abstractNum>
  <w:abstractNum w:abstractNumId="79">
    <w:nsid w:val="4A2AC315"/>
    <w:multiLevelType w:val="hybridMultilevel"/>
    <w:lvl w:ilvl="0">
      <w:lvlJc w:val="left"/>
      <w:lvlText w:val="%1"/>
      <w:numFmt w:val="lowerLetter"/>
      <w:start w:val="1"/>
    </w:lvl>
    <w:lvl w:ilvl="1">
      <w:lvlJc w:val="left"/>
      <w:lvlText w:val="(%2)"/>
      <w:numFmt w:val="lowerRoman"/>
      <w:start w:val="12"/>
    </w:lvl>
  </w:abstractNum>
  <w:abstractNum w:abstractNumId="80">
    <w:nsid w:val="39EE015C"/>
    <w:multiLevelType w:val="hybridMultilevel"/>
    <w:lvl w:ilvl="0">
      <w:lvlJc w:val="left"/>
      <w:lvlText w:val="(%1)"/>
      <w:numFmt w:val="lowerLetter"/>
      <w:start w:val="3"/>
    </w:lvl>
    <w:lvl w:ilvl="1">
      <w:lvlJc w:val="left"/>
      <w:lvlText w:val="%2"/>
      <w:numFmt w:val="lowerRoman"/>
      <w:start w:val="1"/>
    </w:lvl>
  </w:abstractNum>
  <w:abstractNum w:abstractNumId="81">
    <w:nsid w:val="57FC4FBB"/>
    <w:multiLevelType w:val="hybridMultilevel"/>
    <w:lvl w:ilvl="0">
      <w:lvlJc w:val="left"/>
      <w:lvlText w:val="%1."/>
      <w:numFmt w:val="decimal"/>
      <w:start w:val="5"/>
    </w:lvl>
  </w:abstractNum>
  <w:abstractNum w:abstractNumId="82">
    <w:nsid w:val="CC1016F"/>
    <w:multiLevelType w:val="hybridMultilevel"/>
    <w:lvl w:ilvl="0">
      <w:lvlJc w:val="left"/>
      <w:lvlText w:val="%1."/>
      <w:numFmt w:val="decimal"/>
      <w:start w:val="6"/>
    </w:lvl>
  </w:abstractNum>
  <w:abstractNum w:abstractNumId="83">
    <w:nsid w:val="43F18422"/>
    <w:multiLevelType w:val="hybridMultilevel"/>
    <w:lvl w:ilvl="0">
      <w:lvlJc w:val="left"/>
      <w:lvlText w:val="%1."/>
      <w:numFmt w:val="decimal"/>
      <w:start w:val="7"/>
    </w:lvl>
  </w:abstractNum>
  <w:abstractNum w:abstractNumId="84">
    <w:nsid w:val="60EF0119"/>
    <w:multiLevelType w:val="hybridMultilevel"/>
    <w:lvl w:ilvl="0">
      <w:lvlJc w:val="left"/>
      <w:lvlText w:val="%1."/>
      <w:numFmt w:val="decimal"/>
      <w:start w:val="8"/>
    </w:lvl>
  </w:abstractNum>
  <w:abstractNum w:abstractNumId="85">
    <w:nsid w:val="26F324BA"/>
    <w:multiLevelType w:val="hybridMultilevel"/>
    <w:lvl w:ilvl="0">
      <w:lvlJc w:val="left"/>
      <w:lvlText w:val="%1."/>
      <w:numFmt w:val="decimal"/>
      <w:start w:val="9"/>
    </w:lvl>
    <w:lvl w:ilvl="1">
      <w:lvlJc w:val="left"/>
      <w:lvlText w:val="(%2)"/>
      <w:numFmt w:val="lowerLetter"/>
      <w:start w:val="1"/>
    </w:lvl>
  </w:abstractNum>
  <w:abstractNum w:abstractNumId="86">
    <w:nsid w:val="7F01579B"/>
    <w:multiLevelType w:val="hybridMultilevel"/>
    <w:lvl w:ilvl="0">
      <w:lvlJc w:val="left"/>
      <w:lvlText w:val="(%1)"/>
      <w:numFmt w:val="lowerRoman"/>
      <w:start w:val="1"/>
    </w:lvl>
  </w:abstractNum>
  <w:abstractNum w:abstractNumId="87">
    <w:nsid w:val="49DA307D"/>
    <w:multiLevelType w:val="hybridMultilevel"/>
    <w:lvl w:ilvl="0">
      <w:lvlJc w:val="left"/>
      <w:lvlText w:val="%1."/>
      <w:numFmt w:val="decimal"/>
      <w:start w:val="10"/>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Letter"/>
      <w:start w:val="2"/>
    </w:lvl>
  </w:abstractNum>
  <w:abstractNum w:abstractNumId="90">
    <w:nsid w:val="50801EE1"/>
    <w:multiLevelType w:val="hybridMultilevel"/>
    <w:lvl w:ilvl="0">
      <w:lvlJc w:val="left"/>
      <w:lvlText w:val="(%1)"/>
      <w:numFmt w:val="lowerLetter"/>
      <w:start w:val="4"/>
    </w:lvl>
  </w:abstractNum>
  <w:abstractNum w:abstractNumId="91">
    <w:nsid w:val="488AC1A"/>
    <w:multiLevelType w:val="hybridMultilevel"/>
    <w:lvl w:ilvl="0">
      <w:lvlJc w:val="left"/>
      <w:lvlText w:val="%1."/>
      <w:numFmt w:val="decimal"/>
      <w:start w:val="11"/>
    </w:lvl>
  </w:abstractNum>
  <w:abstractNum w:abstractNumId="92">
    <w:nsid w:val="5FB8011C"/>
    <w:multiLevelType w:val="hybridMultilevel"/>
    <w:lvl w:ilvl="0">
      <w:lvlJc w:val="left"/>
      <w:lvlText w:val="%1."/>
      <w:numFmt w:val="decimal"/>
      <w:start w:val="12"/>
    </w:lvl>
  </w:abstractNum>
  <w:abstractNum w:abstractNumId="93">
    <w:nsid w:val="6AA78F7F"/>
    <w:multiLevelType w:val="hybridMultilevel"/>
    <w:lvl w:ilvl="0">
      <w:lvlJc w:val="left"/>
      <w:lvlText w:val="-"/>
      <w:numFmt w:val="bullet"/>
      <w:start w:val="1"/>
    </w:lvl>
    <w:lvl w:ilvl="1">
      <w:lvlJc w:val="left"/>
      <w:lvlText w:val="(%2)"/>
      <w:numFmt w:val="lowerLetter"/>
      <w:start w:val="1"/>
    </w:lvl>
  </w:abstractNum>
  <w:abstractNum w:abstractNumId="94">
    <w:nsid w:val="7672BD23"/>
    <w:multiLevelType w:val="hybridMultilevel"/>
    <w:lvl w:ilvl="0">
      <w:lvlJc w:val="left"/>
      <w:lvlText w:val="(%1)"/>
      <w:numFmt w:val="lowerLetter"/>
      <w:start w:val="4"/>
    </w:lvl>
  </w:abstractNum>
  <w:abstractNum w:abstractNumId="95">
    <w:nsid w:val="6FC75AF8"/>
    <w:multiLevelType w:val="hybridMultilevel"/>
    <w:lvl w:ilvl="0">
      <w:lvlJc w:val="left"/>
      <w:lvlText w:val="%1."/>
      <w:numFmt w:val="decimal"/>
      <w:start w:val="13"/>
    </w:lvl>
  </w:abstractNum>
  <w:abstractNum w:abstractNumId="96">
    <w:nsid w:val="6A5F7029"/>
    <w:multiLevelType w:val="hybridMultilevel"/>
    <w:lvl w:ilvl="0">
      <w:lvlJc w:val="left"/>
      <w:lvlText w:val="%1."/>
      <w:numFmt w:val="decimal"/>
      <w:start w:val="14"/>
    </w:lvl>
    <w:lvl w:ilvl="1">
      <w:lvlJc w:val="left"/>
      <w:lvlText w:val="(%2)"/>
      <w:numFmt w:val="lowerLetter"/>
      <w:start w:val="1"/>
    </w:lvl>
  </w:abstractNum>
  <w:abstractNum w:abstractNumId="97">
    <w:nsid w:val="7D5E18F8"/>
    <w:multiLevelType w:val="hybridMultilevel"/>
    <w:lvl w:ilvl="0">
      <w:lvlJc w:val="left"/>
      <w:lvlText w:val="(%1)"/>
      <w:numFmt w:val="lowerLetter"/>
      <w:start w:val="2"/>
    </w:lvl>
  </w:abstractNum>
  <w:abstractNum w:abstractNumId="98">
    <w:nsid w:val="5F3534A4"/>
    <w:multiLevelType w:val="hybridMultilevel"/>
    <w:lvl w:ilvl="0">
      <w:lvlJc w:val="left"/>
      <w:lvlText w:val="%1."/>
      <w:numFmt w:val="decimal"/>
      <w:start w:val="15"/>
    </w:lvl>
  </w:abstractNum>
  <w:abstractNum w:abstractNumId="99">
    <w:nsid w:val="73A1821B"/>
    <w:multiLevelType w:val="hybridMultilevel"/>
    <w:lvl w:ilvl="0">
      <w:lvlJc w:val="left"/>
      <w:lvlText w:val="(%1)"/>
      <w:numFmt w:val="lowerLetter"/>
      <w:start w:val="1"/>
    </w:lvl>
  </w:abstractNum>
  <w:abstractNum w:abstractNumId="100">
    <w:nsid w:val="7DE67713"/>
    <w:multiLevelType w:val="hybridMultilevel"/>
    <w:lvl w:ilvl="0">
      <w:lvlJc w:val="left"/>
      <w:lvlText w:val="(%1)"/>
      <w:numFmt w:val="lowerLetter"/>
      <w:start w:val="2"/>
    </w:lvl>
  </w:abstractNum>
  <w:abstractNum w:abstractNumId="101">
    <w:nsid w:val="555C55B5"/>
    <w:multiLevelType w:val="hybridMultilevel"/>
    <w:lvl w:ilvl="0">
      <w:lvlJc w:val="left"/>
      <w:lvlText w:val="%1."/>
      <w:numFmt w:val="decimal"/>
      <w:start w:val="16"/>
    </w:lvl>
  </w:abstractNum>
  <w:abstractNum w:abstractNumId="102">
    <w:nsid w:val="3FA62ACA"/>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2019-12-13T13:19:22Z</dcterms:created>
  <dcterms:modified xsi:type="dcterms:W3CDTF">2019-12-13T13:19:22Z</dcterms:modified>
</cp:coreProperties>
</file>