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0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00" w:type="dxa"/>
            <w:vAlign w:val="bottom"/>
            <w:gridSpan w:val="17"/>
            <w:vMerge w:val="restart"/>
          </w:tcPr>
          <w:p>
            <w:pPr>
              <w:jc w:val="center"/>
              <w:ind w:left="16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1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3"/>
            <w:vMerge w:val="restart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Poppen Joel 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SVP, General Counsel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 1-507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gridSpan w:val="7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12/22/2015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147,701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12/19/2017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195,040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12/30/2019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274,185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(1)(2)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-6049645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-6057900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-6032500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-5845810</wp:posOffset>
            </wp:positionV>
            <wp:extent cx="7031355" cy="5886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88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-5845810</wp:posOffset>
            </wp:positionV>
            <wp:extent cx="7031355" cy="5886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88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represents ownership at end of fiscal year in which transaction occurred.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557 shares acquired under the Micron Technology, Inc. Employee Stock Purchase Plan, which acquisition is exempt from reporting under Rule 16a-3(f)(1)(i)(B).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 Osborn, Attorney-in-fact 10/16/2020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901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8" Type="http://schemas.openxmlformats.org/officeDocument/2006/relationships/hyperlink" Target="http://www.sec.gov/cgi-bin/browse-edgar?action=getcompany&amp;CIK=0001595382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2020-10-16T19:35:33Z</dcterms:created>
  <dcterms:modified xsi:type="dcterms:W3CDTF">2020-10-16T19:35:33Z</dcterms:modified>
</cp:coreProperties>
</file>