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73025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840" w:right="2260" w:hanging="832"/>
        <w:spacing w:after="0" w:line="237" w:lineRule="auto"/>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1, 2006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40" w:right="2240" w:hanging="832"/>
        <w:spacing w:after="0" w:line="256" w:lineRule="auto"/>
        <w:tabs>
          <w:tab w:leader="none" w:pos="8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1-10658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3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360" w:type="dxa"/>
            <w:vAlign w:val="bottom"/>
          </w:tcPr>
          <w:p>
            <w:pPr>
              <w:jc w:val="center"/>
              <w:ind w:right="1570"/>
              <w:spacing w:after="0"/>
              <w:rPr>
                <w:sz w:val="20"/>
                <w:szCs w:val="20"/>
                <w:color w:val="auto"/>
              </w:rPr>
            </w:pPr>
            <w:r>
              <w:rPr>
                <w:rFonts w:ascii="Arial" w:cs="Arial" w:eastAsia="Arial" w:hAnsi="Arial"/>
                <w:sz w:val="18"/>
                <w:szCs w:val="18"/>
                <w:color w:val="auto"/>
                <w:w w:val="93"/>
              </w:rPr>
              <w:t>(State or other jurisdiction of</w:t>
            </w:r>
          </w:p>
        </w:tc>
        <w:tc>
          <w:tcPr>
            <w:tcW w:w="3020" w:type="dxa"/>
            <w:vAlign w:val="bottom"/>
          </w:tcPr>
          <w:p>
            <w:pPr>
              <w:jc w:val="center"/>
              <w:ind w:left="1590"/>
              <w:spacing w:after="0"/>
              <w:rPr>
                <w:sz w:val="20"/>
                <w:szCs w:val="20"/>
                <w:color w:val="auto"/>
              </w:rPr>
            </w:pPr>
            <w:r>
              <w:rPr>
                <w:rFonts w:ascii="Arial" w:cs="Arial" w:eastAsia="Arial" w:hAnsi="Arial"/>
                <w:sz w:val="18"/>
                <w:szCs w:val="18"/>
                <w:color w:val="auto"/>
                <w:w w:val="93"/>
              </w:rPr>
              <w:t>(IRS Employer</w:t>
            </w:r>
          </w:p>
        </w:tc>
      </w:tr>
      <w:tr>
        <w:trPr>
          <w:trHeight w:val="230"/>
        </w:trPr>
        <w:tc>
          <w:tcPr>
            <w:tcW w:w="5360" w:type="dxa"/>
            <w:vAlign w:val="bottom"/>
          </w:tcPr>
          <w:p>
            <w:pPr>
              <w:jc w:val="center"/>
              <w:ind w:right="1570"/>
              <w:spacing w:after="0"/>
              <w:rPr>
                <w:sz w:val="20"/>
                <w:szCs w:val="20"/>
                <w:color w:val="auto"/>
              </w:rPr>
            </w:pPr>
            <w:r>
              <w:rPr>
                <w:rFonts w:ascii="Arial" w:cs="Arial" w:eastAsia="Arial" w:hAnsi="Arial"/>
                <w:sz w:val="18"/>
                <w:szCs w:val="18"/>
                <w:color w:val="auto"/>
                <w:w w:val="93"/>
              </w:rPr>
              <w:t>incorporation or organization)</w:t>
            </w:r>
          </w:p>
        </w:tc>
        <w:tc>
          <w:tcPr>
            <w:tcW w:w="3020" w:type="dxa"/>
            <w:vAlign w:val="bottom"/>
          </w:tcPr>
          <w:p>
            <w:pPr>
              <w:jc w:val="center"/>
              <w:ind w:left="15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3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8000 S. Federal Way, Boise, Idaho</w:t>
            </w:r>
          </w:p>
        </w:tc>
        <w:tc>
          <w:tcPr>
            <w:tcW w:w="302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360" w:type="dxa"/>
            <w:vAlign w:val="bottom"/>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jc w:val="center"/>
              <w:ind w:left="1570"/>
              <w:spacing w:after="0"/>
              <w:rPr>
                <w:sz w:val="20"/>
                <w:szCs w:val="20"/>
                <w:color w:val="auto"/>
              </w:rPr>
            </w:pPr>
            <w:r>
              <w:rPr>
                <w:rFonts w:ascii="Arial" w:cs="Arial" w:eastAsia="Arial" w:hAnsi="Arial"/>
                <w:sz w:val="18"/>
                <w:szCs w:val="18"/>
                <w:color w:val="auto"/>
                <w:w w:val="94"/>
              </w:rPr>
              <w:t>(Zip Code)</w:t>
            </w:r>
          </w:p>
        </w:tc>
      </w:tr>
      <w:tr>
        <w:trPr>
          <w:trHeight w:val="432"/>
        </w:trPr>
        <w:tc>
          <w:tcPr>
            <w:tcW w:w="5360" w:type="dxa"/>
            <w:vAlign w:val="bottom"/>
          </w:tcPr>
          <w:p>
            <w:pPr>
              <w:jc w:val="center"/>
              <w:ind w:right="1570"/>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2" w:lineRule="exact"/>
        <w:rPr>
          <w:sz w:val="24"/>
          <w:szCs w:val="24"/>
          <w:color w:val="auto"/>
        </w:rPr>
      </w:pPr>
    </w:p>
    <w:p>
      <w:pPr>
        <w:ind w:right="120" w:firstLine="36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81" w:lineRule="exact"/>
        <w:rPr>
          <w:sz w:val="24"/>
          <w:szCs w:val="24"/>
          <w:color w:val="auto"/>
        </w:rPr>
      </w:pPr>
    </w:p>
    <w:p>
      <w:pPr>
        <w:ind w:right="320" w:firstLine="3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8" w:lineRule="exact"/>
        <w:rPr>
          <w:sz w:val="24"/>
          <w:szCs w:val="24"/>
          <w:color w:val="auto"/>
        </w:rPr>
      </w:pPr>
    </w:p>
    <w:p>
      <w:pPr>
        <w:ind w:left="2820"/>
        <w:spacing w:after="0"/>
        <w:tabs>
          <w:tab w:leader="none" w:pos="5060" w:val="left"/>
          <w:tab w:leader="none" w:pos="6840" w:val="left"/>
        </w:tabs>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6"/>
          <w:szCs w:val="16"/>
          <w:b w:val="1"/>
          <w:bCs w:val="1"/>
          <w:color w:val="auto"/>
        </w:rPr>
        <w:t>o</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2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outstanding shares of the registrant’s common stock as of July 6, 2006, was 729,881,428.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gridSpan w:val="3"/>
          </w:tcPr>
          <w:p>
            <w:pPr>
              <w:jc w:val="right"/>
              <w:ind w:right="427"/>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198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Borders>
              <w:top w:val="single" w:sz="8" w:color="auto"/>
            </w:tcBorders>
          </w:tcPr>
          <w:p>
            <w:pPr>
              <w:jc w:val="right"/>
              <w:ind w:right="107"/>
              <w:spacing w:after="0" w:line="102" w:lineRule="exact"/>
              <w:rPr>
                <w:sz w:val="20"/>
                <w:szCs w:val="20"/>
                <w:color w:val="auto"/>
              </w:rPr>
            </w:pPr>
            <w:r>
              <w:rPr>
                <w:rFonts w:ascii="Arial" w:cs="Arial" w:eastAsia="Arial" w:hAnsi="Arial"/>
                <w:sz w:val="11"/>
                <w:szCs w:val="11"/>
                <w:b w:val="1"/>
                <w:bCs w:val="1"/>
                <w:color w:val="auto"/>
              </w:rPr>
              <w:t>June 1,</w:t>
            </w:r>
          </w:p>
        </w:tc>
        <w:tc>
          <w:tcPr>
            <w:tcW w:w="2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107"/>
              <w:spacing w:after="0" w:line="102" w:lineRule="exact"/>
              <w:rPr>
                <w:sz w:val="20"/>
                <w:szCs w:val="20"/>
                <w:color w:val="auto"/>
              </w:rPr>
            </w:pPr>
            <w:r>
              <w:rPr>
                <w:rFonts w:ascii="Arial" w:cs="Arial" w:eastAsia="Arial" w:hAnsi="Arial"/>
                <w:sz w:val="11"/>
                <w:szCs w:val="11"/>
                <w:b w:val="1"/>
                <w:bCs w:val="1"/>
                <w:color w:val="auto"/>
              </w:rPr>
              <w:t>June 2,</w:t>
            </w:r>
          </w:p>
        </w:tc>
        <w:tc>
          <w:tcPr>
            <w:tcW w:w="280" w:type="dxa"/>
            <w:vAlign w:val="bottom"/>
          </w:tcPr>
          <w:p>
            <w:pPr>
              <w:spacing w:after="0"/>
              <w:rPr>
                <w:sz w:val="8"/>
                <w:szCs w:val="8"/>
                <w:color w:val="auto"/>
              </w:rPr>
            </w:pPr>
          </w:p>
        </w:tc>
        <w:tc>
          <w:tcPr>
            <w:tcW w:w="1080" w:type="dxa"/>
            <w:vAlign w:val="bottom"/>
            <w:tcBorders>
              <w:top w:val="single" w:sz="8" w:color="auto"/>
            </w:tcBorders>
            <w:gridSpan w:val="2"/>
          </w:tcPr>
          <w:p>
            <w:pPr>
              <w:ind w:left="180"/>
              <w:spacing w:after="0" w:line="102" w:lineRule="exact"/>
              <w:rPr>
                <w:sz w:val="20"/>
                <w:szCs w:val="20"/>
                <w:color w:val="auto"/>
              </w:rPr>
            </w:pPr>
            <w:r>
              <w:rPr>
                <w:rFonts w:ascii="Arial" w:cs="Arial" w:eastAsia="Arial" w:hAnsi="Arial"/>
                <w:sz w:val="11"/>
                <w:szCs w:val="11"/>
                <w:b w:val="1"/>
                <w:bCs w:val="1"/>
                <w:color w:val="auto"/>
              </w:rPr>
              <w:t>June 1,</w:t>
            </w:r>
          </w:p>
        </w:tc>
        <w:tc>
          <w:tcPr>
            <w:tcW w:w="820" w:type="dxa"/>
            <w:vAlign w:val="bottom"/>
            <w:tcBorders>
              <w:top w:val="single" w:sz="8" w:color="auto"/>
            </w:tcBorders>
          </w:tcPr>
          <w:p>
            <w:pPr>
              <w:jc w:val="right"/>
              <w:ind w:right="120"/>
              <w:spacing w:after="0" w:line="102" w:lineRule="exact"/>
              <w:rPr>
                <w:sz w:val="20"/>
                <w:szCs w:val="20"/>
                <w:color w:val="auto"/>
              </w:rPr>
            </w:pPr>
            <w:r>
              <w:rPr>
                <w:rFonts w:ascii="Arial" w:cs="Arial" w:eastAsia="Arial" w:hAnsi="Arial"/>
                <w:sz w:val="11"/>
                <w:szCs w:val="11"/>
                <w:b w:val="1"/>
                <w:bCs w:val="1"/>
                <w:color w:val="auto"/>
              </w:rPr>
              <w:t>June 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76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2006</w:t>
            </w:r>
          </w:p>
        </w:tc>
        <w:tc>
          <w:tcPr>
            <w:tcW w:w="108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820" w:type="dxa"/>
            <w:vAlign w:val="bottom"/>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3,899.1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3,622.4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goods sold</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982.5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3,022.9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9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47"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1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Income (loss) before taxes</w:t>
            </w:r>
          </w:p>
        </w:tc>
        <w:tc>
          <w:tcPr>
            <w:tcW w:w="1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vMerge w:val="continue"/>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Noncontrolling interests in net loss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r>
              <w:rPr>
                <w:rFonts w:ascii="Arial" w:cs="Arial" w:eastAsia="Arial" w:hAnsi="Arial"/>
                <w:sz w:val="18"/>
                <w:szCs w:val="18"/>
                <w:u w:val="single" w:color="auto"/>
                <w:color w:val="auto"/>
              </w:rPr>
              <w:t>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r>
              <w:rPr>
                <w:rFonts w:ascii="Arial" w:cs="Arial" w:eastAsia="Arial" w:hAnsi="Arial"/>
                <w:sz w:val="18"/>
                <w:szCs w:val="18"/>
                <w:u w:val="single" w:color="auto"/>
                <w:color w:val="auto"/>
              </w:rPr>
              <w:t>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1,</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1,</w:t>
            </w:r>
          </w:p>
        </w:tc>
        <w:tc>
          <w:tcPr>
            <w:tcW w:w="0" w:type="dxa"/>
            <w:vAlign w:val="bottom"/>
          </w:tcPr>
          <w:p>
            <w:pPr>
              <w:spacing w:after="0"/>
              <w:rPr>
                <w:sz w:val="1"/>
                <w:szCs w:val="1"/>
                <w:color w:val="auto"/>
              </w:rPr>
            </w:pPr>
          </w:p>
        </w:tc>
      </w:tr>
      <w:tr>
        <w:trPr>
          <w:trHeight w:val="162"/>
        </w:trPr>
        <w:tc>
          <w:tcPr>
            <w:tcW w:w="87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equivalents</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1,467.7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r>
              <w:rPr>
                <w:rFonts w:ascii="Arial" w:cs="Arial" w:eastAsia="Arial" w:hAnsi="Arial"/>
                <w:sz w:val="18"/>
                <w:szCs w:val="18"/>
                <w:u w:val="single" w:color="auto"/>
                <w:color w:val="auto"/>
              </w:rPr>
              <w:t>7</w:t>
            </w: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20" w:type="dxa"/>
            <w:vAlign w:val="bottom"/>
          </w:tcPr>
          <w:p>
            <w:pPr>
              <w:spacing w:after="0" w:line="201" w:lineRule="exact"/>
              <w:rPr>
                <w:sz w:val="20"/>
                <w:szCs w:val="20"/>
                <w:color w:val="auto"/>
              </w:rPr>
            </w:pPr>
            <w:r>
              <w:rPr>
                <w:rFonts w:ascii="Arial" w:cs="Arial" w:eastAsia="Arial" w:hAnsi="Arial"/>
                <w:sz w:val="18"/>
                <w:szCs w:val="18"/>
                <w:color w:val="auto"/>
                <w:w w:val="93"/>
              </w:rPr>
              <w:t>Common stock, $0.10 par value, authorized 3.0 billion shares, issued and outstanding 678.5 million and 616.2 million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7,086.8</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10,300.7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8,006.4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bottom w:val="single" w:sz="8" w:color="CCEEFF"/>
            </w:tcBorders>
            <w:vMerge w:val="restart"/>
          </w:tcPr>
          <w:p>
            <w:pPr>
              <w:jc w:val="center"/>
              <w:ind w:left="283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8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80" w:type="dxa"/>
            <w:vAlign w:val="bottom"/>
            <w:gridSpan w:val="2"/>
          </w:tcPr>
          <w:p>
            <w:pPr>
              <w:jc w:val="center"/>
              <w:ind w:left="2859"/>
              <w:spacing w:after="0"/>
              <w:rPr>
                <w:sz w:val="20"/>
                <w:szCs w:val="20"/>
                <w:color w:val="auto"/>
              </w:rPr>
            </w:pPr>
            <w:r>
              <w:rPr>
                <w:rFonts w:ascii="Arial" w:cs="Arial" w:eastAsia="Arial" w:hAnsi="Arial"/>
                <w:sz w:val="18"/>
                <w:szCs w:val="18"/>
                <w:color w:val="auto"/>
                <w:w w:val="99"/>
              </w:rPr>
              <w:t>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846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rPr>
              <w:t>MICRON TECHNOLOGY, INC.</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color w:val="auto"/>
                <w:w w:val="96"/>
              </w:rPr>
              <w:t>(Dollars in millions)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color w:val="auto"/>
                <w:w w:val="91"/>
              </w:rPr>
              <w:t>(Unaudited)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June 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June 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4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Loss (gain) from write-down or disposition of equipment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from write-down or disposition of investments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receivables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(Increase) decrease in inventories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Increase (decrease) in customer prepayments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(2,090.7)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(1,429.7)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TECH</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(Increase) decrease in restricted cash</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(1,013.4)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 in IMFT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settlement of call spread options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sale of noncontrolling interest in MP Mask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equipment sale-leaseback transactions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beginning of period</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524.5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Income taxes paid,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debt to equity</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-8346440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-8346440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60"/>
          </w:cols>
          <w:pgMar w:left="240" w:top="140" w:right="199" w:bottom="262"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80" w:firstLine="360"/>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NAND Flash memory, CMOS image sensors and other semiconductor components. The Company has two reportable segments, Memory and Imaging.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fiscal year is the 52 or 53-week period ending on the Thursday closest to August 31. The Company’s third quarter of fiscal 2006 and</w:t>
      </w:r>
    </w:p>
    <w:p>
      <w:pPr>
        <w:spacing w:after="0" w:line="46" w:lineRule="exact"/>
        <w:rPr>
          <w:sz w:val="20"/>
          <w:szCs w:val="20"/>
          <w:color w:val="auto"/>
        </w:rPr>
      </w:pPr>
    </w:p>
    <w:p>
      <w:pPr>
        <w:jc w:val="both"/>
        <w:ind w:right="620"/>
        <w:spacing w:after="0" w:line="277" w:lineRule="auto"/>
        <w:rPr>
          <w:sz w:val="20"/>
          <w:szCs w:val="20"/>
          <w:color w:val="auto"/>
        </w:rPr>
      </w:pPr>
      <w:r>
        <w:rPr>
          <w:rFonts w:ascii="Arial" w:cs="Arial" w:eastAsia="Arial" w:hAnsi="Arial"/>
          <w:sz w:val="17"/>
          <w:szCs w:val="17"/>
          <w:color w:val="auto"/>
        </w:rPr>
        <w:t>2005 ended on June 1, 2006, and June 2, 2005, respectively. The Company’s fiscal 2005 ended on September 1, 2005. All period references are to the Company’s fiscal periods unless otherwise indicated. These interim financial statements should be read in conjunction with the consolidated financial statements and accompanying notes included in the Company’s Current Report on Form 8-K dated February 7, 2006.</w:t>
      </w:r>
    </w:p>
    <w:p>
      <w:pPr>
        <w:spacing w:after="0" w:line="169" w:lineRule="exact"/>
        <w:rPr>
          <w:sz w:val="20"/>
          <w:szCs w:val="20"/>
          <w:color w:val="auto"/>
        </w:rPr>
      </w:pPr>
    </w:p>
    <w:p>
      <w:pPr>
        <w:ind w:right="20" w:firstLine="360"/>
        <w:spacing w:after="0" w:line="258"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February 2006, the Financial Accounting Standards Board (“FASB”) issued Statement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(“SFAS”) No. 155, “Accounting for Certain Hybrid Financial Instruments.” SFAS No. 155 permits fair value remeasurement for any hybrid financial instrument that contains an embedded derivative that otherwise would require bifurcation. As of June 1, 2006, the Company did not have any hybrid financial instruments subject to the fair value election under SFAS No. 155. The Company is required to adopt SFAS No. 155 effective at the beginning of 2008.</w:t>
      </w:r>
    </w:p>
    <w:p>
      <w:pPr>
        <w:spacing w:after="0" w:line="188"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In May 2005, the FASB issued SFAS No. 154, “Accounting Changes and Error Corrections.” SFAS No. 154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4"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adopted Interpretation No. 47 in the third quarter of 2006. The adoption of Interpretation No. 47 did not have a significant impact on the Company’s results of operations or financial condition.</w:t>
      </w:r>
    </w:p>
    <w:p>
      <w:pPr>
        <w:spacing w:after="0" w:line="167" w:lineRule="exact"/>
        <w:rPr>
          <w:sz w:val="20"/>
          <w:szCs w:val="20"/>
          <w:color w:val="auto"/>
        </w:rPr>
      </w:pPr>
    </w:p>
    <w:p>
      <w:pPr>
        <w:ind w:right="60" w:firstLine="360"/>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Effective the beginning of 2006, the Company adopted SFAS No. 123(R), “Share-Based Payment,” and elected to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the modified prospective application method. Accordingly, stock-based compensation cost is measured at the grant date, based on the fair value of the award, and is recognized as expense over the requisite service period. For stock awards granted in 2006, expenses are amortized under the straight-line attribution method. For stock awards granted prior to 2006, expenses are amortized under the multiple option method prescribed by FASB Interpretation No. 28. Previously reported amounts have not been restated.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w:t>
      </w:r>
    </w:p>
    <w:p>
      <w:pPr>
        <w:spacing w:after="0" w:line="229"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Subsequent to the end of the Company’s third quarter of 2006, on June 21, 2006, the Company acquired Lexar Media, Inc. (“Lexar”), a designer, developer, manufacturer and marketer of flash memory products, in a stock-for-stock</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merger. Pursuant to the terms of the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therewith, the Company issued approximately 50 million shares of common stock and </w:t>
      </w:r>
      <w:r>
        <w:rPr>
          <w:rFonts w:ascii="Arial" w:cs="Arial" w:eastAsia="Arial" w:hAnsi="Arial"/>
          <w:sz w:val="17"/>
          <w:szCs w:val="17"/>
          <w:color w:val="auto"/>
        </w:rPr>
        <w:t>assumed Lexar options, which were converted into options to purchase approximately 7 million shares of the Company’s</w:t>
      </w:r>
      <w:r>
        <w:rPr>
          <w:rFonts w:ascii="Arial" w:cs="Arial" w:eastAsia="Arial" w:hAnsi="Arial"/>
          <w:sz w:val="18"/>
          <w:szCs w:val="18"/>
          <w:color w:val="auto"/>
        </w:rPr>
        <w:t xml:space="preserve"> </w:t>
      </w:r>
      <w:r>
        <w:rPr>
          <w:rFonts w:ascii="Arial" w:cs="Arial" w:eastAsia="Arial" w:hAnsi="Arial"/>
          <w:sz w:val="17"/>
          <w:szCs w:val="17"/>
          <w:color w:val="auto"/>
        </w:rPr>
        <w:t xml:space="preserve">common stock, </w:t>
      </w:r>
      <w:r>
        <w:rPr>
          <w:rFonts w:ascii="Arial" w:cs="Arial" w:eastAsia="Arial" w:hAnsi="Arial"/>
          <w:sz w:val="18"/>
          <w:szCs w:val="18"/>
          <w:color w:val="auto"/>
        </w:rPr>
        <w:t>with a combined value of approximately $900 million. The financial results of Lexar will be included in the Company’s consolidated financial</w:t>
      </w:r>
      <w:r>
        <w:rPr>
          <w:rFonts w:ascii="Arial" w:cs="Arial" w:eastAsia="Arial" w:hAnsi="Arial"/>
          <w:sz w:val="17"/>
          <w:szCs w:val="17"/>
          <w:color w:val="auto"/>
        </w:rPr>
        <w:t xml:space="preserve"> </w:t>
      </w:r>
      <w:r>
        <w:rPr>
          <w:rFonts w:ascii="Arial" w:cs="Arial" w:eastAsia="Arial" w:hAnsi="Arial"/>
          <w:sz w:val="18"/>
          <w:szCs w:val="18"/>
          <w:color w:val="auto"/>
        </w:rPr>
        <w:t>results subsequent to the June 21, 2006, acquisition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June 1,</w:t>
            </w:r>
          </w:p>
        </w:tc>
        <w:tc>
          <w:tcPr>
            <w:tcW w:w="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September 1,</w:t>
            </w:r>
          </w:p>
        </w:tc>
        <w:tc>
          <w:tcPr>
            <w:tcW w:w="0" w:type="dxa"/>
            <w:vAlign w:val="bottom"/>
          </w:tcPr>
          <w:p>
            <w:pPr>
              <w:spacing w:after="0"/>
              <w:rPr>
                <w:sz w:val="1"/>
                <w:szCs w:val="1"/>
                <w:color w:val="auto"/>
              </w:rPr>
            </w:pPr>
          </w:p>
        </w:tc>
      </w:tr>
      <w:tr>
        <w:trPr>
          <w:trHeight w:val="162"/>
        </w:trPr>
        <w:tc>
          <w:tcPr>
            <w:tcW w:w="6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receivables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Taxes other than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TECH joint venture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4" w:name="page5"/>
    <w:bookmarkEnd w:id="4"/>
    <w:p>
      <w:pPr>
        <w:spacing w:after="0" w:line="6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Inventories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June 1,</w:t>
            </w:r>
          </w:p>
        </w:tc>
        <w:tc>
          <w:tcPr>
            <w:tcW w:w="8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September 1,</w:t>
            </w:r>
          </w:p>
        </w:tc>
        <w:tc>
          <w:tcPr>
            <w:tcW w:w="0" w:type="dxa"/>
            <w:vAlign w:val="bottom"/>
          </w:tcPr>
          <w:p>
            <w:pPr>
              <w:spacing w:after="0"/>
              <w:rPr>
                <w:sz w:val="1"/>
                <w:szCs w:val="1"/>
                <w:color w:val="auto"/>
              </w:rPr>
            </w:pPr>
          </w:p>
        </w:tc>
      </w:tr>
      <w:tr>
        <w:trPr>
          <w:trHeight w:val="162"/>
        </w:trPr>
        <w:tc>
          <w:tcPr>
            <w:tcW w:w="62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 and supplies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Allowance for obsolescence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connection with the consolidation of TECH in the third quarter of 2006, the Company recorded inventories of $103.8 million. (See “Joint Ventures — Tech Semiconductor Singapore Pte. Ltd.” note.)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June 1, 2006</w:t>
            </w:r>
          </w:p>
        </w:tc>
        <w:tc>
          <w:tcPr>
            <w:tcW w:w="20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1, 2005</w:t>
            </w:r>
          </w:p>
        </w:tc>
        <w:tc>
          <w:tcPr>
            <w:tcW w:w="0" w:type="dxa"/>
            <w:vAlign w:val="bottom"/>
          </w:tcPr>
          <w:p>
            <w:pPr>
              <w:spacing w:after="0"/>
              <w:rPr>
                <w:sz w:val="1"/>
                <w:szCs w:val="1"/>
                <w:color w:val="auto"/>
              </w:rPr>
            </w:pPr>
          </w:p>
        </w:tc>
      </w:tr>
      <w:tr>
        <w:trPr>
          <w:trHeight w:val="102"/>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2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340"/>
              <w:spacing w:after="0" w:line="102" w:lineRule="exact"/>
              <w:rPr>
                <w:sz w:val="20"/>
                <w:szCs w:val="20"/>
                <w:color w:val="auto"/>
              </w:rPr>
            </w:pPr>
            <w:r>
              <w:rPr>
                <w:rFonts w:ascii="Arial" w:cs="Arial" w:eastAsia="Arial" w:hAnsi="Arial"/>
                <w:sz w:val="11"/>
                <w:szCs w:val="11"/>
                <w:b w:val="1"/>
                <w:bCs w:val="1"/>
                <w:color w:val="auto"/>
              </w:rPr>
              <w:t>Gross</w:t>
            </w: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79"/>
              <w:spacing w:after="0" w:line="102" w:lineRule="exact"/>
              <w:rPr>
                <w:sz w:val="20"/>
                <w:szCs w:val="20"/>
                <w:color w:val="auto"/>
              </w:rPr>
            </w:pPr>
            <w:r>
              <w:rPr>
                <w:rFonts w:ascii="Arial" w:cs="Arial" w:eastAsia="Arial" w:hAnsi="Arial"/>
                <w:sz w:val="11"/>
                <w:szCs w:val="11"/>
                <w:b w:val="1"/>
                <w:bCs w:val="1"/>
                <w:color w:val="auto"/>
              </w:rPr>
              <w:t>Accumulated</w:t>
            </w:r>
          </w:p>
        </w:tc>
        <w:tc>
          <w:tcPr>
            <w:tcW w:w="3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jc w:val="center"/>
              <w:ind w:right="500"/>
              <w:spacing w:after="0" w:line="102" w:lineRule="exact"/>
              <w:rPr>
                <w:sz w:val="20"/>
                <w:szCs w:val="20"/>
                <w:color w:val="auto"/>
              </w:rPr>
            </w:pPr>
            <w:r>
              <w:rPr>
                <w:rFonts w:ascii="Arial" w:cs="Arial" w:eastAsia="Arial" w:hAnsi="Arial"/>
                <w:sz w:val="11"/>
                <w:szCs w:val="11"/>
                <w:b w:val="1"/>
                <w:bCs w:val="1"/>
                <w:color w:val="auto"/>
              </w:rPr>
              <w:t>Gross</w:t>
            </w: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and process technology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TECH joint venture supply arrangement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418.6</w:t>
            </w:r>
          </w:p>
        </w:tc>
        <w:tc>
          <w:tcPr>
            <w:tcW w:w="2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360"/>
        <w:spacing w:after="0" w:line="277" w:lineRule="auto"/>
        <w:rPr>
          <w:sz w:val="20"/>
          <w:szCs w:val="20"/>
          <w:color w:val="auto"/>
        </w:rPr>
      </w:pPr>
      <w:r>
        <w:rPr>
          <w:rFonts w:ascii="Arial" w:cs="Arial" w:eastAsia="Arial" w:hAnsi="Arial"/>
          <w:sz w:val="18"/>
          <w:szCs w:val="18"/>
          <w:color w:val="auto"/>
        </w:rPr>
        <w:t>During the first nine months of 2006 and 2005, the Company capitalized $29.0 million and $24.9 million, respectively, for product and process technology with weighted-average useful lives of 9.8 years and 10.0 years, respectively.</w:t>
      </w:r>
    </w:p>
    <w:p>
      <w:pPr>
        <w:spacing w:after="0" w:line="170"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In the third quarter of 2006, as a result of the Company’s consolidation of TECH, the intangible asset associated with the TECH joint venture supply arrangement became part of the Company’s investment in TECH’s net assets and was eliminated in consolidation. (See “Joint Ventures — TECH Semiconductor Singapore Pte. Ltd.” note.)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Amortization expense for intangible assets was $10.5 million and $36.6 million for the third quarter and first nine months of 2006, respectively,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$12.7 million and $37.8 million for the third quarter and first nine months of 2005, respectively. Annual amortization expense for intangible assets held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1, 2006, is estimated to be $47.3 million for 2006, $42.7 million for 2007, $42.0 million for 2008, $30.9 million for 2009 and $22.4 million for 2010.</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June 1,</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September 1,</w:t>
            </w:r>
          </w:p>
        </w:tc>
        <w:tc>
          <w:tcPr>
            <w:tcW w:w="0" w:type="dxa"/>
            <w:vAlign w:val="bottom"/>
          </w:tcPr>
          <w:p>
            <w:pPr>
              <w:spacing w:after="0"/>
              <w:rPr>
                <w:sz w:val="1"/>
                <w:szCs w:val="1"/>
                <w:color w:val="auto"/>
              </w:rPr>
            </w:pPr>
          </w:p>
        </w:tc>
      </w:tr>
      <w:tr>
        <w:trPr>
          <w:trHeight w:val="162"/>
        </w:trPr>
        <w:tc>
          <w:tcPr>
            <w:tcW w:w="6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12,421.1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6"/>
              </w:rPr>
              <w:t>11,029.1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(6,345.3)</w:t>
            </w: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Depreciation expense was $336.0 million and $914.1 million for the third quarter and first nine months of 2006, respectively, and $305.6 million and $908.4 million for the third quarter and first nine months of 2005, respectively.</w:t>
      </w:r>
    </w:p>
    <w:p>
      <w:pPr>
        <w:spacing w:after="0" w:line="1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connection with the consolidation of TECH in the third quarter of 2006, the Company recorded property, plant and equipment of $562.0 million. (See “Joint Ventures — Tech Semiconductor Singapore Pte. Ltd.” note.)</w:t>
      </w:r>
    </w:p>
    <w:p>
      <w:pPr>
        <w:spacing w:after="0" w:line="200" w:lineRule="exact"/>
        <w:rPr>
          <w:sz w:val="20"/>
          <w:szCs w:val="20"/>
          <w:color w:val="auto"/>
        </w:rPr>
      </w:pPr>
    </w:p>
    <w:p>
      <w:pPr>
        <w:spacing w:after="0" w:line="3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1,</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62"/>
        </w:trPr>
        <w:tc>
          <w:tcPr>
            <w:tcW w:w="6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other than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TECH joint venture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In connection with the consolidation of TECH in the third quarter of 2006, the Company recorded accounts payable and accrued expenses of $68.6 million. (See “Joint Ventures — Tech Semiconductor Singapore Pte. Ltd.” note.)</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June 1,</w:t>
            </w:r>
          </w:p>
        </w:tc>
        <w:tc>
          <w:tcPr>
            <w:tcW w:w="2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62"/>
        </w:trPr>
        <w:tc>
          <w:tcPr>
            <w:tcW w:w="62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Capital lease obligations payable in monthly installments through February 2021,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imputed interest rate of 6.3% and 6.4%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180"/>
              <w:spacing w:after="0" w:line="201" w:lineRule="exact"/>
              <w:rPr>
                <w:sz w:val="20"/>
                <w:szCs w:val="20"/>
                <w:color w:val="auto"/>
              </w:rPr>
            </w:pPr>
            <w:r>
              <w:rPr>
                <w:rFonts w:ascii="Arial" w:cs="Arial" w:eastAsia="Arial" w:hAnsi="Arial"/>
                <w:sz w:val="18"/>
                <w:szCs w:val="18"/>
                <w:color w:val="auto"/>
                <w:w w:val="99"/>
              </w:rPr>
              <w:t>Notes payable in periodic installments through June 2015, weighted-average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interest rate of 1.6% and 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Convertible subordinated notes payable, face amount of $632.5 million, interest rate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7" w:right="239" w:bottom="0" w:gutter="0" w:footer="0" w:header="0"/>
        </w:sectPr>
      </w:pPr>
    </w:p>
    <w:bookmarkStart w:id="5" w:name="page6"/>
    <w:bookmarkEnd w:id="5"/>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6720" w:type="dxa"/>
            <w:vAlign w:val="bottom"/>
            <w:gridSpan w:val="2"/>
            <w:shd w:val="clear" w:color="auto" w:fill="CCEEFF"/>
          </w:tcPr>
          <w:p>
            <w:pPr>
              <w:jc w:val="right"/>
              <w:ind w:right="4265"/>
              <w:spacing w:after="0"/>
              <w:rPr>
                <w:sz w:val="20"/>
                <w:szCs w:val="20"/>
                <w:color w:val="auto"/>
              </w:rPr>
            </w:pPr>
            <w:r>
              <w:rPr>
                <w:rFonts w:ascii="Arial" w:cs="Arial" w:eastAsia="Arial" w:hAnsi="Arial"/>
                <w:sz w:val="18"/>
                <w:szCs w:val="18"/>
                <w:color w:val="auto"/>
              </w:rPr>
              <w:t>of 2.5%, due February 2010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jc w:val="right"/>
              <w:ind w:right="5025"/>
              <w:spacing w:after="0"/>
              <w:rPr>
                <w:sz w:val="20"/>
                <w:szCs w:val="20"/>
                <w:color w:val="auto"/>
              </w:rPr>
            </w:pPr>
            <w:r>
              <w:rPr>
                <w:rFonts w:ascii="Arial" w:cs="Arial" w:eastAsia="Arial" w:hAnsi="Arial"/>
                <w:sz w:val="18"/>
                <w:szCs w:val="18"/>
                <w:color w:val="auto"/>
              </w:rPr>
              <w:t>Less current portion</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right"/>
              <w:ind w:right="209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June 1, 2006, notes payable in the above table included $228.1 million, denominated in Japanese yen, at a weighted-average interest rate of 1.2%.</w:t>
      </w:r>
    </w:p>
    <w:p>
      <w:pPr>
        <w:spacing w:after="0" w:line="248"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In connection with the consolidation of TECH in the third quarter of 2006, the Company recorded $245.7 million of notes payable (which were repaid in the third quarter of 2006) and $93.1 million of capital lease obligations. (See “Joint Ventures — Tech Semiconductor Singapore Pte. Ltd.” note.)</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TECH subsidiary has a credit facility that enables it to borrow up to $400.0 million at Singapore Interbank Offered Rate (“SIBOR”) plus 2.5%. As of June 1, 2006, TECH had not borrowed any amounts against the credit facility.</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second quarter of 2006, the Company’s $632.5 million 2.5% Convertible Subordinated Notes (“Notes”) were converted into 53.7 million shares of the Company’s common stock. In addition, the Company’s related interest rate swap terminated by its terms on February 6, 2006 and, as a result, $34.8 million of cash pledged as collateral for the swap became unrestricted. On February 14, 2006, the Company terminated its outstanding call spread options covering a total of approximately 53.7 million shares of its common stock (“Call Spread Options”). The Company originally entered into the Call Spread Options in connection with its issuance of the Notes. The Company received $171.1 million for the settlement of the Call Spread Options. The settlement was accounted for as a capital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United States, Germany, France, and Italy. The Company also is engaged in litigation with Tessera, Inc. (“Tessera”) relating to certain of Tessera’s patents and certain of the Company’s patents in the U.S. District Court for the Eastern District of Texas. Among other things, the above lawsuits pertain to certain of the Company’s SDRAM, DDR SDRAM, and DDR2 SDRAM products, which account for a significant portion of net sales. A Company subsidiary, Lexar Media, Inc. (“Lexar”), is engaged in litigation with Toshiba Corporation (“Toshiba”) relating to certain of Toshiba’s patents in the U.S. District Court for the Northern District of California. The lawsuit pertains to certain flash components that Lexar purchases from vendors.</w:t>
      </w:r>
    </w:p>
    <w:p>
      <w:pPr>
        <w:spacing w:after="0" w:line="166"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8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eighty-four (seven of which have been dismissed) purported class action lawsuits have been filed against the Company and other DRAM suppliers in various federal and state courts in the United States and in Puerto Rico by direct and indirect purchasers alleging price-fixing in violation of federal and state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Three purported class action lawsuits also have been filed in Canada, alleging violations of the Canadian Competition Act. The substantive allegations in these cases are similar to those asserted in the cases filed in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United States and Puerto Rico. The Company is unable to predict the outcome of these suits.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the Company and other DRAM suppliers on behalf of state and governmental entities that were direct or indirect purchasers of DRAM and potentially on behalf of other indirect purchasers of DRAM. The Company has been served with civil investigative demands or subpoenas issued by many of the state Attorneys General and is responding to those requests.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66"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ectPr>
          <w:pgSz w:w="11900" w:h="16838" w:orient="portrait"/>
          <w:cols w:equalWidth="0" w:num="1">
            <w:col w:w="11400"/>
          </w:cols>
          <w:pgMar w:left="240" w:top="140" w:right="259" w:bottom="0" w:gutter="0" w:footer="0" w:header="0"/>
        </w:sectPr>
      </w:pPr>
    </w:p>
    <w:bookmarkStart w:id="6" w:name="page7"/>
    <w:bookmarkEnd w:id="6"/>
    <w:p>
      <w:pPr>
        <w:ind w:right="40" w:firstLine="360"/>
        <w:spacing w:after="0" w:line="253"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complaints generally allege violations of federal securities laws based on, among other things, claimed misstatements or omissions regarding alleged illegal price-fixing conduct or the Company’s operations and financial results. The complaints seek unspecified damages, interest, attorneys’ fees, costs, and expenses. The five lawsuits have been consolidated and the Company expects a consolidated amended class action complaint to be filed. The Company is unable to predict the outcome of these cases. A court determination in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 The Company is unable to predict the outcome of this case. A court determination in this action against the Company could result in significant liability and could have a material adverse effect on the Company’s business, results of operations or financial condition.</w:t>
      </w:r>
    </w:p>
    <w:p>
      <w:pPr>
        <w:spacing w:after="0" w:line="182"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“Lexar Media, Inc.” note.)</w:t>
      </w:r>
    </w:p>
    <w:p>
      <w:pPr>
        <w:spacing w:after="0" w:line="171" w:lineRule="exact"/>
        <w:rPr>
          <w:sz w:val="20"/>
          <w:szCs w:val="20"/>
          <w:color w:val="auto"/>
        </w:rPr>
      </w:pPr>
    </w:p>
    <w:p>
      <w:pPr>
        <w:jc w:val="both"/>
        <w:ind w:right="420" w:firstLine="360"/>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As of June 1, 2006, the Company had an aggregate of 152.6 million shares of its common stock reserved for issuance under its various stock plans, of which 123.5 million shares were subject to outstanding stock awards and 29.1 million shares were available for future grants. Awards are subject to terms and conditions as determined by the Company’s Board of Directors.</w:t>
      </w:r>
    </w:p>
    <w:p>
      <w:pPr>
        <w:spacing w:after="0" w:line="18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In connection with the Company’s acquisition of Lexar on June 21, 2006, the Company assumed Lexar options, which were converted into options to purchase approximately 7 million shares of the Company’s common stock. (See “Lexar Media, Inc.” note.)</w:t>
      </w:r>
    </w:p>
    <w:p>
      <w:pPr>
        <w:spacing w:after="0" w:line="170"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generally exercisable in increments of 25% during each year of employment beginning one year from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Stock options issued prior to January 19, 1998, and after September 22, 2004, expire six years from the date of grant. All other options expire ten years from date of grant.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 activity for the first nine months of 2006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Weighed average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remaining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5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average exercise</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contractual life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 per share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1,2005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Cancelled or expired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1, 2006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1, 2006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The weighted average grant-date fair value per share was $6.32 and $5.90 for options granted during the third quarter and first nine months of 2006, respectively, and $4.20 and $5.11 for options granted during the third quarter and first nine months of 2005, respectively. The total intrinsic value was $11.8</w:t>
      </w:r>
    </w:p>
    <w:p>
      <w:pPr>
        <w:sectPr>
          <w:pgSz w:w="11900" w:h="16838" w:orient="portrait"/>
          <w:cols w:equalWidth="0" w:num="1">
            <w:col w:w="11420"/>
          </w:cols>
          <w:pgMar w:left="240" w:top="125" w:right="239" w:bottom="0" w:gutter="0" w:footer="0" w:header="0"/>
        </w:sectPr>
      </w:pPr>
    </w:p>
    <w:bookmarkStart w:id="7" w:name="page8"/>
    <w:bookmarkEnd w:id="7"/>
    <w:p>
      <w:pPr>
        <w:ind w:right="420"/>
        <w:spacing w:after="0" w:line="277" w:lineRule="auto"/>
        <w:rPr>
          <w:sz w:val="20"/>
          <w:szCs w:val="20"/>
          <w:color w:val="auto"/>
        </w:rPr>
      </w:pPr>
      <w:r>
        <w:rPr>
          <w:rFonts w:ascii="Arial" w:cs="Arial" w:eastAsia="Arial" w:hAnsi="Arial"/>
          <w:sz w:val="18"/>
          <w:szCs w:val="18"/>
          <w:color w:val="auto"/>
        </w:rPr>
        <w:t>million and $22.3 million for options exercised during the third quarter and first nine months of 2006, respectively, and $0.1 million and $0.2 million for options exercised during the third quarter and first nine months of 2005,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nonvested options for the first nine months of 2006 are summarized as follows:</w:t>
      </w:r>
    </w:p>
    <w:p>
      <w:pPr>
        <w:spacing w:after="0" w:line="18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1, 2005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June 1, 2006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As of June 1, 2006, there was $54.9 million of total unrecognized compensation cost related to nonvested stock options, which is expected to be recognized over a weighted-average period of 1.7 years.</w:t>
      </w:r>
    </w:p>
    <w:p>
      <w:pPr>
        <w:spacing w:after="0" w:line="17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fair value of each option award is estimated as of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Assumptions used in the Black-Scholes model are presented below:</w:t>
      </w:r>
    </w:p>
    <w:p>
      <w:pPr>
        <w:spacing w:after="0" w:line="14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1,</w:t>
            </w:r>
          </w:p>
        </w:tc>
        <w:tc>
          <w:tcPr>
            <w:tcW w:w="0" w:type="dxa"/>
            <w:vAlign w:val="bottom"/>
          </w:tcPr>
          <w:p>
            <w:pPr>
              <w:spacing w:after="0"/>
              <w:rPr>
                <w:sz w:val="1"/>
                <w:szCs w:val="1"/>
                <w:color w:val="auto"/>
              </w:rPr>
            </w:pPr>
          </w:p>
        </w:tc>
      </w:tr>
      <w:tr>
        <w:trPr>
          <w:trHeight w:val="162"/>
        </w:trPr>
        <w:tc>
          <w:tcPr>
            <w:tcW w:w="6740" w:type="dxa"/>
            <w:vAlign w:val="bottom"/>
            <w:gridSpan w:val="2"/>
            <w:vMerge w:val="continue"/>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expected life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jc w:val="right"/>
              <w:spacing w:after="0"/>
              <w:rPr>
                <w:sz w:val="20"/>
                <w:szCs w:val="20"/>
                <w:color w:val="auto"/>
              </w:rPr>
            </w:pPr>
            <w:r>
              <w:rPr>
                <w:rFonts w:ascii="Arial" w:cs="Arial" w:eastAsia="Arial" w:hAnsi="Arial"/>
                <w:sz w:val="18"/>
                <w:szCs w:val="18"/>
                <w:color w:val="auto"/>
              </w:rPr>
              <w:t>42% - 48%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3.9% - 5.0%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81" w:lineRule="exact"/>
        <w:rPr>
          <w:sz w:val="20"/>
          <w:szCs w:val="20"/>
          <w:color w:val="auto"/>
        </w:rPr>
      </w:pPr>
    </w:p>
    <w:p>
      <w:pPr>
        <w:ind w:right="400" w:firstLine="360"/>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As of June 1, 2006, there were 2.3 million shares of restricted stock and stock units outstanding, of which 0.6 million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performance-based restricted stock awards. For service-based restricted stock awards, restrictions lapse in one-third increments during each year of employment after the grant date. For performance-based restricted stock awards, vesting is contingent upon meeting certain Company-wide performance goals.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stock activity for the first nine months of 2006 and 2005 is summarized as follows:</w:t>
      </w: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Cancelled or expired</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Aggregate value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2.3 years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2.4 years</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40" w:type="dxa"/>
            <w:vAlign w:val="bottom"/>
          </w:tcPr>
          <w:p>
            <w:pPr>
              <w:jc w:val="right"/>
              <w:ind w:right="21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weighted-average grant-date fair value per share was $12.91 and $12.17 for restricted stock awards granted during the first nine months of 2006 and 2005, respectively. The total value of awards for which restrictions lapsed during the first nine months of 2006 was $1.5 million. There were no restricted stock awards granted during the third quarter of 2005 or 2006.</w:t>
      </w:r>
    </w:p>
    <w:p>
      <w:pPr>
        <w:spacing w:after="0" w:line="18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As of June 1, 2006, there was $21.3 million of total unrecognized compensation cost, related to nonvested restricted stock and stock units awards, which is expected to be recognized over a weighted-average period of 1.2 years.</w:t>
      </w:r>
    </w:p>
    <w:p>
      <w:pPr>
        <w:spacing w:after="0" w:line="170"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stock plans in the third quarter and first nine months of 2006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 million and $17.8 million, respectively, and included the following:</w:t>
      </w:r>
    </w:p>
    <w:p>
      <w:pPr>
        <w:sectPr>
          <w:pgSz w:w="11900" w:h="16838" w:orient="portrait"/>
          <w:cols w:equalWidth="0" w:num="1">
            <w:col w:w="11420"/>
          </w:cols>
          <w:pgMar w:left="240" w:top="125" w:right="239" w:bottom="0" w:gutter="0" w:footer="0" w:header="0"/>
        </w:sectPr>
      </w:pPr>
    </w:p>
    <w:bookmarkStart w:id="8" w:name="page9"/>
    <w:bookmarkEnd w:id="8"/>
    <w:tbl>
      <w:tblPr>
        <w:tblLayout w:type="fixed"/>
        <w:tblInd w:w="1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Quarter ended</w:t>
            </w:r>
          </w:p>
        </w:tc>
        <w:tc>
          <w:tcPr>
            <w:tcW w:w="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June 1, 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June 1, 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16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w:t>
            </w:r>
          </w:p>
        </w:tc>
        <w:tc>
          <w:tcPr>
            <w:tcW w:w="1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6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Stock-based compensation expense of $1.2 million was capitalized and remained in inventory at the end of the third quarter of 2006. As of June 1, 2006, $76.2 million of total unrecognized compensation costs related to non-vested awards is expected to be recognized over a weighted-average period of 1.6 years.</w:t>
      </w:r>
    </w:p>
    <w:p>
      <w:pPr>
        <w:spacing w:after="0" w:line="18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Through 2005, the Company accounted for its stock plans using the intrinsic value method prescribed by APB Opinion No. 25, “Accounting for Stock Issued to Employees,” and related Interpretations and provided the required pro forma disclosures of SFAS No. 123, “Accounting for Stock-Based Compensation.” The following presents pro forma income and per share data as if a fair value based method had been used to account for stock-based compensation for the third quarter and first nine months of 2005: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3"/>
                <w:szCs w:val="13"/>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June 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June 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7"/>
              </w:rPr>
              <w:t>Stock-based employee compensation expense included in reported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income, net of tax</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Less total stock-based employee compensation expense determined under a</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based method for all awards, net of tax</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(303.1)</w:t>
            </w:r>
          </w:p>
        </w:tc>
        <w:tc>
          <w:tcPr>
            <w:tcW w:w="100" w:type="dxa"/>
            <w:vAlign w:val="bottom"/>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as reported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Basic, pro forma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Diluted, as reported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pro forma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Other operating income for the first nine months of 2006 includes $230.0 million of net proceeds from Intel Corporation (“Intel”) for the sale of the Company’s existing NAND Flash memory designs and certain related technology to Intel and the Company’s acquisition of a perpetual, paid-up license to use and modify such designs. Other operating income for the third quarter of fiscal 2005 includes gains net of losses on write-downs and disposals of semiconductor equipment of $14.5 million and net gains of $12.2 million from changes in currency exchange rates. Other operating income for the first nine months of fiscal 2005 includes gains net of losses on write-downs and disposals of semiconductor equipment of $13.1 million and $12.0 million in receipts from the U.S. government in connection with anti-dumping tariffs.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Income taxes for 2006 and 2005 primarily reflect taxes on the Company’s non-U.S. operations and U.S. alternative minimum tax. The Company has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valuation allowance for its net deferred tax asset associated with its U.S. operations. The provision for taxes on U.S. operations in 2006 and 2005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substantially offset by a reduction in the valuation allowance. Until such time as the Company utilizes a significant portion of its U.S. net operating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and unused tax credits, the provision for taxes on the Company’s U.S. operations is expected to be substantially offset by a reduction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As of June 1, 2006, the Company had aggregate U.S. tax net operating loss carryforwards of $1.6 billion and unused U.S. tax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$183.7 million. The Company also has unused state tax net operating loss carryforwards of $1.3 billion and unused state tax credits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$145.9 million. Substantially all of the net operating loss carryforwards expire in 2022 to 2025 and substantially all of the tax credit carryforwards expire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2013 to 2026. During the first nine months of 2006, the Company utilized approximately $1.1 billion of its U.S. tax net operating loss carryforwards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 of the IMFT, MP Mask and related transactions. (See “Joint Ventures — IM Flash Technologies, LLC” and “Joint Ventures — MP Mask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Center, LLC” notes.)</w:t>
      </w:r>
    </w:p>
    <w:p>
      <w:pPr>
        <w:sectPr>
          <w:pgSz w:w="11900" w:h="16838" w:orient="portrait"/>
          <w:cols w:equalWidth="0" w:num="1">
            <w:col w:w="11420"/>
          </w:cols>
          <w:pgMar w:left="240" w:top="87" w:right="239" w:bottom="258"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7" w:right="239" w:bottom="258"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95.8 million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97.9 million for the third quarter and first nine months of 2006, respectively, and 204.5 million and 147.1 million for the third quarter and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2005,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ind w:right="76"/>
              <w:spacing w:after="0" w:line="102" w:lineRule="exact"/>
              <w:rPr>
                <w:sz w:val="20"/>
                <w:szCs w:val="20"/>
                <w:color w:val="auto"/>
              </w:rPr>
            </w:pPr>
            <w:r>
              <w:rPr>
                <w:rFonts w:ascii="Arial" w:cs="Arial" w:eastAsia="Arial" w:hAnsi="Arial"/>
                <w:sz w:val="11"/>
                <w:szCs w:val="11"/>
                <w:b w:val="1"/>
                <w:bCs w:val="1"/>
                <w:color w:val="auto"/>
              </w:rPr>
              <w:t>June 1,</w:t>
            </w:r>
          </w:p>
        </w:tc>
        <w:tc>
          <w:tcPr>
            <w:tcW w:w="2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ind w:right="55"/>
              <w:spacing w:after="0" w:line="102" w:lineRule="exact"/>
              <w:rPr>
                <w:sz w:val="20"/>
                <w:szCs w:val="20"/>
                <w:color w:val="auto"/>
              </w:rPr>
            </w:pPr>
            <w:r>
              <w:rPr>
                <w:rFonts w:ascii="Arial" w:cs="Arial" w:eastAsia="Arial" w:hAnsi="Arial"/>
                <w:sz w:val="11"/>
                <w:szCs w:val="11"/>
                <w:b w:val="1"/>
                <w:bCs w:val="1"/>
                <w:color w:val="auto"/>
              </w:rPr>
              <w:t>June 2,</w:t>
            </w: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ind w:right="56"/>
              <w:spacing w:after="0" w:line="102" w:lineRule="exact"/>
              <w:rPr>
                <w:sz w:val="20"/>
                <w:szCs w:val="20"/>
                <w:color w:val="auto"/>
              </w:rPr>
            </w:pPr>
            <w:r>
              <w:rPr>
                <w:rFonts w:ascii="Arial" w:cs="Arial" w:eastAsia="Arial" w:hAnsi="Arial"/>
                <w:sz w:val="11"/>
                <w:szCs w:val="11"/>
                <w:b w:val="1"/>
                <w:bCs w:val="1"/>
                <w:color w:val="auto"/>
              </w:rPr>
              <w:t>June 1,</w:t>
            </w:r>
          </w:p>
        </w:tc>
        <w:tc>
          <w:tcPr>
            <w:tcW w:w="2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ind w:right="75"/>
              <w:spacing w:after="0" w:line="102" w:lineRule="exact"/>
              <w:rPr>
                <w:sz w:val="20"/>
                <w:szCs w:val="20"/>
                <w:color w:val="auto"/>
              </w:rPr>
            </w:pPr>
            <w:r>
              <w:rPr>
                <w:rFonts w:ascii="Arial" w:cs="Arial" w:eastAsia="Arial" w:hAnsi="Arial"/>
                <w:sz w:val="11"/>
                <w:szCs w:val="11"/>
                <w:b w:val="1"/>
                <w:bCs w:val="1"/>
                <w:color w:val="auto"/>
              </w:rPr>
              <w:t>June 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 —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r>
              <w:rPr>
                <w:rFonts w:ascii="Arial" w:cs="Arial" w:eastAsia="Arial" w:hAnsi="Arial"/>
                <w:sz w:val="18"/>
                <w:szCs w:val="18"/>
                <w:u w:val="single" w:color="auto"/>
                <w:color w:val="auto"/>
              </w:rPr>
              <w:t>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Comprehensive income for 2006 and 2005 includes net income (loss) and de minimis amounts of unrealized gains and losses on investments. Comprehensive income for the third quarter and first nine months of 2006 was $88.5 million and $344.3 million, respectively. Comprehensive income (loss) for the third quarter and first nine months of 2005 was $(127.7) million and $145.0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b w:val="1"/>
          <w:bCs w:val="1"/>
          <w:i w:val="1"/>
          <w:i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 that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formed to manufacture NAND Flash memory products for the exclusive benefit of its partners. In connection with the formation of IMFT, the Company contributed land and facilities in Lehi, Utah, a fully paid lease of a portion of the Company’s manufacturing facility in Manassas, Virginia, a wafer supply agreement to be supported by the Company’s operations located in Boise, Idaho and $250.0 million in cash. The aggregate fair value of these contributions was $1.245 billion. In connection with the contribution of land and facilities in Lehi, Utah, the Company recorded a $1.6 million gain in the second quarter of 2006, which is included in other non-operating income in the accompanying consolidated statement of operations. Intel contributed $1.196 billion in cash and notes to IMFT. As a result of these contributions, the Company owns 51% and Intel owns 49% of IMFT. The parties share the output of IMFT generally in proportion to their ownership in IMFT. The notes receivable from Intel for its contribution to IMFT are accounted for as a reduction to noncontrolling interest and are not included in receivables as of June 1, 2006.</w:t>
      </w:r>
    </w:p>
    <w:p>
      <w:pPr>
        <w:spacing w:after="0" w:line="18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Under the terms of the lease, IMFT has the use of approximately 50% of the Company’s manufacturing facility in Manassas, Virginia for a period of 10 years. IMFT purchases and installs manufacturing equipment into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leased facility which is operated and maintained by the Company. The cost of operating and maintaining the equipment is charged to IMFT. Under the terms of the wafer supply agreement, the Company manufactures wafers for IMFT in its Boise, Idaho facility for a period of five years.</w:t>
      </w:r>
    </w:p>
    <w:p>
      <w:pPr>
        <w:spacing w:after="0" w:line="147"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IMFT manufactures NAND Flash memory products based on NAND Flash designs developed by the Company and Intel and licensed to the Company. Product design and other research and development costs for NAND Flash are shared equally among the Company and Intel. In the second quarter of 2006, the Company received net proceeds of $230.0 million from Intel for the sale of the Company’s existing NAND Flash memory designs and certain related technology and the Company’s acquisition of a perpetual, paid-up license to use and modify such designs.</w:t>
      </w:r>
    </w:p>
    <w:p>
      <w:pPr>
        <w:spacing w:after="0" w:line="17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Company and Intel entered into various service contracts with IMFT under which they provide operational and administrative support services. The Company and Intel generally charge IMFT for costs of providing such services.</w:t>
      </w:r>
    </w:p>
    <w:p>
      <w:pPr>
        <w:spacing w:after="0" w:line="170" w:lineRule="exact"/>
        <w:rPr>
          <w:sz w:val="20"/>
          <w:szCs w:val="20"/>
          <w:color w:val="auto"/>
        </w:rPr>
      </w:pPr>
    </w:p>
    <w:p>
      <w:pPr>
        <w:jc w:val="both"/>
        <w:ind w:right="300" w:firstLine="360"/>
        <w:spacing w:after="0" w:line="286" w:lineRule="auto"/>
        <w:rPr>
          <w:sz w:val="20"/>
          <w:szCs w:val="20"/>
          <w:color w:val="auto"/>
        </w:rPr>
      </w:pPr>
      <w:r>
        <w:rPr>
          <w:rFonts w:ascii="Arial" w:cs="Arial" w:eastAsia="Arial" w:hAnsi="Arial"/>
          <w:sz w:val="17"/>
          <w:szCs w:val="17"/>
          <w:color w:val="auto"/>
        </w:rPr>
        <w:t>The Company has determined that IMFT is a variable interest entity as defined in FASB Interpretation No. 46(R), “Consolidation of Variable Interest Entities,” and that the Company is the primary beneficiary. Accordingly, IMFT’s financial results are included in the accompanying consolidated financial statements of the Company. All amounts pertaining to Intel’s interests in IMFT are reported as noncontrolling interest.</w:t>
      </w:r>
    </w:p>
    <w:p>
      <w:pPr>
        <w:spacing w:after="0" w:line="166"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Company is obligated to provide certain NAND Flash memory products to Apple Computer Inc. (“Apple”) until December 31, 2010, pursuant to a NAND Flash supply agreement. In connection with the obligation, Apple made a prepayment of $250.0 million to the Company in the second quarter of 2006. The prepayment is included in other liabilities in the accompanying consolidated balance sheet.</w:t>
      </w:r>
    </w:p>
    <w:p>
      <w:pPr>
        <w:spacing w:after="0" w:line="181"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Since 1998, the Company has participated in TECH, a semiconductor memory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joint venture in Singapore among the Company, the Singapore Economic Development Board (“EDB”), Canon Inc. and Hewlett-Packard Company. On March 3, 2006, certain shareholders of TECH contributed approximately $260 million in cash as additional capital to TECH, of which the Company’s</w:t>
      </w:r>
    </w:p>
    <w:p>
      <w:pPr>
        <w:sectPr>
          <w:pgSz w:w="11900" w:h="16838" w:orient="portrait"/>
          <w:cols w:equalWidth="0" w:num="1">
            <w:col w:w="11420"/>
          </w:cols>
          <w:pgMar w:left="240" w:top="364" w:right="239" w:bottom="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contribution was approximately $130 million. Following the contribution, the Company owned an approximate 43% interest in TECH. The shareholders’ agreement for the TECH joint venture expires in 2011.</w:t>
      </w:r>
    </w:p>
    <w:p>
      <w:pPr>
        <w:spacing w:after="0" w:line="170"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Effective March 3, 2006, the Company entered into an agreement with EDB whereby EDB granted the Company an option to purchase from EDB, and the Company granted EDB an option to sell to the Company, EDB’s shares of TECH common stock (approximately 30% as of June 1, 2006) (collectively, the “TECH Options”). The Company’s option to purchase EDB’s shares in TECH is exercisable at any time prior to October 1, 2009. EDB’s option to put its shares in TECH to the Company is exercisable from March 3, 2008, until October 1, 2010. The Company has determined that TECH is a variable interest entity, and as a result of the put option agreement noted above, the Company concluded it is the primary beneficiary of TECH as defined by FIN 46(R) and therefore began consolidating TECH’s financial results as of the beginning of the Company’s third quarter of 2006.</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Upon consolidation of TECH as of March 3, 2006, the Company’s basis of $133.6 million and the fair value of noncontrolling interests in TECH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$626.8 million were allocated to the assets and liabilities of TECH based on their estimated fair values. In connection with the consolidation of TECH,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recorded total assets of $990.1 million (net of $204.4 million of eliminated intercompany balances and the Company’s contribution to TECH),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cash of $319.0 million, inventories of $103.8 million and property, plant and equipment of $562.0 million, and total liabilities of $410.5 (net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$23.6 million of eliminated intercompany balances), including accounts payable and accrued expenses of $68.6 million and debt and capital lease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totaling $338.8 million.</w:t>
      </w:r>
    </w:p>
    <w:p>
      <w:pPr>
        <w:spacing w:after="0" w:line="21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The option granted by the Company to EDB to sell to the Company EDB’s shares in TECH is being accounted for as if the shares are mandatorily redeemable by the Company. The initial carrying value of the noncontrolling interest in TECH attributable to EDB of $286.9 million is being amortized to its estimated redemption value ($249.4 million as of March 3, 2006) through March 3, 2008, the date EDB’s option becomes exercisable. The amortization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is recognized as other non-operating income in the accompanying consolidated statement of operations and amounted to $4.7 million for the third quarter of 2006.</w:t>
      </w:r>
    </w:p>
    <w:p>
      <w:pPr>
        <w:spacing w:after="0" w:line="170"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TECH’s semiconductor manufacturing uses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second quarter of 2006, prior to the consolidation of TECH, all of these transactions with TECH were recognized as part of the net cost of products purchased from TECH. The net cost of products purchased from TECH amounted to $286.7 million for the first six months of 2006. The net cost of products purchased from TECH amounted to $227.4 million and $547.9 million for the third quarter and first nine months of 2005, respectively. Amortization expense resulting from the TECH supply arrangement, included in the cost of products purchased from TECH, was $5.8 million for the first six months of 2006 and $2.9 million and $8.8 million for the third quarter and first nine months of 2005, respectively. In connection with the consolidation of TECH, amortization of the TECH supply arrangement was discontinued as of the beginning of the third quarter of 2006.</w:t>
      </w:r>
    </w:p>
    <w:p>
      <w:pPr>
        <w:spacing w:after="0" w:line="169"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b w:val="1"/>
          <w:bCs w:val="1"/>
          <w:i w:val="1"/>
          <w:iCs w:val="1"/>
          <w:color w:val="auto"/>
        </w:rPr>
        <w:t xml:space="preserve">MP Mask Technology Center, LLC (“MP Mask”): </w:t>
      </w:r>
      <w:r>
        <w:rPr>
          <w:rFonts w:ascii="Arial" w:cs="Arial" w:eastAsia="Arial" w:hAnsi="Arial"/>
          <w:sz w:val="17"/>
          <w:szCs w:val="17"/>
          <w:color w:val="auto"/>
        </w:rPr>
        <w:t>In the third quarter of 2006, the Company formed a joint venture, MP Mask, with Photronics,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(“Photronics”) to produce photomasks for leading-edge and advanced next generation semiconductors. The Company contributed its then existing reticle manufacturing operation to the venture. In exchange for a 49.99% interest in MP Mask, Photronics paid $48.0 million cash and $15.0 million in notes due over two years to the Company. In connection with the joint venture, the Company received $72.0 million in exchange for entering into a license agreement with Photronics, which will be recognized over the term of the 10-year agreement. The Company and Photronics also entered into supply arrangements wherein the Company is expected to purchase a substantial majority of the reticles produced by MP Mask. The financial results of MP Mask are included in the consolidated financial results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The Company has determined, based on the nature of its operations and products offered to customers, that its reportable segments are Memory and Imaging. The Company’s Memory segment includes the operations of its joint ventures IMFT, TECH and MP Mask. (See “Joint Ventures” note.) The Memory segment’s primary products are DRAM and NAND Flash memory products and the Imaging segment’s primary products are CMOS image sensors. Segment information reported below is consistent with how it is reviewed and evaluated by the Company’s chief operating decision maker. The Company does not identify or report depreciation and amortization, capital expenditures or assets by segment. Prior to the first quarter of 2006, the Company had a single reportable segment. The information below represents the Company’s reportable segments.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60"/>
              <w:spacing w:after="0" w:line="102" w:lineRule="exact"/>
              <w:rPr>
                <w:sz w:val="20"/>
                <w:szCs w:val="20"/>
                <w:color w:val="auto"/>
              </w:rPr>
            </w:pPr>
            <w:r>
              <w:rPr>
                <w:rFonts w:ascii="Arial" w:cs="Arial" w:eastAsia="Arial" w:hAnsi="Arial"/>
                <w:sz w:val="11"/>
                <w:szCs w:val="11"/>
                <w:b w:val="1"/>
                <w:bCs w:val="1"/>
                <w:color w:val="auto"/>
              </w:rPr>
              <w:t>June 1,</w:t>
            </w: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116"/>
              <w:spacing w:after="0" w:line="102" w:lineRule="exact"/>
              <w:rPr>
                <w:sz w:val="20"/>
                <w:szCs w:val="20"/>
                <w:color w:val="auto"/>
              </w:rPr>
            </w:pPr>
            <w:r>
              <w:rPr>
                <w:rFonts w:ascii="Arial" w:cs="Arial" w:eastAsia="Arial" w:hAnsi="Arial"/>
                <w:sz w:val="11"/>
                <w:szCs w:val="11"/>
                <w:b w:val="1"/>
                <w:bCs w:val="1"/>
                <w:color w:val="auto"/>
              </w:rPr>
              <w:t>June 2,</w:t>
            </w:r>
          </w:p>
        </w:tc>
        <w:tc>
          <w:tcPr>
            <w:tcW w:w="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118"/>
              <w:spacing w:after="0" w:line="102" w:lineRule="exact"/>
              <w:rPr>
                <w:sz w:val="20"/>
                <w:szCs w:val="20"/>
                <w:color w:val="auto"/>
              </w:rPr>
            </w:pPr>
            <w:r>
              <w:rPr>
                <w:rFonts w:ascii="Arial" w:cs="Arial" w:eastAsia="Arial" w:hAnsi="Arial"/>
                <w:sz w:val="11"/>
                <w:szCs w:val="11"/>
                <w:b w:val="1"/>
                <w:bCs w:val="1"/>
                <w:color w:val="auto"/>
              </w:rPr>
              <w:t>June 1,</w:t>
            </w: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116"/>
              <w:spacing w:after="0" w:line="102" w:lineRule="exact"/>
              <w:rPr>
                <w:sz w:val="20"/>
                <w:szCs w:val="20"/>
                <w:color w:val="auto"/>
              </w:rPr>
            </w:pPr>
            <w:r>
              <w:rPr>
                <w:rFonts w:ascii="Arial" w:cs="Arial" w:eastAsia="Arial" w:hAnsi="Arial"/>
                <w:sz w:val="11"/>
                <w:szCs w:val="11"/>
                <w:b w:val="1"/>
                <w:bCs w:val="1"/>
                <w:color w:val="auto"/>
              </w:rPr>
              <w:t>June 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Memory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1,099.6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972.9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consolidated net sales</w:t>
            </w:r>
          </w:p>
        </w:tc>
        <w:tc>
          <w:tcPr>
            <w:tcW w:w="19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1,312.3</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3,899.1</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3,622.4</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Imaging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operating income (loss)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r>
              <w:rPr>
                <w:rFonts w:ascii="Arial" w:cs="Arial" w:eastAsia="Arial" w:hAnsi="Arial"/>
                <w:sz w:val="18"/>
                <w:szCs w:val="18"/>
                <w:u w:val="single" w:color="auto"/>
                <w:color w:val="auto"/>
              </w:rPr>
              <w:t>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r>
              <w:rPr>
                <w:rFonts w:ascii="Arial" w:cs="Arial" w:eastAsia="Arial" w:hAnsi="Arial"/>
                <w:sz w:val="18"/>
                <w:szCs w:val="18"/>
                <w:u w:val="single" w:color="auto"/>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allocations of wafer starts to these products; in “IM Flash Technologies, LLC” regarding NAND Flash production in future periods; in “Net Sales” regarding increases in and revenue from sales of NAND Flash and Imaging products; in “Selling, General and Administrative” regarding SG&amp;A expenses for the fourth quarter of 2006; in “Research and Development” regarding R&amp;D costs for the fourth quarter of 2006; in “Stock-Based Compensation” regarding increases in future stock-based compensation costs; in “Income Taxes” regarding future provisions for income taxes and a reduction in the valuation allowance; and in “Liquidity and Capital Resources” regarding capital spending in 2006 and 2007; and future capital contributions to IMFT and TECH.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September 1, 2005 and the Company’s Current Report on Form 8-K dated February 7, 2006. All period references are to the Company’s fiscal periods unless otherwise indicated. All tabular dollar amounts are in millions. All production data reflects production of the Company and its TECH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The Company is a global manufacturer of semiconductor devices, principally DRAM and NAND Flash memory products, and CMOS image sensors. Its products are used in a broad range of electronic applications including personal computers, workstations, network servers, mobile phones and other consumer applications including flash memory cards, USB storage devices, digital still cameras, automotive applications and MP3 players. The Company’s customers are principally original equipment manufacturers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investments.</w:t>
      </w:r>
    </w:p>
    <w:p>
      <w:pPr>
        <w:spacing w:after="0" w:line="178" w:lineRule="exact"/>
        <w:rPr>
          <w:sz w:val="20"/>
          <w:szCs w:val="20"/>
          <w:color w:val="auto"/>
        </w:rPr>
      </w:pPr>
    </w:p>
    <w:p>
      <w:pPr>
        <w:ind w:right="180" w:firstLine="360"/>
        <w:spacing w:after="0" w:line="253" w:lineRule="auto"/>
        <w:rPr>
          <w:sz w:val="20"/>
          <w:szCs w:val="20"/>
          <w:color w:val="auto"/>
        </w:rPr>
      </w:pPr>
      <w:r>
        <w:rPr>
          <w:rFonts w:ascii="Arial" w:cs="Arial" w:eastAsia="Arial" w:hAnsi="Arial"/>
          <w:sz w:val="18"/>
          <w:szCs w:val="18"/>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highest volume products, DDR and DDR2. The Company leverages its expertise in semiconductor memory manufacturing and product and process technology to provide these products that are differentiated from competitors’ products based on performance characteristics. In the third quarter of 2006, sales of products other than PC DRAM products became a majority of the Company’s total net sales. The Company expects that the markets for these products will grow in the near term more rapidly than the overall semiconductor market. The Company plans to continue to allocate an increasing portion of its manufacturing capacity to CMOS image sensors and NAND Flash products. The Company believes that the strategic diversification of its product portfolio will strengthen its ability to allocate manufacturing resources to achieve the highest rate of return.</w:t>
      </w:r>
    </w:p>
    <w:p>
      <w:pPr>
        <w:spacing w:after="0" w:line="197"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megapixel count. The Company generally reduces the manufacturing cost of each generation of product through advancements of its product and process technology such as its leading-edge line width process technology and innovative array architecture.</w:t>
      </w:r>
    </w:p>
    <w:p>
      <w:pPr>
        <w:spacing w:after="0" w:line="173"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This is especially true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The Company must make significant investments in R&amp;D to expand its product offering and develop its leading-edge product and process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b w:val="1"/>
          <w:bCs w:val="1"/>
          <w:i w:val="1"/>
          <w:i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IMFT manufactures NAND Flash memory products pursuant to NAND Flash designs developed by the Company and Intel and licensed to the Company. The parties share the output of IMFT generally in proportion to their investment in IMFT. IMFT’s financial results are included in the consolidated financial statements of the Company. As a result of their contributions to IMFT, the Company owns 51% and Intel owns 49% of IMFT. (See “Item 1. Financial Statements — Notes to Consolidated Financial Statements — Joint Ventures — IM Flash Technologies, LLC”)</w:t>
      </w:r>
    </w:p>
    <w:p>
      <w:pPr>
        <w:spacing w:after="0" w:line="173"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On March 3, 2006, certain shareholders of TECH, including the Company and the Singapore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Development Board (“EDB”), contributed approximately $260 million in cash as additional capital to TECH, of which the Company’s contribution was approximately $130 million. Following the contribution, the Company owned an approximate 43% interest in TECH. Effective March 3, 2006, the Company entered into an agreement with EDB whereby EDB granted the Company an option to purchase from EDB, and the Company granted EDB an option to sell to the Company, EDB’s shares of TECH common stock (approximately 30% as of June 1, 2006). As a result of the put option agreement noted</w:t>
      </w:r>
    </w:p>
    <w:p>
      <w:pPr>
        <w:sectPr>
          <w:pgSz w:w="11900" w:h="16838" w:orient="portrait"/>
          <w:cols w:equalWidth="0" w:num="1">
            <w:col w:w="11420"/>
          </w:cols>
          <w:pgMar w:left="240" w:top="773" w:right="239" w:bottom="0" w:gutter="0" w:footer="0" w:header="0"/>
        </w:sectPr>
      </w:pPr>
    </w:p>
    <w:bookmarkStart w:id="12" w:name="page13"/>
    <w:bookmarkEnd w:id="12"/>
    <w:p>
      <w:pPr>
        <w:ind w:right="200"/>
        <w:spacing w:after="0" w:line="264" w:lineRule="auto"/>
        <w:rPr>
          <w:sz w:val="20"/>
          <w:szCs w:val="20"/>
          <w:color w:val="auto"/>
        </w:rPr>
      </w:pPr>
      <w:r>
        <w:rPr>
          <w:rFonts w:ascii="Arial" w:cs="Arial" w:eastAsia="Arial" w:hAnsi="Arial"/>
          <w:sz w:val="18"/>
          <w:szCs w:val="18"/>
          <w:color w:val="auto"/>
        </w:rPr>
        <w:t>above, the Company concluded it is the primary beneficiary of TECH and therefore began consolidating TECH’s financial results as of the beginning of the Company’s third quarter of fiscal 2006. (See “Item 1. Financial Statements — Notes to Consolidated Financial Statements — Joint Ventures — TECH Semiconductor Singapore Pte. Ltd.”)</w:t>
      </w:r>
    </w:p>
    <w:p>
      <w:pPr>
        <w:spacing w:after="0" w:line="181"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b w:val="1"/>
          <w:bCs w:val="1"/>
          <w:i w:val="1"/>
          <w:iCs w:val="1"/>
          <w:color w:val="auto"/>
        </w:rPr>
        <w:t xml:space="preserve">MP Mask Technology Center, LLC (“MP Mask”): </w:t>
      </w:r>
      <w:r>
        <w:rPr>
          <w:rFonts w:ascii="Arial" w:cs="Arial" w:eastAsia="Arial" w:hAnsi="Arial"/>
          <w:sz w:val="18"/>
          <w:szCs w:val="18"/>
          <w:color w:val="auto"/>
        </w:rPr>
        <w:t>In the third quarter of 2006, the Company formed a joint venture, MP Mask, with Photronics,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(“Photronics”) to produce photomasks for leading-edge and advanced next generation semiconductors. The Company contributed its then existing reticle manufacturing operation to the venture. In exchange for a 49.99% interest in MP Mask, Photronics paid cash and issued notes to the Company aggregating $63.0 million. In connection with the joint venture, the Company received $72.0 million in exchange for entering into a license agreement with Photronics, which will be recognized over the term of the 10-year agreement. The Company and Photronics also entered into supply arrangements wherein the Company is expected to purchase a substantial majority of the reticles produced by MP Mask. The financial results of MP Mask are included in the consolidated financial results of the Company. (See “Item 1. Financial Statements — Notes to Consolidated Financial Statements — Joint Ventures — MP Mask Technology Center, LLC”)</w:t>
      </w:r>
    </w:p>
    <w:p>
      <w:pPr>
        <w:spacing w:after="0" w:line="19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Lexar Media, Inc. (“Lexar”): </w:t>
      </w:r>
      <w:r>
        <w:rPr>
          <w:rFonts w:ascii="Arial" w:cs="Arial" w:eastAsia="Arial" w:hAnsi="Arial"/>
          <w:sz w:val="16"/>
          <w:szCs w:val="16"/>
          <w:color w:val="auto"/>
        </w:rPr>
        <w:t>On June 21, 2006, the Company acquired Lexar, a designer, developer, manufacturer and marketer of Flash memory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in a stock-for-stock merger. Pursuant to the terms of a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therewith, the Company issued approximately 50 million shares of common stock and assumed stock options representing approximately 7 million shares with an aggregate value of approximately $900 million. (See “Item 1. Financial Statements — Notes to Consolidated Financial Statements — Lexar Media, Inc.”)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Third Quarter</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Second 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0"/>
                <w:szCs w:val="10"/>
                <w:b w:val="1"/>
                <w:bCs w:val="1"/>
                <w:color w:val="auto"/>
              </w:rPr>
              <w:t>of net</w:t>
            </w: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30"/>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0"/>
                <w:szCs w:val="10"/>
                <w:b w:val="1"/>
                <w:bCs w:val="1"/>
                <w:color w:val="auto"/>
              </w:rPr>
              <w:t>of net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35"/>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0"/>
                <w:szCs w:val="10"/>
                <w:b w:val="1"/>
                <w:bCs w:val="1"/>
                <w:color w:val="auto"/>
              </w:rPr>
              <w:t>of net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right"/>
              <w:ind w:right="300"/>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0"/>
                <w:szCs w:val="10"/>
                <w:b w:val="1"/>
                <w:bCs w:val="1"/>
                <w:color w:val="auto"/>
              </w:rPr>
              <w:t>of net</w:t>
            </w: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13"/>
              <w:spacing w:after="0" w:line="102" w:lineRule="exact"/>
              <w:rPr>
                <w:sz w:val="20"/>
                <w:szCs w:val="20"/>
                <w:color w:val="auto"/>
              </w:rPr>
            </w:pPr>
            <w:r>
              <w:rPr>
                <w:rFonts w:ascii="Arial" w:cs="Arial" w:eastAsia="Arial" w:hAnsi="Arial"/>
                <w:sz w:val="11"/>
                <w:szCs w:val="11"/>
                <w:b w:val="1"/>
                <w:bCs w:val="1"/>
                <w:color w:val="auto"/>
              </w:rPr>
              <w:t>% of net</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40"/>
              <w:spacing w:after="0" w:line="149" w:lineRule="exact"/>
              <w:rPr>
                <w:sz w:val="20"/>
                <w:szCs w:val="20"/>
                <w:color w:val="auto"/>
              </w:rPr>
            </w:pPr>
            <w:r>
              <w:rPr>
                <w:rFonts w:ascii="Arial" w:cs="Arial" w:eastAsia="Arial" w:hAnsi="Arial"/>
                <w:sz w:val="14"/>
                <w:szCs w:val="14"/>
                <w:color w:val="auto"/>
              </w:rPr>
              <w:t>Memory</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1,099.6</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83.8%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972.9</w:t>
            </w: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1,066.0</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87.0%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3,373.6</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86.5%</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3,433.1</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Imaging</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159.0</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525.5</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189.3</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1,312.3</w:t>
            </w:r>
          </w:p>
        </w:tc>
        <w:tc>
          <w:tcPr>
            <w:tcW w:w="180" w:type="dxa"/>
            <w:vAlign w:val="bottom"/>
            <w:vMerge w:val="continue"/>
          </w:tcPr>
          <w:p>
            <w:pPr>
              <w:spacing w:after="0"/>
              <w:rPr>
                <w:sz w:val="15"/>
                <w:szCs w:val="15"/>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100.0%</w:t>
            </w:r>
          </w:p>
        </w:tc>
        <w:tc>
          <w:tcPr>
            <w:tcW w:w="8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1,054.2</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100.0%</w:t>
            </w:r>
          </w:p>
        </w:tc>
        <w:tc>
          <w:tcPr>
            <w:tcW w:w="6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1,225.</w:t>
            </w:r>
            <w:r>
              <w:rPr>
                <w:rFonts w:ascii="Arial" w:cs="Arial" w:eastAsia="Arial" w:hAnsi="Arial"/>
                <w:sz w:val="14"/>
                <w:szCs w:val="14"/>
                <w:u w:val="single" w:color="auto"/>
                <w:color w:val="auto"/>
              </w:rPr>
              <w:t>0</w:t>
            </w:r>
          </w:p>
        </w:tc>
        <w:tc>
          <w:tcPr>
            <w:tcW w:w="180" w:type="dxa"/>
            <w:vAlign w:val="bottom"/>
            <w:vMerge w:val="continue"/>
          </w:tcPr>
          <w:p>
            <w:pPr>
              <w:spacing w:after="0"/>
              <w:rPr>
                <w:sz w:val="15"/>
                <w:szCs w:val="15"/>
                <w:color w:val="auto"/>
              </w:rPr>
            </w:pPr>
          </w:p>
        </w:tc>
        <w:tc>
          <w:tcPr>
            <w:tcW w:w="8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100.0%</w:t>
            </w:r>
          </w:p>
        </w:tc>
        <w:tc>
          <w:tcPr>
            <w:tcW w:w="8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3,899.1</w:t>
            </w:r>
          </w:p>
        </w:tc>
        <w:tc>
          <w:tcPr>
            <w:tcW w:w="180" w:type="dxa"/>
            <w:vAlign w:val="bottom"/>
            <w:vMerge w:val="continue"/>
          </w:tcPr>
          <w:p>
            <w:pPr>
              <w:spacing w:after="0"/>
              <w:rPr>
                <w:sz w:val="15"/>
                <w:szCs w:val="15"/>
                <w:color w:val="auto"/>
              </w:rPr>
            </w:pPr>
          </w:p>
        </w:tc>
        <w:tc>
          <w:tcPr>
            <w:tcW w:w="8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100.0%</w:t>
            </w:r>
          </w:p>
        </w:tc>
        <w:tc>
          <w:tcPr>
            <w:tcW w:w="100" w:type="dxa"/>
            <w:vAlign w:val="bottom"/>
            <w:vMerge w:val="continue"/>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3,622.4</w:t>
            </w:r>
          </w:p>
        </w:tc>
        <w:tc>
          <w:tcPr>
            <w:tcW w:w="180" w:type="dxa"/>
            <w:vAlign w:val="bottom"/>
            <w:vMerge w:val="continue"/>
          </w:tcPr>
          <w:p>
            <w:pPr>
              <w:spacing w:after="0"/>
              <w:rPr>
                <w:sz w:val="15"/>
                <w:szCs w:val="15"/>
                <w:color w:val="auto"/>
              </w:rPr>
            </w:pPr>
          </w:p>
        </w:tc>
        <w:tc>
          <w:tcPr>
            <w:tcW w:w="8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Memory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166.2</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648.3</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796.1</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Imaging</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85.4</w:t>
            </w:r>
          </w:p>
        </w:tc>
        <w:tc>
          <w:tcPr>
            <w:tcW w:w="1100" w:type="dxa"/>
            <w:vAlign w:val="bottom"/>
            <w:tcBorders>
              <w:bottom w:val="single" w:sz="8" w:color="CCEEFF"/>
            </w:tcBorders>
            <w:gridSpan w:val="3"/>
          </w:tcPr>
          <w:p>
            <w:pPr>
              <w:jc w:val="right"/>
              <w:ind w:right="100"/>
              <w:spacing w:after="0" w:line="149" w:lineRule="exact"/>
              <w:rPr>
                <w:sz w:val="20"/>
                <w:szCs w:val="20"/>
                <w:color w:val="auto"/>
              </w:rPr>
            </w:pPr>
            <w:r>
              <w:rPr>
                <w:rFonts w:ascii="Arial" w:cs="Arial" w:eastAsia="Arial" w:hAnsi="Arial"/>
                <w:sz w:val="14"/>
                <w:szCs w:val="14"/>
                <w:color w:val="auto"/>
              </w:rPr>
              <w:t>40.2%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34.7</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gridSpan w:val="2"/>
          </w:tcPr>
          <w:p>
            <w:pPr>
              <w:jc w:val="right"/>
              <w:ind w:right="120"/>
              <w:spacing w:after="0" w:line="149" w:lineRule="exact"/>
              <w:rPr>
                <w:sz w:val="20"/>
                <w:szCs w:val="20"/>
                <w:color w:val="auto"/>
              </w:rPr>
            </w:pPr>
            <w:r>
              <w:rPr>
                <w:rFonts w:ascii="Arial" w:cs="Arial" w:eastAsia="Arial" w:hAnsi="Arial"/>
                <w:sz w:val="14"/>
                <w:szCs w:val="14"/>
                <w:color w:val="auto"/>
              </w:rPr>
              <w:t>42.7%</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69.1</w:t>
            </w:r>
          </w:p>
        </w:tc>
        <w:tc>
          <w:tcPr>
            <w:tcW w:w="106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43.5%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227.9</w:t>
            </w:r>
          </w:p>
        </w:tc>
        <w:tc>
          <w:tcPr>
            <w:tcW w:w="106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67.5</w:t>
            </w:r>
          </w:p>
        </w:tc>
        <w:tc>
          <w:tcPr>
            <w:tcW w:w="106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329.8</w:t>
            </w:r>
          </w:p>
        </w:tc>
        <w:tc>
          <w:tcPr>
            <w:tcW w:w="1100" w:type="dxa"/>
            <w:vAlign w:val="bottom"/>
            <w:tcBorders>
              <w:bottom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86.6</w:t>
            </w: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8.2%</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235.3</w:t>
            </w:r>
          </w:p>
        </w:tc>
        <w:tc>
          <w:tcPr>
            <w:tcW w:w="1060" w:type="dxa"/>
            <w:vAlign w:val="bottom"/>
            <w:tcBorders>
              <w:bottom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19.2%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876.2</w:t>
            </w:r>
          </w:p>
        </w:tc>
        <w:tc>
          <w:tcPr>
            <w:tcW w:w="1060" w:type="dxa"/>
            <w:vAlign w:val="bottom"/>
            <w:tcBorders>
              <w:bottom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863.6</w:t>
            </w:r>
          </w:p>
        </w:tc>
        <w:tc>
          <w:tcPr>
            <w:tcW w:w="1060" w:type="dxa"/>
            <w:vAlign w:val="bottom"/>
            <w:tcBorders>
              <w:bottom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SG&amp;A</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316.3</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260.3</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R&amp;D</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167.7</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153.4</w:t>
            </w: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159.5</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492.7</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453.2</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11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(127.9)</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 Company’s two reportable segments are Memory and Imaging. The Memory segment’s primary products are DRAM and NAND Flash memory and the Imaging segment’s primary products are CMOS image sensors.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Total net sales for the third quarter of 2006 increased 7% as compared to the second quarter of 2006 reflecting a 34% increase in Imaging sales and a 3% increase in Memory sales. Total net sales for the third quarter of 2006 increased 24% as compared to the third quarter of 2005 reflecting a 162% increase in Imaging sales and a 13% increase in Memory sales. Total net sales for the first nine months of 2006 increased 8% as compared to the first nine months of 2005 due to a 178% increase in Imaging sales, partially offset by a slight decrease in Memory sales.</w:t>
      </w:r>
    </w:p>
    <w:p>
      <w:pPr>
        <w:spacing w:after="0" w:line="17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Memory sales for the third quarter of 2006 increased by 3% as compared to the second quarter of 2006 primarily due to a 3% increase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DRAM sales and to a lesser extent an increase in NAND Flash memory sales. DRAM sales increased 3% due to an 18% increase in average selling prices per megabit partially offset by a 13% decrease in DRAM megabits sold. DRAM megabits sold decreased due to lower megabit production as wafer starts were allocated to Imaging products and NAND Flash products. DDR2 and DDR products were 28% and 21%, respectively, of the Company’s total net sales in the third quarter of 2006 as compared to 23% and 30%, respectively, of the Company’s total net sales in the second quarter of 2006. NAND Flash sales increased 18% in the third quarter of 2006 as compared to the second quarter of 2006 primarily due to a 63% increase in megabits sold partially offset by a 28% decrease in average selling prices. NAND Flash sales were approximately 5% of the Company’s total net sales in the third quarter of 2006. Sales of NAND Flash include sales from the Company’s consolidated joint venture, IMFT, to Intel at long-term negotiated prices approximating cost. The Company expects that NAND Flash revenue will increase significantly in future periods as the Company ramps additional production capacity through its IMFT joint venture. NAND Flash revenue in the fourth quarter of 2006 is not expected to be significantly affected by the acquisition of Lexar on June 21, 2006, as the Company does not expect to recognize revenue from Lexar’s products that were in the distribution channel at the acquisition date. Memory megabits in finished goods inventory at the end of the third quarter of 2006 were essentially unchanged from the second quarter of 2006 as megabit sales approximated megabit production.</w:t>
      </w:r>
    </w:p>
    <w:p>
      <w:pPr>
        <w:spacing w:after="0" w:line="188" w:lineRule="exact"/>
        <w:rPr>
          <w:sz w:val="20"/>
          <w:szCs w:val="20"/>
          <w:color w:val="auto"/>
        </w:rPr>
      </w:pPr>
    </w:p>
    <w:p>
      <w:pPr>
        <w:jc w:val="both"/>
        <w:ind w:right="20" w:firstLine="360"/>
        <w:spacing w:after="0" w:line="288" w:lineRule="auto"/>
        <w:rPr>
          <w:sz w:val="20"/>
          <w:szCs w:val="20"/>
          <w:color w:val="auto"/>
        </w:rPr>
      </w:pPr>
      <w:r>
        <w:rPr>
          <w:rFonts w:ascii="Arial" w:cs="Arial" w:eastAsia="Arial" w:hAnsi="Arial"/>
          <w:sz w:val="16"/>
          <w:szCs w:val="16"/>
          <w:color w:val="auto"/>
        </w:rPr>
        <w:t>Memory sales for the third quarter of 2006 increased 13% as compared to the third quarter of 2005 primarily due to a 9% increase in sales of DRAM and a 423% increase in sales of NAND Flash. The increase in DRAM sales was primarily due to an 8% increase in megabits sold. Memory sales for the first nine months of 2006 were slightly lower than for the first nine months of 2005 as increases in NAND Flash sales were offset by a 5% decrease in DRAM sales.</w:t>
      </w:r>
    </w:p>
    <w:p>
      <w:pPr>
        <w:ind w:right="100"/>
        <w:spacing w:after="0" w:line="277" w:lineRule="auto"/>
        <w:rPr>
          <w:sz w:val="20"/>
          <w:szCs w:val="20"/>
          <w:color w:val="auto"/>
        </w:rPr>
      </w:pPr>
      <w:r>
        <w:rPr>
          <w:rFonts w:ascii="Arial" w:cs="Arial" w:eastAsia="Arial" w:hAnsi="Arial"/>
          <w:sz w:val="17"/>
          <w:szCs w:val="17"/>
          <w:color w:val="auto"/>
        </w:rPr>
        <w:t>The decrease in DRAM sales for the first nine months of 2006 was the result of a 27% decrease in average selling prices mitigated by a 31% increase in megabits sold. Megabit production increased 26% and 42% in the third quarter and first nine months of 2006, respectively, as compared to the corresponding periods of 2005, primarily due to production efficiencies including improvements in product and process technologies and to a shift</w:t>
      </w:r>
    </w:p>
    <w:p>
      <w:pPr>
        <w:sectPr>
          <w:pgSz w:w="11900" w:h="16838" w:orient="portrait"/>
          <w:cols w:equalWidth="0" w:num="1">
            <w:col w:w="11420"/>
          </w:cols>
          <w:pgMar w:left="240" w:top="125" w:right="239" w:bottom="285"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5" w:gutter="0" w:footer="0" w:header="0"/>
          <w:type w:val="continuous"/>
        </w:sectPr>
      </w:pPr>
    </w:p>
    <w:bookmarkStart w:id="13" w:name="page14"/>
    <w:bookmarkEnd w:id="13"/>
    <w:p>
      <w:pPr>
        <w:spacing w:after="0" w:line="1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product mix to the manufacture of NAND Flash. DDR2 and DDR products were 15% and 45%, respectively, of the Company’s total net sales in the third quarter of 2005.</w:t>
      </w:r>
    </w:p>
    <w:p>
      <w:pPr>
        <w:spacing w:after="0" w:line="170"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the third quarter of 2006 increased by 34% as compared to the second quarter of 2006 primarily due to a 27% increase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 sales and a shift in the Company’s product mix to sensors with higher pixel resolution. Imaging sales were 16% of the Company’s total net sales for the third quarter of 2006 as compared to 13% for the second quarter of 2006 and 8% for the third quarter of 2005. Imaging sales for the third quarter and first nine months of 2006 increased by 162% and 178%, respectively, from the corresponding periods of 2005 as unit sales more than tripled, the effect of which was partially offset by an approximate 25% decrease in the average selling price per unit. Production increased due to the allocation of more wafers to the manufacture of Imaging products as well as improvements in manufacturing efficiencies. The Company expects that Imaging revenue will continue to grow in future periods as additional manufacturing capacity is allocated to the production of these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The Company’s overall gross margin percentage increased to 25.1% for the third quarter of 2006 from 19.2% for the second quarter of 2006 primarily due to increases in average selling prices for Memory products and a continued shift in product mix to higher margin products including CMOS image sensors. The Company’s overall gross margin percentage for the third quarter of 2006 increased from 8.2% for the third quarter of 2005 primarily due to improvements in the gross margin for Memory products as a result of cost reductions. The Company’s overall gross margin percentage for the first nine months of 2006 declined to 22.5% from 23.8% for the first nine months of 2005 primarily due to significant decreases in average selling prices for Memory products that were partially mitigated by cost reductions and shifts in product mix to higher margin products.</w:t>
      </w:r>
    </w:p>
    <w:p>
      <w:pPr>
        <w:spacing w:after="0" w:line="178"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for Memory products for the third quarter of 2006 of 22.2% increased from 15.6% for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primarily due to the 18% increase in the average selling price per megabit for DRAM products. The Company’s gross margin for Memory products for the third quarter of 2006 was adversely impacted by a 28% reduction in average selling prices for NAND Flash as compared to the second quarter of 2006. The Company’s overall cost of goods sold per megabit for the third quarter of 2006 declined slightly from the second quarter of 2006 primarily due to manufacturing efficiencies achieved from improved product yields and an increase in production utilizing the Company’s 110nm and 95nm process technologies.</w:t>
      </w:r>
    </w:p>
    <w:p>
      <w:pPr>
        <w:spacing w:after="0" w:line="19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Company’s gross margin percentage for Memory products in the third quarter of 2006 increased from 5.3% for the third quarter of 2005 primarily due to reductions in costs of goods sold per megabit. The Company’s gross margin percentage for Memory products for the first nine months of 2006 declined to 19.2% from 23.2% for the first nine months of 2005 primarily due to a 37% decrease in the average selling prices per megabit for memory products, mitigated by improvements in costs of goods sold per megabit.</w:t>
      </w:r>
    </w:p>
    <w:p>
      <w:pPr>
        <w:spacing w:after="0" w:line="18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Company’s TECH Semiconductor Singapore Pte. Ltd. (“TECH”) joint venture supplied approximately 20% to 25% of the total megabits of memory produced by the Company in recent periods. TECH primarily produced DDR and DDR2 products in 2006 and 2005. Through the second quarter of 2006, the Company purchased memory products from TECH at prices generally based on a discount from average selling prices realized by the Company for the preceding quarter. In the first six months of 2006, the Company realized higher gross margin percentages on sales of TECH products than on sales of similar products manufactured by the Company’s wholly-owned operations. As of the beginning of the third quarter of 2006, TECH’s results are included in the Company’s consolidated results. TECH utilizes the Company’s product designs and process technology and, as a result, the gross margin percentage on sales of TECH products in the third quarter of 2006 approximated those on sales of similar products manufactured by the Company’s wholly-owned operations. (See “Recent Developments — TECH Semiconductor Singapore Pte. Ltd.”)</w:t>
      </w:r>
    </w:p>
    <w:p>
      <w:pPr>
        <w:spacing w:after="0" w:line="17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percentage of 40.2% for Imaging products for the third quarter of 2006 was slightly lower than the 43.5%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for the second quarter of 2006, primarily due to decreases in average selling prices for certain high volume products and higher costs associated with the ramp in production of Imaging products at an additional fabrication facility. The Company’s gross margin for Imaging products for the third quarter of 2006 was slightly lower than the 42.7% gross margin for the third quarter of 2005 primarily due to decreases in average selling prices of 23% per unit that was mitigated by improvements in the cost of goods sold per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unit. The Company’s gross margin for Imaging products for the first nine months of 2006 of 43.4% was significantly higher than the 35.7% gross margin for the third first nine months of 2005 primarily due to improvements in the average cost of goods sold per unit partially offset by a 23% decrease in the overall average selling price per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Selling, general and administrative (“SG&amp;A”) expenses for the third quarter of 2006 increased 5% from the second quarter of 2006 primarily due to increased costs associated with outstanding legal matters. SG&amp;A expenses for the third quarter and first nine months of 2006 were 28% and 22% higher, respectively, than for the corresponding periods of 2005 primarily due to higher compensation costs and to increased costs associated with outstanding legal matters. The Company expects SG&amp;A expenses to increase to approximately $130 million for the fourth quarter of 2006 to support growth for the ramp of IMFT, the acquisition of Lexar and the consolidation of TECH.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88"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R&amp;D expenses for the third quarter of 2006 increased 5% from the second quarter of 2006 primarily due to increased expenditures on NAND Flash memory products and processes. R&amp;D expenses for the third quarter of 2006 increased 9% from the third quarter of 2005 primarily due to higher compensation costs. R&amp;D expenses for the first nine months of 2006 increased 9% from the first nine months of 2006, principally due to higher compensation</w:t>
      </w:r>
    </w:p>
    <w:p>
      <w:pPr>
        <w:sectPr>
          <w:pgSz w:w="11900" w:h="16939" w:orient="portrait"/>
          <w:cols w:equalWidth="0" w:num="1">
            <w:col w:w="11420"/>
          </w:cols>
          <w:pgMar w:left="240" w:top="368" w:right="239" w:bottom="0" w:gutter="0" w:footer="0" w:header="0"/>
        </w:sectPr>
      </w:pPr>
    </w:p>
    <w:bookmarkStart w:id="14" w:name="page15"/>
    <w:bookmarkEnd w:id="14"/>
    <w:p>
      <w:pPr>
        <w:ind w:right="40"/>
        <w:spacing w:after="0" w:line="342" w:lineRule="auto"/>
        <w:rPr>
          <w:sz w:val="20"/>
          <w:szCs w:val="20"/>
          <w:color w:val="auto"/>
        </w:rPr>
      </w:pPr>
      <w:r>
        <w:rPr>
          <w:rFonts w:ascii="Arial" w:cs="Arial" w:eastAsia="Arial" w:hAnsi="Arial"/>
          <w:sz w:val="16"/>
          <w:szCs w:val="16"/>
          <w:color w:val="auto"/>
        </w:rPr>
        <w:t>costs, increases in R&amp;D equipment depreciation and increases in development wafers processed. The Company and Intel share R&amp;D process and design costs for NAND Flash equally. The Company expects that its R&amp;D costs will approximate $165 million to $175 million for the fourth quarter of 2006.</w:t>
      </w:r>
    </w:p>
    <w:p>
      <w:pPr>
        <w:spacing w:after="0" w:line="124"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The Company’s process technology R&amp;D efforts are focused primarily on development of successively smaller line-width process technologies which are designed to facilitate the Company’s transition to next generation memory products and CMOS image sensors. Additional process technology R&amp;D efforts focus on specialty memory products (including PSRAM, mobile SDRAM and reduced latency DRAM) and new manufacturing materials. Product design and development efforts are concentrated on the Company’s 1 gigabit and 2 gigabit DDR, DDR2 and DDR3 products as well as high density and mobile NAND Flash memory (including multi-level cell technology), CMOS image sensors and specialty memory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Through 2005, the Company accounted for its stock plans using the intrinsic value method. Effective the beginning of 2006, the Company adopted Statement of Financial Accounting Standards (“SFAS”) No. 123(R), “Share-Based Payment,” and elected to adopt the modified prospective application method. SFAS No. 123(R) requires the Company to use a fair-value based method to accounting for stock-based compensation. Accordingly, stock-based compensation cost is measured as of the grant date, based on the fair value of the award, and is recognized as expense over the employees’ requisite service period. Total compensation cost for the Company’s stock plans in the third quarter and first nine months of 2006 was $7.4 million and $17.8 million, respectively, of which $1.2 million was capitalized and remained in inventory at the end of the third quarter of 2006. In 2005, the Company accelerated the vesting of substantially all of its unvested stock options then outstanding under the Company’s stock plans to reduce compensation costs recognized subsequent to the adoption of SFAS 123(R). Because the Company’s near-term, stock-based compensation costs were reduced by the acceleration of vesting in 2005, stock-based compensation costs would grow significantly in future periods if the Company continues to grant amounts of new stock-based compensation awards similar to recent periods.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Other operating income for the first nine months of 2006 includes $230.0 million of net proceeds from Intel Corporation (“Intel”) for the sale of the Company’s existing NAND Flash memory designs and certain related technology to Intel and the Company’s acquisition of a perpetual, paid-up license to use and modify such designs. Other operating income for the third quarter of 2005 includes gains net of losses on write-downs and disposals of semiconductor equipment of $14.5 million and net gains of $12.2 million from changes in currency exchange rates. Other operating income for the first nine months of 2005 includes gains net of losses on write-downs and disposals of semiconductor equipment of $13.1 million and $12.0 million in receipts from the U.S. government in connection with anti-dumping tariffs. The Company estimates that, based on its assets and liabilities denominated in currencies other than U.S. dollar as of June 1, 2006, a 1% change in the exchange rate versus the U.S. dollar would result in foreign currency gains or losses of approximately $0.9 million for the yen and $0.9 million for the euro.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Income taxes for 2006 and 2005 primarily reflect taxes on the Company’s non-U.S. operations and U.S. alternative minimum tax. The Company has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valuation allowance for its net deferred tax asset associated with its U.S. operations. The provision for taxes on U.S. operations in 2006 and 2005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substantially offset by a reduction in the valuation allowance. Until such time as the Company utilizes a significant portion of its U.S. net operating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and unused tax credits, the provision for taxes on the Company’s U.S. operations is expected to be substantially offset by a reduction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As of June 1, 2006, the Company had aggregate U.S. tax net operating loss carryforwards of $1.6 billion and unused U.S. tax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$183.7 million. The Company also has unused state tax net operating loss carryforwards of $1.3 billion and unused state tax credits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$145.9 million. Substantially all of the net operating loss carryforwards expire in 2022 to 2025 and substantially all of the tax credit carryforwards expire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2013 to 2026. During the first nine months of 2006, the Company utilized approximately $1.1 billion of its U.S. tax net operating loss carryforwards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 of IMFT, MP Mask and related transactions. (See “Item 1. Financial Statements — Notes to Consolidated Financial Statements — Joint Ventures — IM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Flash Technologies, LLC” and “Joint Ventures — MP Mask Technology Center, LLC” notes.)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The Company’s liquidity is highly dependent on average selling prices for its products and the timing of capital expenditures, both of which can vary significantly from period to period. As of June 1, 2006, the Company had cash and marketable investment securities totaling $2.8 billion compared to $1.3 billion as of September 1, 2005. The Company’s cash and marketable investment securities as of June 1, 2006, included $747.8 million held at, and anticipated to be used in the near term by, IMFT and TECH.</w:t>
      </w:r>
    </w:p>
    <w:p>
      <w:pPr>
        <w:spacing w:after="0" w:line="18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For the first nine months of 2006, net cash provided by operating activities was $1,688.7 million, which principally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$344.3 million of net income (which includes $230.0 million from the sale of the Company’s existing NAND Flash memory designs and certain related technology to Intel) adjusted by $936.2 million for non-cash depreciation and amortization expense. Cash provided by operations also included $250.0 million received from Apple as prepayment for future NAND Flash sales and $72 million received from Photronics in exchange for entering into a license agreement.</w:t>
      </w:r>
    </w:p>
    <w:p>
      <w:pPr>
        <w:spacing w:after="0" w:line="188"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For the first nine months of 2006, net cash used by investing activities was $1,013.4 million, which included cash expenditures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plant and equipment of $790.1 million. For the first nine months of 2006, net cash provided by investing activities included $319.0 million that resulted from the consolidation of TECH.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projects 2006 capital spending of approximately $2.2 billion, which includes approximately $850 million for planned expenditures by IMFT and approximately $400 million for planned expenditures by TECH. The Company projects 2007 capital spending of approximately $3.5 billion, which includes IMFT and TECH related expenditures. As of June 1, 2006, the Company had commitments extending into 2007 of approximately $1.0 billion for the acquisition of property, plant and equipment.</w:t>
      </w:r>
    </w:p>
    <w:p>
      <w:pPr>
        <w:sectPr>
          <w:pgSz w:w="11900" w:h="16838" w:orient="portrait"/>
          <w:cols w:equalWidth="0" w:num="1">
            <w:col w:w="11420"/>
          </w:cols>
          <w:pgMar w:left="240" w:top="125" w:right="239" w:bottom="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80" w:firstLine="36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nine months of 2006, net cash provided by financing activities was $267.9 million, which includes $500.2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from Intel for its interest in IMFT, $48.0 million received from Photronics for its interest in MP Mask and $171.1 million from the settlement of call spread options, net of $534.9 million of payments on debt and equipment purchase contracts. (See “Item 1. Financial Statements — Notes to Consolidated Financial Statements — Joint Ventures.)</w:t>
      </w:r>
    </w:p>
    <w:p>
      <w:pPr>
        <w:spacing w:after="0" w:line="187" w:lineRule="exact"/>
        <w:rPr>
          <w:sz w:val="20"/>
          <w:szCs w:val="20"/>
          <w:color w:val="auto"/>
        </w:rPr>
      </w:pPr>
    </w:p>
    <w:p>
      <w:pPr>
        <w:ind w:right="460" w:firstLine="360"/>
        <w:spacing w:after="0" w:line="264" w:lineRule="auto"/>
        <w:rPr>
          <w:sz w:val="20"/>
          <w:szCs w:val="20"/>
          <w:color w:val="auto"/>
        </w:rPr>
      </w:pPr>
      <w:r>
        <w:rPr>
          <w:rFonts w:ascii="Arial" w:cs="Arial" w:eastAsia="Arial" w:hAnsi="Arial"/>
          <w:sz w:val="18"/>
          <w:szCs w:val="18"/>
          <w:color w:val="auto"/>
        </w:rPr>
        <w:t>In the third quarter of 2006, the Company’s TECH joint venture repaid $245.7 million of its outstanding notes that had been included in the debt recorded by the Company in the consolidation of TECH. TECH also entered into a credit facility that will enable it to borrow up to $400 million. TECH expects to draw on this facility in future periods to fund its capital expenditures.</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 February 14, 2006, the Company terminated its outstanding call spread options covering a total of approximately 53.7 million shares of its common stock (“Call Spread Options”). The Company originally entered into the Call Spread Options in connection with its issuance of the Notes. The Company received $171.1 million in the third quarter of 2006 for the settlement of the Call Spread Options.</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the second quarter of 2006, the Company’s $632.5 million 2.5% Convertible Subordinated Notes (“Notes”) were converted into 53.7 million shares of the Company’s common stock. In addition, the Company’s related interest rate swap terminated by its terms on February 6, 2006 and, as a result, $34.8 million pledged as collateral for the swap became unrestricted.</w:t>
      </w:r>
    </w:p>
    <w:p>
      <w:pPr>
        <w:spacing w:after="0" w:line="18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7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b w:val="1"/>
          <w:bCs w:val="1"/>
          <w:i w:val="1"/>
          <w:iCs w:val="1"/>
          <w:color w:val="auto"/>
        </w:rPr>
        <w:t xml:space="preserve">IMFT: </w:t>
      </w:r>
      <w:r>
        <w:rPr>
          <w:rFonts w:ascii="Arial" w:cs="Arial" w:eastAsia="Arial" w:hAnsi="Arial"/>
          <w:sz w:val="18"/>
          <w:szCs w:val="18"/>
          <w:color w:val="auto"/>
        </w:rPr>
        <w:t>As of June 1, 2006, IMFT had $551.8 million of cash and marketable investment securities and $696.0 million due under the notes receivable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Intel. IMFT’s cash and marketable investment securities are not available or anticipated to be made available to finance the Company’s other operations. Subject to certain conditions, the Company expects to make additional contributions of approximately $1.4 billion over the next three years and additional investments as appropriate to support the growth of IMFT’s operations.</w:t>
      </w:r>
    </w:p>
    <w:p>
      <w:pPr>
        <w:spacing w:after="0" w:line="187"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b w:val="1"/>
          <w:bCs w:val="1"/>
          <w:i w:val="1"/>
          <w:iCs w:val="1"/>
          <w:color w:val="auto"/>
        </w:rPr>
        <w:t xml:space="preserve">TECH: </w:t>
      </w:r>
      <w:r>
        <w:rPr>
          <w:rFonts w:ascii="Arial" w:cs="Arial" w:eastAsia="Arial" w:hAnsi="Arial"/>
          <w:sz w:val="17"/>
          <w:szCs w:val="17"/>
          <w:color w:val="auto"/>
        </w:rPr>
        <w:t>As of June 1, 2006, TECH had $196.0 million of cash and marketable investment securities. TECH’s cash and marketable investment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not available or anticipated to be made available to finance the Company’s other operations. On March 3, 2006, certain shareholders of TECH, including the Company and the Singapore Economic Development Board (“EDB”), contributed approximately $260 million in cash as additional capital to TECH, of which the Company’s contribution was approximately $130 million. The Company’s option to purchase EDB’s shares in TECH is exercisable at any time until October 1, 2009. EDB’s option to put its shares in TECH to the Company is exercisable from March 3, 2008 until October 1, 2010. Exercise of either option would require the Company to pay approximately $250 million to EDB. (See “Item 1. Financial Statements — Notes to Consolidated Financial Statements — Joint Ventures — TECH Semiconductor Singapore Pte. Ltd.”)</w:t>
      </w:r>
    </w:p>
    <w:p>
      <w:pPr>
        <w:spacing w:after="0" w:line="174" w:lineRule="exact"/>
        <w:rPr>
          <w:sz w:val="20"/>
          <w:szCs w:val="20"/>
          <w:color w:val="auto"/>
        </w:rPr>
      </w:pPr>
    </w:p>
    <w:p>
      <w:pPr>
        <w:ind w:right="700" w:firstLine="360"/>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As of June 1, 2006, future maturities of notes payable, minimum lease payments under capital lease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commitments under operating leases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Remainder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2011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of 2006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thereafter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As of June 1, 2006, the Company had </w:t>
      </w:r>
      <w:r>
        <w:rPr>
          <w:rFonts w:ascii="Arial" w:cs="Arial" w:eastAsia="Arial" w:hAnsi="Arial"/>
          <w:sz w:val="16"/>
          <w:szCs w:val="16"/>
          <w:color w:val="auto"/>
        </w:rPr>
        <w:t>stock warrants</w:t>
      </w:r>
      <w:r>
        <w:rPr>
          <w:rFonts w:ascii="Arial" w:cs="Arial" w:eastAsia="Arial" w:hAnsi="Arial"/>
          <w:sz w:val="17"/>
          <w:szCs w:val="17"/>
          <w:color w:val="auto"/>
        </w:rPr>
        <w:t xml:space="preserve"> outstanding that may be considered off-balance sheet arrangements. In 2001, the Company received $480.2 million from the issuance of warrants to purchase 29.1 million shares of the Company’s common stock. The warrants entitle the holders to exercise their warrants and purchase shares of the Company’s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June 1, 2006, there had been no exercises of warrants and all warrants issued remained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Recently issued accounting standards: In February 2006, the Financial Accounting Standards Board (“FASB”) issued SFAS No. 155, “Accounting for Certain Hybrid Financial Instruments.” SFAS No. 155 permits fair value remeasurement for any hybrid financial instrument that contains an embedded derivative that otherwise would require bifurcation. As of June 1, 2006, the Company did not have any hybrid financial instruments subject to the fair value election under SFAS No. 155. The Company is required to adopt SFAS No. 155 effective at the beginning of 2008.</w:t>
      </w:r>
    </w:p>
    <w:p>
      <w:pPr>
        <w:spacing w:after="0" w:line="154"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May 2005, the FASB issued SFAS No. 154, “Accounting Changes and Error Corrections.” SFAS No. 154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4"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w:t>
      </w:r>
    </w:p>
    <w:p>
      <w:pPr>
        <w:sectPr>
          <w:pgSz w:w="11900" w:h="16881" w:orient="portrait"/>
          <w:cols w:equalWidth="0" w:num="1">
            <w:col w:w="11420"/>
          </w:cols>
          <w:pgMar w:left="240" w:top="868" w:right="239" w:bottom="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uncertainty exists about the timing and (or) method of settlement. The Company adopted Interpretation No. 47 in the third quarter of 2006. The adoption of Interpretation No. 47 did not have a significant impact on the Company’s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120" w:firstLine="360"/>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right="80" w:firstLine="360"/>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83" w:lineRule="exact"/>
        <w:rPr>
          <w:sz w:val="20"/>
          <w:szCs w:val="20"/>
          <w:color w:val="auto"/>
        </w:rPr>
      </w:pPr>
    </w:p>
    <w:p>
      <w:pPr>
        <w:ind w:right="140" w:firstLine="360"/>
        <w:spacing w:after="0" w:line="277" w:lineRule="auto"/>
        <w:rPr>
          <w:sz w:val="20"/>
          <w:szCs w:val="20"/>
          <w:color w:val="auto"/>
        </w:rPr>
      </w:pPr>
      <w:r>
        <w:rPr>
          <w:rFonts w:ascii="Arial" w:cs="Arial" w:eastAsia="Arial" w:hAnsi="Arial"/>
          <w:sz w:val="17"/>
          <w:szCs w:val="17"/>
          <w:b w:val="1"/>
          <w:bCs w:val="1"/>
          <w:color w:val="auto"/>
        </w:rPr>
        <w:t xml:space="preserve">Acquisitions and Consolidations: </w:t>
      </w:r>
      <w:r>
        <w:rPr>
          <w:rFonts w:ascii="Arial" w:cs="Arial" w:eastAsia="Arial" w:hAnsi="Arial"/>
          <w:sz w:val="17"/>
          <w:szCs w:val="17"/>
          <w:color w:val="auto"/>
        </w:rPr>
        <w:t>Determination and the allocation thereof of the purchase price of acquired operations significantly influences the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which costs are recognized. Accounting for acquisitions and consolidations requires the Company to estimate the fair value of the individual assets and liabilities acquired as well as various forms of consideration given. The Company typically obtains independent third party valuation studies to assist in determining fair values. The estimation of the fair values of consideration given and assets and liabilities acquired involves a number of judgments, assumptions and estimates that could materially affect the amount and timing of costs recognized.</w:t>
      </w:r>
    </w:p>
    <w:p>
      <w:pPr>
        <w:spacing w:after="0" w:line="168" w:lineRule="exact"/>
        <w:rPr>
          <w:sz w:val="20"/>
          <w:szCs w:val="20"/>
          <w:color w:val="auto"/>
        </w:rPr>
      </w:pPr>
    </w:p>
    <w:p>
      <w:pPr>
        <w:ind w:right="80" w:firstLine="360"/>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40" w:firstLine="360"/>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58" w:lineRule="exact"/>
        <w:rPr>
          <w:sz w:val="20"/>
          <w:szCs w:val="20"/>
          <w:color w:val="auto"/>
        </w:rPr>
      </w:pPr>
    </w:p>
    <w:p>
      <w:pPr>
        <w:ind w:firstLine="360"/>
        <w:spacing w:after="0" w:line="295"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In 2006, the Company adopted SFAS No. 123(R) using the modified prospective application method and began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for its stock-based compensation using a fair-valued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have a relatively large change in the estimated valuation.</w:t>
      </w:r>
    </w:p>
    <w:p>
      <w:pPr>
        <w:spacing w:after="0" w:line="16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ectPr>
          <w:pgSz w:w="11900" w:h="16838" w:orient="portrait"/>
          <w:cols w:equalWidth="0" w:num="1">
            <w:col w:w="11420"/>
          </w:cols>
          <w:pgMar w:left="240" w:top="125" w:right="239" w:bottom="13"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ectPr>
          <w:pgSz w:w="11900" w:h="16838" w:orient="portrait"/>
          <w:cols w:equalWidth="0" w:num="1">
            <w:col w:w="11420"/>
          </w:cols>
          <w:pgMar w:left="240" w:top="125" w:right="239" w:bottom="13" w:gutter="0" w:footer="0" w:header="0"/>
          <w:type w:val="continuous"/>
        </w:sectPr>
      </w:pPr>
    </w:p>
    <w:bookmarkStart w:id="17" w:name="page18"/>
    <w:bookmarkEnd w:id="17"/>
    <w:p>
      <w:pPr>
        <w:ind w:right="80" w:firstLine="360"/>
        <w:spacing w:after="0" w:line="264" w:lineRule="auto"/>
        <w:rPr>
          <w:sz w:val="20"/>
          <w:szCs w:val="20"/>
          <w:color w:val="auto"/>
        </w:rPr>
      </w:pPr>
      <w:r>
        <w:rPr>
          <w:rFonts w:ascii="Arial" w:cs="Arial" w:eastAsia="Arial" w:hAnsi="Arial"/>
          <w:sz w:val="18"/>
          <w:szCs w:val="18"/>
          <w:color w:val="auto"/>
        </w:rPr>
        <w:t>As of June 1, 2006, $423.3 million of the Company’s $519.2 million in total debt was at fixed interest rates. As a result, the fair value of the debt fluctuates based on changes in market interest rates. The estimated fair market value of the Company’s debt approximated the carrying value of the debt as of June 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“Part II. Other Information — Item 1A. Risk Factors.” Changes in foreign currency exchange rates could materially adversely affect the Company’s results of operations or financial condition.</w:t>
      </w:r>
    </w:p>
    <w:p>
      <w:pPr>
        <w:spacing w:after="0" w:line="18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functional currency for substantially all of the Company’s operations is the U.S. dollar. The Company held aggregate cash and other assets in foreign currencies valued at U.S. $415.3 million as of June 1, 2006, and U.S. $344.4 million as of September 1, 2005 (including cash and equivalents denominated in yen valued at U.S. $184.4 million as of June 1, 2006, and U.S. $214.9 million as of September 1, 2005; cash and equivalents denominated in Singapore dollars valued at U.S. $88.7 million; and deferred income tax assets denominated in yen valued at U.S. $59.3 million as of June 1, 2006, and U.S. $50.5 million as of September 1, 2005). The Company also held aggregate foreign currency liabilities valued at U.S. $581.1 million as of June 1, 2006, and U.S. $575.3 million as of September 1, 2005 (including debt denominated in yen valued at U.S. $237.7 million as of June 1, 2006, and U.S. $298.9 million as of September 1, 2005). Foreign currency receivables and payables as of June 1, 2006, were comprised primarily of yen, euros, Singapore dollars and British pounds. The Company estimates that, based on its assets and liabilities denominated in currencies other than U.S. dollar as of June 1, 2006, a 1% change in the exchange rate versus the U.S. dollar would result in foreign currency gains or losses of approximately $0.9 million for the yen and $0.9 million for the euro.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right="140" w:firstLine="360"/>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170"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Subsequent to the end of the third quarter of 2006, on June 21, 2006, the Company acquired Lexar Media, Inc. (“Lexar”). (See Part I. Financial Information — Item 1. Financial Statements — Notes to Consolidated Financial Statements — Lexar Media, Inc.” note.) 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 control over financial reporting was not effective as of the end of the periods covered by those reports. The Company began consolidating the financial results of Lexar on June 22, 2006,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2006. To the extent the Company has not remediated these material weaknesses, the effectiveness of the Company’s internal control over financial reporting may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right="260" w:firstLine="360"/>
        <w:spacing w:after="0" w:line="286"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w:t>
      </w:r>
    </w:p>
    <w:p>
      <w:pPr>
        <w:spacing w:after="0" w:line="2" w:lineRule="exact"/>
        <w:rPr>
          <w:sz w:val="20"/>
          <w:szCs w:val="20"/>
          <w:color w:val="auto"/>
        </w:rPr>
      </w:pPr>
    </w:p>
    <w:p>
      <w:pPr>
        <w:ind w:right="40" w:firstLine="8"/>
        <w:spacing w:after="0" w:line="285"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w:t>
      </w:r>
    </w:p>
    <w:p>
      <w:pPr>
        <w:spacing w:after="0" w:line="17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On March 1, 2005, Tessera, Inc. (“Tessera”) filed suit against the Company in the U.S. District Court for the Eastern District of Texas alleging infringement of five Tessera patents. On June 22, 2005, the Company filed an answer and counterclaim denying Tessera’s claims and alleging infringement of eight Company patents.</w:t>
      </w:r>
    </w:p>
    <w:p>
      <w:pPr>
        <w:sectPr>
          <w:pgSz w:w="11900" w:h="16838" w:orient="portrait"/>
          <w:cols w:equalWidth="0" w:num="1">
            <w:col w:w="11420"/>
          </w:cols>
          <w:pgMar w:left="240" w:top="125" w:right="239" w:bottom="29" w:gutter="0" w:footer="0" w:header="0"/>
        </w:sectPr>
      </w:pPr>
    </w:p>
    <w:bookmarkStart w:id="18" w:name="page19"/>
    <w:bookmarkEnd w:id="18"/>
    <w:p>
      <w:pPr>
        <w:ind w:right="520" w:firstLine="360"/>
        <w:spacing w:after="0" w:line="277" w:lineRule="auto"/>
        <w:rPr>
          <w:sz w:val="20"/>
          <w:szCs w:val="20"/>
          <w:color w:val="auto"/>
        </w:rPr>
      </w:pPr>
      <w:r>
        <w:rPr>
          <w:rFonts w:ascii="Arial" w:cs="Arial" w:eastAsia="Arial" w:hAnsi="Arial"/>
          <w:sz w:val="18"/>
          <w:szCs w:val="18"/>
          <w:color w:val="auto"/>
        </w:rPr>
        <w:t>On June 2, 2005, Tadahiro Ohmi (“Ohmi”) filed suit against the Company in the U.S. District Court for the Eastern District of Texas (amended on August 31, 2005) alleging infringement of a single Ohmi patent.</w:t>
      </w:r>
    </w:p>
    <w:p>
      <w:pPr>
        <w:spacing w:after="0" w:line="17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and DDR2 SDRAM products, which account for a significant portion of the Company’s net sales.</w:t>
      </w:r>
    </w:p>
    <w:p>
      <w:pPr>
        <w:spacing w:after="0" w:line="17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On January 13, 2003, Toshiba Corporation (“Toshiba”) filed a lawsuit against a Company subsidiary, Lexar Media, Inc. (“Lexar”), in the United States District Court for the Northern District of California, alleging infringement of eight Toshiba patents. On February 7, 2003, Toshiba Corporation filed an amended complaint alleging infringement of a total of nine Toshiba patents. The lawsuit pertains to certain flash components that Lexar purchases from vendors.</w:t>
      </w:r>
    </w:p>
    <w:p>
      <w:pPr>
        <w:spacing w:after="0" w:line="18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On November 4, 2002, Lexar filed a lawsuit against Toshiba Corporation, Toshiba America, Inc. and Toshiba America Electronics Corporation (“TAEC”) in the Superior Court of the State of California (Santa Clara County) alleging theft of trade secrets and breach of fiduciary duty. Lexar later filed an amended complaint adding 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violation of California Business and Professions Code Section 17200 and dismissing without prejudice claims against Toshiba America, Inc. On March 23, 2005, a jury found that Toshiba Corporation and TAEC misappropriated Lexar’s trade secrets and breached their fiduciary duty to Lexar. The jury awarded damages of $255.4 million for Toshiba’s misappropriation of trade secrets, $58.7 million for Toshiba’s breach of fiduciary duty, $58.7 million for TAEC’s breach of fiduciary duty, and $8.2 million in prejudgment interest for breach of fiduciary duty. The jury subsequently awarded an additional $84.0 million in punitive damages. On December 2, 2005, the Court granted the defendants’ motion for a new trial on the economic and monetary awards for misappropriation of trade secrets and breach of fiduciary duty, setting aside the jury’s damage award. The Court denied defendants’ motion for a new trial on all other grounds and also denied the motion for judgment notwithstanding the verdict. Lexar and the defendants have cross-appealed the Court’s December 2, 2005 order and the California Court of Appeals will address both damages and liability issues presented by the jury’s verdict.</w:t>
      </w:r>
    </w:p>
    <w:p>
      <w:pPr>
        <w:spacing w:after="0" w:line="179"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73" w:lineRule="exact"/>
        <w:rPr>
          <w:sz w:val="20"/>
          <w:szCs w:val="20"/>
          <w:color w:val="auto"/>
        </w:rPr>
      </w:pPr>
    </w:p>
    <w:p>
      <w:pPr>
        <w:ind w:right="60" w:firstLine="360"/>
        <w:spacing w:after="0" w:line="284"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the Company and other DRAM suppliers. Eighteen cases have been filed in various federal district courts (two of which have been dismissed) asserting claims on behalf of a purported class of individuals and entities that purchased DRAM directly from the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On June 5, 2006, the Court granted plaintiffs’ motion to certify the proposed class of direct purchasers. In addition, at least sixty-two cases have been filed in various state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the Company’s analysis of the claims made and the nature of the DRAM industry, the Company believes that class treatment of these indirect purchaser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the Company and other DRAM suppliers on behalf of state and governmental entities that were direct or indirect purchasers of DRAM and potentially on behalf of other indirect purchasers of DRAM. The Company has been served with civil investigative demands or subpoenas issued by many of the state Attorneys</w:t>
      </w:r>
    </w:p>
    <w:p>
      <w:pPr>
        <w:sectPr>
          <w:pgSz w:w="11900" w:h="16838" w:orient="portrait"/>
          <w:cols w:equalWidth="0" w:num="1">
            <w:col w:w="11420"/>
          </w:cols>
          <w:pgMar w:left="240" w:top="125" w:right="239" w:bottom="744"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44" w:gutter="0" w:footer="0" w:header="0"/>
          <w:type w:val="continuous"/>
        </w:sectPr>
      </w:pPr>
    </w:p>
    <w:bookmarkStart w:id="19" w:name="page20"/>
    <w:bookmarkEnd w:id="19"/>
    <w:p>
      <w:pPr>
        <w:ind w:right="80"/>
        <w:spacing w:after="0" w:line="264" w:lineRule="auto"/>
        <w:rPr>
          <w:sz w:val="20"/>
          <w:szCs w:val="20"/>
          <w:color w:val="auto"/>
        </w:rPr>
      </w:pPr>
      <w:r>
        <w:rPr>
          <w:rFonts w:ascii="Arial" w:cs="Arial" w:eastAsia="Arial" w:hAnsi="Arial"/>
          <w:sz w:val="18"/>
          <w:szCs w:val="18"/>
          <w:color w:val="auto"/>
        </w:rPr>
        <w:t>General and is responding to those requests.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8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complaints generally allege violations of federal securities laws based on, among other things, claimed misstatements or omissions regarding alleged illegal price-fixing conduct or the Company’s operations and financial results. The complaints seek unspecified damages, interest, attorneys’ fees, costs, and expenses. The five lawsuits have been consolidated and the Company expects a consolidated amended class action complaint to be filed. The Company is unable to predict the outcome of these cases. A court determination in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 The Company is unable to predict the outcome of this case. A court determination in this action against the Company could result in significant liability and could have a material adverse effect on the Company’s business, results of operations or financial condition.</w:t>
      </w:r>
    </w:p>
    <w:p>
      <w:pPr>
        <w:spacing w:after="0" w:line="182"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“Item 1. Financial Statements — Notes to Consolidated Financial Statements — Lexar Media,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Per megabit average selling prices for our semiconductor memory products decreased 37% in the first nine months of 2006 as compared to the first nine months of 2005. In recent years, we have also experienced annual decreases in per megabit average selling prices for our semiconductor memory products including: 24% in 2005, 17% in 2003, 53% in 2002 and 60% in 2001. At times, average selling prices for our semiconductor memory products have been below our costs. If average selling prices for our memory products decrease faster than we can decrease per megabit costs, our business, results of operations or financial condition could be materially adversely affected.</w:t>
      </w:r>
    </w:p>
    <w:p>
      <w:pPr>
        <w:spacing w:after="0" w:line="18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Increased worldwide semiconductor memory production or lack of demand for semiconductor memory could lead to further declines in average selling prices.</w:t>
      </w:r>
    </w:p>
    <w:p>
      <w:pPr>
        <w:spacing w:after="0" w:line="166"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semiconductor memory and could continue to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Several of our competitors have announced plans to increase production through construction of new facilities or expansion of existing facilities. Increases in worldwide supply of semiconductor memory, if not accompanied with increases in demand, could lead to further declines in average selling prices for our products and could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ectPr>
          <w:pgSz w:w="11900" w:h="16838" w:orient="portrait"/>
          <w:cols w:equalWidth="0" w:num="1">
            <w:col w:w="11400"/>
          </w:cols>
          <w:pgMar w:left="240" w:top="125" w:right="259" w:bottom="0" w:gutter="0" w:footer="0" w:header="0"/>
        </w:sectPr>
      </w:pPr>
    </w:p>
    <w:bookmarkStart w:id="20" w:name="page21"/>
    <w:bookmarkEnd w:id="20"/>
    <w:p>
      <w:pPr>
        <w:ind w:right="120" w:firstLine="360"/>
        <w:spacing w:after="0" w:line="297" w:lineRule="auto"/>
        <w:rPr>
          <w:sz w:val="20"/>
          <w:szCs w:val="20"/>
          <w:color w:val="auto"/>
        </w:rPr>
      </w:pPr>
      <w:r>
        <w:rPr>
          <w:rFonts w:ascii="Arial" w:cs="Arial" w:eastAsia="Arial" w:hAnsi="Arial"/>
          <w:sz w:val="16"/>
          <w:szCs w:val="16"/>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formation of IMFT and the resulting plans to significantly increase our NAND Flash memory production has numerous risks.</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January 6, 2006, we initiated operations of the IMFT joint venture with Intel and as a result we plan to significantly increase our NAND Flash production in future periods. The IMFT agreement and our NAND Flash strategy in general require substantial investment in capital expenditures for equipment and new facilities. It also requires significant investments in research and development as well as investments to grow and develop new operations at multiple sites. These investments involve numerous risks. We are required to devote a significant portion of our existing semiconductor manufacturing capacity to the production of NAND Flash instead of the Company’s other products. In conjunction with the IMFT agreement, we entered into a contract with Apple Corporation to provide a significant portion of our NAND Flash output for an extended period of time at contractually determined prices. We currently have a relatively small share of the world-wide market for NAND Flash.</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NAND Flash investments and commitments involve numerous risks, and may include the following:</w:t>
      </w:r>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NAND Flash strategy may not be successful and could materially adversely affect our business, results of operations or financial condition.</w:t>
      </w:r>
    </w:p>
    <w:p>
      <w:pPr>
        <w:spacing w:after="0" w:line="23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6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Imaging business has grown rapidly in the recent periods. Sales of Imaging products increased substantially and represented 16% of our net sales in the third quarter of 2006. Our imaging products have higher gross margins than the overall gross margins from our memory products. As we continue to expand our imaging business, there can be no assurance that we will be able to maintain these growth rates or gross margins. The continued success of our Imaging products will depend on a number of factors, including:</w:t>
      </w:r>
    </w:p>
    <w:p>
      <w:pPr>
        <w:spacing w:after="0" w:line="187"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Cash and investments of IMFT and TECH are not available to finance our other operations.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industry is highly competitive.</w:t>
      </w:r>
    </w:p>
    <w:p>
      <w:pPr>
        <w:sectPr>
          <w:pgSz w:w="11900" w:h="16838" w:orient="portrait"/>
          <w:cols w:equalWidth="0" w:num="1">
            <w:col w:w="11380"/>
          </w:cols>
          <w:pgMar w:left="240" w:top="125" w:right="279" w:bottom="0" w:gutter="0" w:footer="0" w:header="0"/>
        </w:sectPr>
      </w:pPr>
    </w:p>
    <w:bookmarkStart w:id="21" w:name="page22"/>
    <w:bookmarkEnd w:id="21"/>
    <w:p>
      <w:pPr>
        <w:spacing w:after="0" w:line="96"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Infineon Technologies AG, Samsung Electronics Co., Ltd., SanDisk Corporation and Toshiba Corporation. Additionally, we face competition from emerging companies in Taiwan and China who have announced plans to significantly expand the scale of their operations. We face competition in the image sensor market from a number of suppliers of CMOS image sensors as well as a large number of suppliers of CCD image sensors.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yen and euro. The Company estimates that, based on its assets and liabilities denominated in currencies other than U.S. dollar as of June 1, 2006, a 1% change in the exchange rate versus the U.S. dollar would result in foreign currency gains or losses of approximately $0.9 million for the yen and $0.9 million for the euro. In the event that the U.S. dollar weakens significantly compared to the yen or euro, our results of operations or financial condition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300" w:firstLine="360"/>
        <w:spacing w:after="0" w:line="255"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We also are engaged in litigation with Tessera, Inc. (“Tessera”) relating to certain of Tessera’s patents and certain of our patents. On March 1, 2005, Tessera filed suit against us in the U.S. District Court for the Eastern District of Texas alleging infringement of five Tessera patents. On June 22, 2005, we filed an answer and counterclaim denying Tessera’s claims and alleging infringement of eight of our patents. We also are engaged in litigation with Tadahiro Ohmi (“Ohmi”). On June 2, 2005, Ohmi filed suit against us in the U.S. District Court for the Eastern District of Texas (amended on August 31, 2005) alleging infringement of a single Ohmi patent. Among other things, the above lawsuits pertain to certain of our SDRAM, DDR SDRAM, and DDR2 SDRAM products, which account for a significant portion of our net sales.</w:t>
      </w:r>
    </w:p>
    <w:p>
      <w:pPr>
        <w:spacing w:after="0" w:line="389"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color w:val="auto"/>
        </w:rPr>
        <w:t>On January 13, 2003, Toshiba Corporation (“Toshiba”) filed a lawsuit against our subsidiary, Lexar Media, Inc. (“Lexar”), in the United States District Court for the Northern District of California, alleging infringement of eight Toshiba patents. On February 7, 2003, Toshiba Corporation filed an amended complaint alleging infringement of a total of nine Toshiba patents. The lawsuit pertains to certain flash components that Lexar purchases from vendors.</w:t>
      </w:r>
    </w:p>
    <w:p>
      <w:pPr>
        <w:spacing w:after="0" w:line="147" w:lineRule="exact"/>
        <w:rPr>
          <w:sz w:val="20"/>
          <w:szCs w:val="20"/>
          <w:color w:val="auto"/>
        </w:rPr>
      </w:pPr>
    </w:p>
    <w:p>
      <w:pPr>
        <w:ind w:right="80" w:firstLine="450"/>
        <w:spacing w:after="0" w:line="312" w:lineRule="auto"/>
        <w:rPr>
          <w:sz w:val="20"/>
          <w:szCs w:val="20"/>
          <w:color w:val="auto"/>
        </w:rPr>
      </w:pPr>
      <w:r>
        <w:rPr>
          <w:rFonts w:ascii="Arial" w:cs="Arial" w:eastAsia="Arial" w:hAnsi="Arial"/>
          <w:sz w:val="16"/>
          <w:szCs w:val="16"/>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4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w:t>
      </w:r>
    </w:p>
    <w:p>
      <w:pPr>
        <w:sectPr>
          <w:pgSz w:w="11900" w:h="16935" w:orient="portrait"/>
          <w:cols w:equalWidth="0" w:num="1">
            <w:col w:w="11420"/>
          </w:cols>
          <w:pgMar w:left="240" w:top="125" w:right="239" w:bottom="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8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On June 5, 2006, the Court granted plaintiffs’ motion to certify the proposed class of direct purchasers.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our analysis of the claims made and the nature of the DRAM industry, we believe that class treatment of these indirect purchaser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us and other DRAM suppliers on behalf of state and governmental entities that were direct or indirect purchasers of DRAM and potentially on behalf of other indirect purchasers of DRAM. We have been served with civil investigative demands or subpoenas issued by many of the state Attorneys General and we are responding to those requests. 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74"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We are unable to predict the outcome of these suits. A court determination against us could result in significant liability and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2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complaints generally allege violations of federal securities laws based on, among other things, claimed misstatements or omissions regarding alleged illegal price-fixing conduct or our operations and financial results. The complaints seek unspecified damages, interest, attorneys’ fees, costs, and expenses. The five lawsuits have been consolidated and we expect a consolidated amended class action complaint to be filed.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89"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w:t>
      </w:r>
    </w:p>
    <w:p>
      <w:pPr>
        <w:sectPr>
          <w:pgSz w:w="11900" w:h="16838" w:orient="portrait"/>
          <w:cols w:equalWidth="0" w:num="1">
            <w:col w:w="11400"/>
          </w:cols>
          <w:pgMar w:left="240" w:top="125" w:right="259" w:bottom="0" w:gutter="0" w:footer="0" w:header="0"/>
        </w:sectPr>
      </w:pPr>
    </w:p>
    <w:bookmarkStart w:id="23" w:name="page24"/>
    <w:bookmarkEnd w:id="23"/>
    <w:p>
      <w:pPr>
        <w:ind w:right="320"/>
        <w:spacing w:after="0" w:line="259" w:lineRule="auto"/>
        <w:rPr>
          <w:sz w:val="20"/>
          <w:szCs w:val="20"/>
          <w:color w:val="auto"/>
        </w:rPr>
      </w:pPr>
      <w:r>
        <w:rPr>
          <w:rFonts w:ascii="Arial" w:cs="Arial" w:eastAsia="Arial" w:hAnsi="Arial"/>
          <w:sz w:val="18"/>
          <w:szCs w:val="18"/>
          <w:color w:val="auto"/>
        </w:rPr>
        <w:t>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We are unable to predict the outcome of these suits.</w:t>
      </w:r>
    </w:p>
    <w:p>
      <w:pPr>
        <w:spacing w:after="0" w:line="18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the class action against the Company could result in significant liability and could have a material adverse effect on the Company’s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jc w:val="both"/>
        <w:ind w:right="640" w:firstLine="360"/>
        <w:spacing w:after="0" w:line="264" w:lineRule="auto"/>
        <w:rPr>
          <w:sz w:val="20"/>
          <w:szCs w:val="20"/>
          <w:color w:val="auto"/>
        </w:rPr>
      </w:pPr>
      <w:r>
        <w:rPr>
          <w:rFonts w:ascii="Arial" w:cs="Arial" w:eastAsia="Arial" w:hAnsi="Arial"/>
          <w:sz w:val="18"/>
          <w:szCs w:val="18"/>
          <w:color w:val="auto"/>
        </w:rPr>
        <w:t>Sales to customers outside the United States approximated 69% of our consolidated net sales for the third quarter of 2006. In addition, we have manufacturing operations in Italy, Japan, Puerto Rico, Scotland and Singapore. Our international sales and operations are subject to a variety of risks, including:</w:t>
      </w:r>
    </w:p>
    <w:p>
      <w:pPr>
        <w:spacing w:after="0" w:line="181"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IMFT,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materially adversely affect our business, results of operations or financial condition.</w:t>
      </w:r>
    </w:p>
    <w:p>
      <w:pPr>
        <w:spacing w:after="0" w:line="24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9" w:lineRule="exact"/>
        <w:rPr>
          <w:sz w:val="20"/>
          <w:szCs w:val="20"/>
          <w:color w:val="auto"/>
        </w:rPr>
      </w:pPr>
    </w:p>
    <w:p>
      <w:pPr>
        <w:ind w:right="14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187"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ectPr>
          <w:pgSz w:w="11900" w:h="16838" w:orient="portrait"/>
          <w:cols w:equalWidth="0" w:num="1">
            <w:col w:w="11400"/>
          </w:cols>
          <w:pgMar w:left="240" w:top="125" w:right="259" w:bottom="0" w:gutter="0" w:footer="0" w:header="0"/>
        </w:sectPr>
      </w:pPr>
    </w:p>
    <w:bookmarkStart w:id="24" w:name="page25"/>
    <w:bookmarkEnd w:id="24"/>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shareholder value. Acquisitions involve numerous risks, including:</w:t>
      </w:r>
    </w:p>
    <w:p>
      <w:pPr>
        <w:spacing w:after="0" w:line="248"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Acquisition of Lexar Media,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integrating the operations of Lexar.</w:t>
      </w:r>
    </w:p>
    <w:p>
      <w:pPr>
        <w:spacing w:after="0" w:line="229"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If we are unable to successfully combine and integrate the Lexar operations, we may not be able to realize any of the anticipated benefits of the merger, which could harm the results of operations of the combined company.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the following:</w:t>
      </w:r>
    </w:p>
    <w:p>
      <w:pPr>
        <w:spacing w:after="0" w:line="188"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combining product and service offerings;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research and development activities to enhance the development and introduction of new products and services;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preserving customer, supplier and other important relationships of both Micron and Lexar and resolving potential conflicts that may arise;</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product channels effectively during the period of combining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minimizing the diversion of management attention from ongoing business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addressing differences in the business cultures of Micron and Lexar to maintain employee morale and retain key employees;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inventory management over a broad distribution chain; and</w:t>
      </w:r>
    </w:p>
    <w:p>
      <w:pPr>
        <w:spacing w:after="0" w:line="225" w:lineRule="exact"/>
        <w:rPr>
          <w:rFonts w:ascii="Arial" w:cs="Arial" w:eastAsia="Arial" w:hAnsi="Arial"/>
          <w:sz w:val="18"/>
          <w:szCs w:val="18"/>
          <w:color w:val="auto"/>
        </w:rPr>
      </w:pPr>
    </w:p>
    <w:p>
      <w:pPr>
        <w:ind w:left="980" w:right="70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and combining overseas operations, relationships and facilities, which may be subject to additional constraints imposed by geographic distance and local laws and regulations.</w:t>
      </w:r>
    </w:p>
    <w:p>
      <w:pPr>
        <w:spacing w:after="0" w:line="17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not successfully integrate the operations of Lexar in a timely manner, or at all, and we may not realize the anticipated benefits or synergies of the Lexar merger to the extent, or in the timeframe, anticipated. The anticipated benefits of the Lexar merger assume a successful combination. In addition to the risks discussed above, our ability to realize these benefits of the merger could be adversely affected by practical or legal constraints on its ability to combine operations.</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Charges to earnings resulting from the application of the purchase method of accounting may adversely affect the market value of Micron’s common stock following the merger.</w:t>
      </w:r>
    </w:p>
    <w:p>
      <w:pPr>
        <w:spacing w:after="0" w:line="166"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In accordance with United States generally accepted accounting principles, the combined company will account for the merger using the purchase method of accounting, which will result in charges to earnings that could have a material adverse effect on the market value of the common stock of Micron following completion of the merger. Under the purchase method of accounting, the combined company will allocate the total estimated purchase price to Lexar’s net tangible assets and amortizable intangible assets based on their fair values as of the date of completion of the merger, and record the excess of the purchase price over those fair values as goodwill. The combined company will incur amortization expense over the useful lives of amortizable intangible assets acquired in connection with the merger. In addition, to the extent the value of goodwill becomes impaired, the combined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company may be required to incur material charges relating to the impairment of that asset. These amortization and potential impairment charges could have a material impact on the combined company’s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could be adversely affected by material weaknesses in Lexar’s internal controls.</w:t>
      </w:r>
    </w:p>
    <w:p>
      <w:pPr>
        <w:sectPr>
          <w:pgSz w:w="11900" w:h="16838" w:orient="portrait"/>
          <w:cols w:equalWidth="0" w:num="1">
            <w:col w:w="11420"/>
          </w:cols>
          <w:pgMar w:left="240" w:top="125" w:right="239" w:bottom="0" w:gutter="0" w:footer="0" w:header="0"/>
        </w:sectPr>
      </w:pPr>
    </w:p>
    <w:bookmarkStart w:id="25" w:name="page26"/>
    <w:bookmarkEnd w:id="25"/>
    <w:p>
      <w:pPr>
        <w:spacing w:after="0" w:line="5"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w:t>
      </w:r>
    </w:p>
    <w:p>
      <w:pPr>
        <w:ind w:right="160"/>
        <w:spacing w:after="0" w:line="292" w:lineRule="auto"/>
        <w:rPr>
          <w:sz w:val="20"/>
          <w:szCs w:val="20"/>
          <w:color w:val="auto"/>
        </w:rPr>
      </w:pPr>
      <w:r>
        <w:rPr>
          <w:rFonts w:ascii="Arial" w:cs="Arial" w:eastAsia="Arial" w:hAnsi="Arial"/>
          <w:sz w:val="16"/>
          <w:szCs w:val="16"/>
          <w:color w:val="auto"/>
        </w:rPr>
        <w:t>2005 consolidated financial statements. As a result of these material weaknesses, Lexar concluded in its Annual Report and Quarterly Report that its control over financial reporting was not effective as of the end of the periods covered by the reports. While prior to the close of the merger Lexar continued 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To the extent we have not remediated these material weaknesses, the effectiveness of our internal control over financial reporting may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combined company’s net operating loss carryforwards may be limited as a result of the merger.</w:t>
      </w:r>
    </w:p>
    <w:p>
      <w:pPr>
        <w:spacing w:after="0" w:line="229"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Micron and Lexar have net operating loss carryforwards for federal income tax purposes. Both entities have provided significant valuation allowances against the tax benefit of such losses as well as certain tax credit carryforwards. Utilization of these net operating losses and credit carryforwards are dependent upon the combined company achieving profitable results following the merger. As a consequence of the merger, as well as earlier issuances of common stock consummated by both companies and business combinations by Micron, utilization of the tax benefits of these carryforwards are subject to limitations imposed by Section 382 of the Code. The determination of the limitations is complex and requires significant judgment and analysis of past transactions. At this time neither company has completed the analyses required to determine what portion, if any, of these carryforwards will have their availability restricted or eliminated by that provision. Accordingly, some portion or all of these carryforwards may not be available to offset any future taxable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margins on sales of Lexar products could be adversely affected by the pricing practices of the distribution channel.</w:t>
      </w:r>
    </w:p>
    <w:p>
      <w:pPr>
        <w:spacing w:after="0" w:line="229"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Nearly all of our Lexar subsidiary’s sales are made through resellers which traditionally have been provided price protection. In an environment of slower demand and abundant supply of products, price declines and channel promotion expenses are more likely to occur. Further, in this environment, high channel inventory may result in substantial price protection charges. These price protection charges have the effect of reducing gross sales and gross margin. We expect that Lexar will continue to incur price protection charges for the foreseeable future due to competitive pricing pressures and, as a result, our revenues and gross margins could be adversely affected.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760" w:type="dxa"/>
            <w:vAlign w:val="bottom"/>
            <w:tcBorders>
              <w:bottom w:val="single" w:sz="8" w:color="010101"/>
            </w:tcBorders>
          </w:tcPr>
          <w:p>
            <w:pPr>
              <w:spacing w:after="0"/>
              <w:rPr>
                <w:sz w:val="24"/>
                <w:szCs w:val="24"/>
                <w:color w:val="auto"/>
              </w:rPr>
            </w:pPr>
          </w:p>
        </w:tc>
        <w:tc>
          <w:tcPr>
            <w:tcW w:w="10660" w:type="dxa"/>
            <w:vAlign w:val="bottom"/>
            <w:tcBorders>
              <w:bottom w:val="single" w:sz="8" w:color="010101"/>
            </w:tcBorders>
            <w:gridSpan w:val="2"/>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14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24"/>
        </w:trPr>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4"/>
              </w:rPr>
              <w:t>Agreement &amp; Plan of Merger by and among the Registrant, March 2006 Merger Corp. and Lexar Media, Inc., dated as of March 8, 2006 (1)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9"/>
              </w:rPr>
              <w:t>First Amendment to Agreement &amp; Plan of Merger, dated as of March 30, 2006, by and among Lexar Media, Inc., the Registrant and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March 2006 Merger Corp. (2)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Articles of Incorporation of Registrant, Restated (3)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Bylaws of the Registrant, As Amended (4)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w w:val="97"/>
              </w:rPr>
              <w:t>Form of Voting Agreement, by and among the Registrant and certain stockholders of Lexar Media, Inc., dated as of March 8, 2006 (1)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-2214245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-2214245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March 8, 2006</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May 30, 2006</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March 2, 2006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r>
      <w:tr>
        <w:trPr>
          <w:trHeight w:val="224"/>
        </w:trPr>
        <w:tc>
          <w:tcPr>
            <w:tcW w:w="58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(Registrant)</w:t>
            </w:r>
          </w:p>
        </w:tc>
      </w:tr>
      <w:tr>
        <w:trPr>
          <w:trHeight w:val="634"/>
        </w:trPr>
        <w:tc>
          <w:tcPr>
            <w:tcW w:w="5840" w:type="dxa"/>
            <w:vAlign w:val="bottom"/>
          </w:tcPr>
          <w:p>
            <w:pPr>
              <w:spacing w:after="0"/>
              <w:rPr>
                <w:sz w:val="20"/>
                <w:szCs w:val="20"/>
                <w:color w:val="auto"/>
              </w:rPr>
            </w:pPr>
            <w:r>
              <w:rPr>
                <w:rFonts w:ascii="Arial" w:cs="Arial" w:eastAsia="Arial" w:hAnsi="Arial"/>
                <w:sz w:val="18"/>
                <w:szCs w:val="18"/>
                <w:color w:val="auto"/>
              </w:rPr>
              <w:t>Dated: July 11, 2006</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195"/>
        </w:trPr>
        <w:tc>
          <w:tcPr>
            <w:tcW w:w="58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r>
      <w:tr>
        <w:trPr>
          <w:trHeight w:val="216"/>
        </w:trPr>
        <w:tc>
          <w:tcPr>
            <w:tcW w:w="58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r>
      <w:tr>
        <w:trPr>
          <w:trHeight w:val="230"/>
        </w:trPr>
        <w:tc>
          <w:tcPr>
            <w:tcW w:w="58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Accounting Officer)</w:t>
            </w:r>
          </w:p>
        </w:tc>
      </w:tr>
    </w:tbl>
    <w:p>
      <w:pPr>
        <w:sectPr>
          <w:pgSz w:w="11900" w:h="16843" w:orient="portrait"/>
          <w:cols w:equalWidth="0" w:num="1">
            <w:col w:w="11460"/>
          </w:cols>
          <w:pgMar w:left="240" w:top="125" w:right="199" w:bottom="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3"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80" w:hanging="328"/>
        <w:spacing w:after="0" w:line="277" w:lineRule="auto"/>
        <w:tabs>
          <w:tab w:leader="none" w:pos="6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July 11, 2006</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40" w:type="dxa"/>
            <w:vAlign w:val="bottom"/>
          </w:tcPr>
          <w:p>
            <w:pPr>
              <w:spacing w:after="0"/>
              <w:rPr>
                <w:sz w:val="20"/>
                <w:szCs w:val="20"/>
                <w:color w:val="auto"/>
              </w:rPr>
            </w:pPr>
          </w:p>
        </w:tc>
      </w:tr>
      <w:tr>
        <w:trPr>
          <w:trHeight w:val="195"/>
        </w:trPr>
        <w:tc>
          <w:tcPr>
            <w:tcW w:w="58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40" w:type="dxa"/>
            <w:vAlign w:val="bottom"/>
          </w:tcPr>
          <w:p>
            <w:pPr>
              <w:spacing w:after="0"/>
              <w:rPr>
                <w:sz w:val="16"/>
                <w:szCs w:val="16"/>
                <w:color w:val="auto"/>
              </w:rPr>
            </w:pPr>
          </w:p>
        </w:tc>
      </w:tr>
      <w:tr>
        <w:trPr>
          <w:trHeight w:val="230"/>
        </w:trPr>
        <w:tc>
          <w:tcPr>
            <w:tcW w:w="58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20"/>
                <w:szCs w:val="20"/>
                <w:color w:val="auto"/>
              </w:rPr>
            </w:pPr>
          </w:p>
        </w:tc>
      </w:tr>
      <w:tr>
        <w:trPr>
          <w:trHeight w:val="807"/>
        </w:trPr>
        <w:tc>
          <w:tcPr>
            <w:tcW w:w="584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3"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80" w:hanging="328"/>
        <w:spacing w:after="0" w:line="277"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July 11, 2006</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40" w:type="dxa"/>
            <w:vAlign w:val="bottom"/>
          </w:tcPr>
          <w:p>
            <w:pPr>
              <w:spacing w:after="0"/>
              <w:rPr>
                <w:sz w:val="20"/>
                <w:szCs w:val="20"/>
                <w:color w:val="auto"/>
              </w:rPr>
            </w:pPr>
          </w:p>
        </w:tc>
      </w:tr>
      <w:tr>
        <w:trPr>
          <w:trHeight w:val="195"/>
        </w:trPr>
        <w:tc>
          <w:tcPr>
            <w:tcW w:w="58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30"/>
        </w:trPr>
        <w:tc>
          <w:tcPr>
            <w:tcW w:w="58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807"/>
        </w:trPr>
        <w:tc>
          <w:tcPr>
            <w:tcW w:w="584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June 1, 2006,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July 11, 2006</w:t>
            </w: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20"/>
                <w:szCs w:val="20"/>
                <w:color w:val="auto"/>
              </w:rPr>
            </w:pPr>
          </w:p>
        </w:tc>
      </w:tr>
      <w:tr>
        <w:trPr>
          <w:trHeight w:val="807"/>
        </w:trPr>
        <w:tc>
          <w:tcPr>
            <w:tcW w:w="36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June 1, 2006,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July 11, 2006</w:t>
            </w: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807"/>
        </w:trPr>
        <w:tc>
          <w:tcPr>
            <w:tcW w:w="36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lowerLetter"/>
      <w:start w:val="3"/>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2019-12-13T13:17:08Z</dcterms:created>
  <dcterms:modified xsi:type="dcterms:W3CDTF">2019-12-13T13:17:08Z</dcterms:modified>
</cp:coreProperties>
</file>