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12,362,855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82,081,505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82,081,505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10.726%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82,081,505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82,081,505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10.726%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ind w:left="1700"/>
        <w:spacing w:after="0" w:line="238" w:lineRule="auto"/>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82,081,505</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10.726%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12,362,855</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82,081,505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07,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of 1940, is the beneficial owner of 69,453,660 shares or 9.076%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October 31, 2008 included 1,405,358 shares of Common Stock resulting from the assumed conversion of $20,000,000 principal amount of MICRON TECH CV 1.875% 6/01/14</w:t>
      </w:r>
    </w:p>
    <w:p>
      <w:pPr>
        <w:spacing w:after="0" w:line="184"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(70.2679 shares of Common Stock for each $1,000 principal amount of debenture).</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69,453,660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LLC ("PGALLC"), 53 State</w:t>
      </w:r>
    </w:p>
    <w:p>
      <w:pPr>
        <w:spacing w:after="0" w:line="238" w:lineRule="auto"/>
        <w:rPr>
          <w:sz w:val="20"/>
          <w:szCs w:val="20"/>
          <w:color w:val="auto"/>
        </w:rPr>
      </w:pPr>
      <w:r>
        <w:rPr>
          <w:rFonts w:ascii="Courier New" w:cs="Courier New" w:eastAsia="Courier New" w:hAnsi="Courier New"/>
          <w:sz w:val="18"/>
          <w:szCs w:val="18"/>
          <w:color w:val="auto"/>
        </w:rPr>
        <w:t>Street, Boston, Massachusetts, 02109, an indirect wholly-</w:t>
      </w:r>
    </w:p>
    <w:p>
      <w:pPr>
        <w:spacing w:after="0"/>
        <w:rPr>
          <w:sz w:val="20"/>
          <w:szCs w:val="20"/>
          <w:color w:val="auto"/>
        </w:rPr>
      </w:pPr>
      <w:r>
        <w:rPr>
          <w:rFonts w:ascii="Courier New" w:cs="Courier New" w:eastAsia="Courier New" w:hAnsi="Courier New"/>
          <w:sz w:val="18"/>
          <w:szCs w:val="18"/>
          <w:color w:val="auto"/>
        </w:rPr>
        <w:t>owned subsidiary of FMR LLC and an investment adviser</w:t>
      </w:r>
    </w:p>
    <w:p>
      <w:pPr>
        <w:spacing w:after="0" w:line="237" w:lineRule="auto"/>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8" w:lineRule="auto"/>
        <w:rPr>
          <w:sz w:val="20"/>
          <w:szCs w:val="20"/>
          <w:color w:val="auto"/>
        </w:rPr>
      </w:pPr>
      <w:r>
        <w:rPr>
          <w:rFonts w:ascii="Courier New" w:cs="Courier New" w:eastAsia="Courier New" w:hAnsi="Courier New"/>
          <w:sz w:val="18"/>
          <w:szCs w:val="18"/>
          <w:color w:val="auto"/>
        </w:rPr>
        <w:t>of 1940, is the beneficial owner of 95,986 shares or 0.013% of</w:t>
      </w:r>
    </w:p>
    <w:p>
      <w:pPr>
        <w:spacing w:after="0"/>
        <w:rPr>
          <w:sz w:val="20"/>
          <w:szCs w:val="20"/>
          <w:color w:val="auto"/>
        </w:rPr>
      </w:pPr>
      <w:r>
        <w:rPr>
          <w:rFonts w:ascii="Courier New" w:cs="Courier New" w:eastAsia="Courier New" w:hAnsi="Courier New"/>
          <w:sz w:val="18"/>
          <w:szCs w:val="18"/>
          <w:color w:val="auto"/>
        </w:rPr>
        <w:t>the outstanding Common Stock of Micron Technology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as a result of its serving as investment adviser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accounts, non-U.S. mutual funds, or investment</w:t>
      </w:r>
    </w:p>
    <w:p>
      <w:pPr>
        <w:spacing w:after="0" w:line="238" w:lineRule="auto"/>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line="5"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Company Act of 1940 owning such shares. The number of shares of Common Stock of Micron Technology Incorporated owned by the institutional account(s) at October 31, 2008 included 95,986 shares of Common Stock resulting from the assumed conversion of $1,366,000 principal amount of MICRON TECH CV 1.875% 6/01/14 (70.2679 shares of Common Stock for each $1,000 principal amount of</w:t>
      </w:r>
    </w:p>
    <w:p>
      <w:pPr>
        <w:spacing w:after="0" w:line="234" w:lineRule="auto"/>
        <w:rPr>
          <w:sz w:val="20"/>
          <w:szCs w:val="20"/>
          <w:color w:val="auto"/>
        </w:rPr>
      </w:pPr>
      <w:r>
        <w:rPr>
          <w:rFonts w:ascii="Courier New" w:cs="Courier New" w:eastAsia="Courier New" w:hAnsi="Courier New"/>
          <w:sz w:val="18"/>
          <w:szCs w:val="18"/>
          <w:color w:val="auto"/>
        </w:rPr>
        <w:t>debenture).</w:t>
      </w:r>
    </w:p>
    <w:p>
      <w:pPr>
        <w:spacing w:after="0" w:line="208"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579"/>
        <w:spacing w:after="0" w:line="236" w:lineRule="auto"/>
        <w:rPr>
          <w:sz w:val="20"/>
          <w:szCs w:val="20"/>
          <w:color w:val="auto"/>
        </w:rPr>
      </w:pPr>
      <w:r>
        <w:rPr>
          <w:rFonts w:ascii="Courier New" w:cs="Courier New" w:eastAsia="Courier New" w:hAnsi="Courier New"/>
          <w:sz w:val="18"/>
          <w:szCs w:val="18"/>
          <w:color w:val="auto"/>
        </w:rPr>
        <w:t>95,986 shares and sole power to vote or to direct the voting of 95,986 shares of Common Stock owned by the institutional accounts or funds advised by PGALLC as reported above.</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1,909,419 shares or 0.250% of the outstanding Common Stock of the Micron Technology Incorporated as a result of its serving as investment manager of institutional accounts owning such shares.</w:t>
      </w:r>
    </w:p>
    <w:p>
      <w:pPr>
        <w:spacing w:after="0" w:line="209" w:lineRule="exact"/>
        <w:rPr>
          <w:sz w:val="20"/>
          <w:szCs w:val="20"/>
          <w:color w:val="auto"/>
        </w:rPr>
      </w:pPr>
    </w:p>
    <w:p>
      <w:pPr>
        <w:ind w:right="39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Pyramis Global Advisors Trust Company, each has sole dispositive power over 1,909,419 shares and sole power</w:t>
      </w:r>
    </w:p>
    <w:p>
      <w:pPr>
        <w:sectPr>
          <w:pgSz w:w="11900" w:h="16838" w:orient="portrait"/>
          <w:cols w:equalWidth="0" w:num="1">
            <w:col w:w="10219"/>
          </w:cols>
          <w:pgMar w:left="240" w:top="547" w:right="1440" w:bottom="0" w:gutter="0" w:footer="0" w:header="0"/>
        </w:sectPr>
      </w:pPr>
    </w:p>
    <w:bookmarkStart w:id="3" w:name="page4"/>
    <w:bookmarkEnd w:id="3"/>
    <w:p>
      <w:pPr>
        <w:ind w:right="3779"/>
        <w:spacing w:after="0" w:line="236" w:lineRule="auto"/>
        <w:rPr>
          <w:sz w:val="20"/>
          <w:szCs w:val="20"/>
          <w:color w:val="auto"/>
        </w:rPr>
      </w:pPr>
      <w:r>
        <w:rPr>
          <w:rFonts w:ascii="Courier New" w:cs="Courier New" w:eastAsia="Courier New" w:hAnsi="Courier New"/>
          <w:sz w:val="18"/>
          <w:szCs w:val="18"/>
          <w:color w:val="auto"/>
        </w:rPr>
        <w:t>to vote or to direct the voting of 1,644,429 shares of Common Stock owned by the institutional accounts managed by PGATC as reported above.</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10,622,440 shares or 1.388%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they are not otherwise required to attribute to each other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line="238" w:lineRule="auto"/>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view that the shares held by the other corporation need not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November 07, 2008,</w:t>
      </w:r>
    </w:p>
    <w:p>
      <w:pPr>
        <w:spacing w:after="0" w:line="238" w:lineRule="auto"/>
        <w:rPr>
          <w:sz w:val="20"/>
          <w:szCs w:val="20"/>
          <w:color w:val="auto"/>
        </w:rPr>
      </w:pPr>
      <w:r>
        <w:rPr>
          <w:rFonts w:ascii="Courier New" w:cs="Courier New" w:eastAsia="Courier New" w:hAnsi="Courier New"/>
          <w:sz w:val="18"/>
          <w:szCs w:val="18"/>
          <w:color w:val="auto"/>
        </w:rPr>
        <w:t>agree and consent to the joint filing on their behalf of this</w:t>
      </w:r>
    </w:p>
    <w:p>
      <w:pPr>
        <w:spacing w:after="0"/>
        <w:rPr>
          <w:sz w:val="20"/>
          <w:szCs w:val="20"/>
          <w:color w:val="auto"/>
        </w:rPr>
      </w:pPr>
      <w:r>
        <w:rPr>
          <w:rFonts w:ascii="Courier New" w:cs="Courier New" w:eastAsia="Courier New" w:hAnsi="Courier New"/>
          <w:sz w:val="18"/>
          <w:szCs w:val="18"/>
          <w:color w:val="auto"/>
        </w:rPr>
        <w:t>Schedule 13G in connection with their beneficial ownership of</w:t>
      </w:r>
    </w:p>
    <w:p>
      <w:pPr>
        <w:spacing w:after="0" w:line="237" w:lineRule="auto"/>
        <w:rPr>
          <w:sz w:val="20"/>
          <w:szCs w:val="20"/>
          <w:color w:val="auto"/>
        </w:rPr>
      </w:pPr>
      <w:r>
        <w:rPr>
          <w:rFonts w:ascii="Courier New" w:cs="Courier New" w:eastAsia="Courier New" w:hAnsi="Courier New"/>
          <w:sz w:val="18"/>
          <w:szCs w:val="18"/>
          <w:color w:val="auto"/>
        </w:rPr>
        <w:t>the Common Stock of Micron Technology Incorporated at</w:t>
      </w:r>
    </w:p>
    <w:p>
      <w:pPr>
        <w:spacing w:after="0" w:line="238" w:lineRule="auto"/>
        <w:rPr>
          <w:sz w:val="20"/>
          <w:szCs w:val="20"/>
          <w:color w:val="auto"/>
        </w:rPr>
      </w:pPr>
      <w:r>
        <w:rPr>
          <w:rFonts w:ascii="Courier New" w:cs="Courier New" w:eastAsia="Courier New" w:hAnsi="Courier New"/>
          <w:sz w:val="18"/>
          <w:szCs w:val="18"/>
          <w:color w:val="auto"/>
        </w:rPr>
        <w:t>October 31, 2008.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2019-12-13T12:59:10Z</dcterms:created>
  <dcterms:modified xsi:type="dcterms:W3CDTF">2019-12-13T12:59:10Z</dcterms:modified>
</cp:coreProperties>
</file>