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Registration No. 333-249838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Issuer Free Writing Prospectus dated February 6, 2023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Relating to Preliminary Prospectus Supplement dated February 6, 2023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FEBRUARY 6, 2023</w:t>
      </w:r>
    </w:p>
    <w:p>
      <w:pPr>
        <w:spacing w:after="0" w:line="20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$500,000,000 6.750% SENIOR NOTES DUE 2029</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$750,000,000 5.875% SENIOR NOTES DUE 2033</w:t>
      </w:r>
    </w:p>
    <w:p>
      <w:pPr>
        <w:spacing w:after="0" w:line="211" w:lineRule="exact"/>
        <w:rPr>
          <w:sz w:val="24"/>
          <w:szCs w:val="24"/>
          <w:color w:val="auto"/>
        </w:rPr>
      </w:pPr>
    </w:p>
    <w:p>
      <w:pPr>
        <w:ind w:right="180" w:firstLine="648"/>
        <w:spacing w:after="0" w:line="259" w:lineRule="auto"/>
        <w:rPr>
          <w:sz w:val="20"/>
          <w:szCs w:val="20"/>
          <w:color w:val="auto"/>
        </w:rPr>
      </w:pPr>
      <w:r>
        <w:rPr>
          <w:rFonts w:ascii="Arial" w:cs="Arial" w:eastAsia="Arial" w:hAnsi="Arial"/>
          <w:sz w:val="18"/>
          <w:szCs w:val="18"/>
          <w:color w:val="auto"/>
        </w:rPr>
        <w:t>The information in this pricing term sheet supplements Micron Technology, Inc.’s (“Micron”) preliminary prospectus supplement, dated February 6, 2023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700" w:type="dxa"/>
            <w:vAlign w:val="bottom"/>
          </w:tcPr>
          <w:p>
            <w:pPr>
              <w:ind w:left="1080"/>
              <w:spacing w:after="0"/>
              <w:rPr>
                <w:sz w:val="20"/>
                <w:szCs w:val="20"/>
                <w:color w:val="auto"/>
              </w:rPr>
            </w:pPr>
            <w:r>
              <w:rPr>
                <w:rFonts w:ascii="Arial" w:cs="Arial" w:eastAsia="Arial" w:hAnsi="Arial"/>
                <w:sz w:val="18"/>
                <w:szCs w:val="18"/>
                <w:color w:val="auto"/>
              </w:rPr>
              <w:t>Micron Technology, Inc. (Nasdaq: MU)</w:t>
            </w:r>
          </w:p>
        </w:tc>
      </w:tr>
      <w:tr>
        <w:trPr>
          <w:trHeight w:val="418"/>
        </w:trPr>
        <w:tc>
          <w:tcPr>
            <w:tcW w:w="254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8700" w:type="dxa"/>
            <w:vAlign w:val="bottom"/>
          </w:tcPr>
          <w:p>
            <w:pPr>
              <w:ind w:left="1080"/>
              <w:spacing w:after="0"/>
              <w:rPr>
                <w:sz w:val="20"/>
                <w:szCs w:val="20"/>
                <w:color w:val="auto"/>
              </w:rPr>
            </w:pPr>
            <w:r>
              <w:rPr>
                <w:rFonts w:ascii="Arial" w:cs="Arial" w:eastAsia="Arial" w:hAnsi="Arial"/>
                <w:sz w:val="18"/>
                <w:szCs w:val="18"/>
                <w:color w:val="auto"/>
              </w:rPr>
              <w:t>$500,000,000 aggregate principal amount of 6.750% Senior Notes due 2029 (the “2029 Notes”)</w:t>
            </w:r>
          </w:p>
        </w:tc>
      </w:tr>
      <w:tr>
        <w:trPr>
          <w:trHeight w:val="216"/>
        </w:trPr>
        <w:tc>
          <w:tcPr>
            <w:tcW w:w="2540" w:type="dxa"/>
            <w:vAlign w:val="bottom"/>
          </w:tcPr>
          <w:p>
            <w:pPr>
              <w:spacing w:after="0"/>
              <w:rPr>
                <w:sz w:val="18"/>
                <w:szCs w:val="18"/>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w w:val="95"/>
              </w:rPr>
              <w:t>$750,000,000 aggregate principal amount of 5.875% Senior Notes due 2033 (the “2033 Notes” and,</w:t>
            </w:r>
          </w:p>
        </w:tc>
      </w:tr>
      <w:tr>
        <w:trPr>
          <w:trHeight w:val="230"/>
        </w:trPr>
        <w:tc>
          <w:tcPr>
            <w:tcW w:w="2540" w:type="dxa"/>
            <w:vAlign w:val="bottom"/>
          </w:tcPr>
          <w:p>
            <w:pPr>
              <w:spacing w:after="0"/>
              <w:rPr>
                <w:sz w:val="20"/>
                <w:szCs w:val="20"/>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rPr>
              <w:t>together with the 2029 Notes, the “notes”)</w:t>
            </w:r>
          </w:p>
        </w:tc>
      </w:tr>
      <w:tr>
        <w:trPr>
          <w:trHeight w:val="418"/>
        </w:trPr>
        <w:tc>
          <w:tcPr>
            <w:tcW w:w="2540" w:type="dxa"/>
            <w:vAlign w:val="bottom"/>
          </w:tcPr>
          <w:p>
            <w:pPr>
              <w:spacing w:after="0"/>
              <w:rPr>
                <w:sz w:val="24"/>
                <w:szCs w:val="24"/>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w w:val="89"/>
              </w:rPr>
              <w:t>The 2029 Notes will be issued as additional notes under the same base indenture, dated as of February 6,</w:t>
            </w:r>
          </w:p>
        </w:tc>
      </w:tr>
      <w:tr>
        <w:trPr>
          <w:trHeight w:val="216"/>
        </w:trPr>
        <w:tc>
          <w:tcPr>
            <w:tcW w:w="2540" w:type="dxa"/>
            <w:vAlign w:val="bottom"/>
          </w:tcPr>
          <w:p>
            <w:pPr>
              <w:spacing w:after="0"/>
              <w:rPr>
                <w:sz w:val="18"/>
                <w:szCs w:val="18"/>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w w:val="92"/>
              </w:rPr>
              <w:t>2019 and the same supplemental indenture, dated as of October 31, 2022, governing the $750,000,000</w:t>
            </w:r>
          </w:p>
        </w:tc>
      </w:tr>
      <w:tr>
        <w:trPr>
          <w:trHeight w:val="216"/>
        </w:trPr>
        <w:tc>
          <w:tcPr>
            <w:tcW w:w="2540" w:type="dxa"/>
            <w:vAlign w:val="bottom"/>
          </w:tcPr>
          <w:p>
            <w:pPr>
              <w:spacing w:after="0"/>
              <w:rPr>
                <w:sz w:val="18"/>
                <w:szCs w:val="18"/>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w w:val="91"/>
              </w:rPr>
              <w:t>aggregate principal amount of 6.750% Senior Notes due 2029 issued on October 31, 2022 (the “Original</w:t>
            </w:r>
          </w:p>
        </w:tc>
      </w:tr>
      <w:tr>
        <w:trPr>
          <w:trHeight w:val="216"/>
        </w:trPr>
        <w:tc>
          <w:tcPr>
            <w:tcW w:w="2540" w:type="dxa"/>
            <w:vAlign w:val="bottom"/>
          </w:tcPr>
          <w:p>
            <w:pPr>
              <w:spacing w:after="0"/>
              <w:rPr>
                <w:sz w:val="18"/>
                <w:szCs w:val="18"/>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w w:val="94"/>
              </w:rPr>
              <w:t>2029 Notes”). The 2029 Notes will be identical to the terms of the Original 2029 Notes (other than the</w:t>
            </w:r>
          </w:p>
        </w:tc>
      </w:tr>
      <w:tr>
        <w:trPr>
          <w:trHeight w:val="216"/>
        </w:trPr>
        <w:tc>
          <w:tcPr>
            <w:tcW w:w="2540" w:type="dxa"/>
            <w:vAlign w:val="bottom"/>
          </w:tcPr>
          <w:p>
            <w:pPr>
              <w:spacing w:after="0"/>
              <w:rPr>
                <w:sz w:val="18"/>
                <w:szCs w:val="18"/>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w w:val="96"/>
              </w:rPr>
              <w:t>initial offering price), be treated as a single series with the Original 2029 Notes, and have the same</w:t>
            </w:r>
          </w:p>
        </w:tc>
      </w:tr>
      <w:tr>
        <w:trPr>
          <w:trHeight w:val="230"/>
        </w:trPr>
        <w:tc>
          <w:tcPr>
            <w:tcW w:w="2540" w:type="dxa"/>
            <w:vAlign w:val="bottom"/>
          </w:tcPr>
          <w:p>
            <w:pPr>
              <w:spacing w:after="0"/>
              <w:rPr>
                <w:sz w:val="20"/>
                <w:szCs w:val="20"/>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rPr>
              <w:t>CUSIP number as, and will be fungible with, the Original 2029 Notes.</w:t>
            </w:r>
          </w:p>
        </w:tc>
      </w:tr>
      <w:tr>
        <w:trPr>
          <w:trHeight w:val="432"/>
        </w:trPr>
        <w:tc>
          <w:tcPr>
            <w:tcW w:w="2540" w:type="dxa"/>
            <w:vAlign w:val="bottom"/>
          </w:tcPr>
          <w:p>
            <w:pPr>
              <w:spacing w:after="0"/>
              <w:rPr>
                <w:sz w:val="20"/>
                <w:szCs w:val="20"/>
                <w:color w:val="auto"/>
              </w:rPr>
            </w:pPr>
            <w:r>
              <w:rPr>
                <w:rFonts w:ascii="Arial" w:cs="Arial" w:eastAsia="Arial" w:hAnsi="Arial"/>
                <w:sz w:val="18"/>
                <w:szCs w:val="18"/>
                <w:b w:val="1"/>
                <w:bCs w:val="1"/>
                <w:color w:val="auto"/>
              </w:rPr>
              <w:t>Pricing Date:</w:t>
            </w:r>
          </w:p>
        </w:tc>
        <w:tc>
          <w:tcPr>
            <w:tcW w:w="8700" w:type="dxa"/>
            <w:vAlign w:val="bottom"/>
          </w:tcPr>
          <w:p>
            <w:pPr>
              <w:ind w:left="1080"/>
              <w:spacing w:after="0"/>
              <w:rPr>
                <w:sz w:val="20"/>
                <w:szCs w:val="20"/>
                <w:color w:val="auto"/>
              </w:rPr>
            </w:pPr>
            <w:r>
              <w:rPr>
                <w:rFonts w:ascii="Arial" w:cs="Arial" w:eastAsia="Arial" w:hAnsi="Arial"/>
                <w:sz w:val="18"/>
                <w:szCs w:val="18"/>
                <w:color w:val="auto"/>
              </w:rPr>
              <w:t>February 6, 2023</w:t>
            </w:r>
          </w:p>
        </w:tc>
      </w:tr>
      <w:tr>
        <w:trPr>
          <w:trHeight w:val="432"/>
        </w:trPr>
        <w:tc>
          <w:tcPr>
            <w:tcW w:w="254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8700" w:type="dxa"/>
            <w:vAlign w:val="bottom"/>
          </w:tcPr>
          <w:p>
            <w:pPr>
              <w:ind w:left="1080"/>
              <w:spacing w:after="0"/>
              <w:rPr>
                <w:sz w:val="20"/>
                <w:szCs w:val="20"/>
                <w:color w:val="auto"/>
              </w:rPr>
            </w:pPr>
            <w:r>
              <w:rPr>
                <w:rFonts w:ascii="Arial" w:cs="Arial" w:eastAsia="Arial" w:hAnsi="Arial"/>
                <w:sz w:val="18"/>
                <w:szCs w:val="18"/>
                <w:color w:val="auto"/>
              </w:rPr>
              <w:t>February 9, 2023 (T+3)</w:t>
            </w:r>
          </w:p>
        </w:tc>
      </w:tr>
      <w:tr>
        <w:trPr>
          <w:trHeight w:val="432"/>
        </w:trPr>
        <w:tc>
          <w:tcPr>
            <w:tcW w:w="25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8700" w:type="dxa"/>
            <w:vAlign w:val="bottom"/>
          </w:tcPr>
          <w:p>
            <w:pPr>
              <w:ind w:left="1080"/>
              <w:spacing w:after="0"/>
              <w:rPr>
                <w:sz w:val="20"/>
                <w:szCs w:val="20"/>
                <w:color w:val="auto"/>
              </w:rPr>
            </w:pPr>
            <w:r>
              <w:rPr>
                <w:rFonts w:ascii="Arial" w:cs="Arial" w:eastAsia="Arial" w:hAnsi="Arial"/>
                <w:sz w:val="18"/>
                <w:szCs w:val="18"/>
                <w:color w:val="auto"/>
              </w:rPr>
              <w:t>$2,000 and integral multiples of $1,000 in excess thereof</w:t>
            </w:r>
          </w:p>
        </w:tc>
      </w:tr>
      <w:tr>
        <w:trPr>
          <w:trHeight w:val="418"/>
        </w:trPr>
        <w:tc>
          <w:tcPr>
            <w:tcW w:w="2540" w:type="dxa"/>
            <w:vAlign w:val="bottom"/>
          </w:tcPr>
          <w:p>
            <w:pPr>
              <w:spacing w:after="0"/>
              <w:rPr>
                <w:sz w:val="20"/>
                <w:szCs w:val="20"/>
                <w:color w:val="auto"/>
              </w:rPr>
            </w:pPr>
            <w:r>
              <w:rPr>
                <w:rFonts w:ascii="Arial" w:cs="Arial" w:eastAsia="Arial" w:hAnsi="Arial"/>
                <w:sz w:val="18"/>
                <w:szCs w:val="18"/>
                <w:b w:val="1"/>
                <w:bCs w:val="1"/>
                <w:color w:val="auto"/>
              </w:rPr>
              <w:t>Net Proceeds:</w:t>
            </w:r>
          </w:p>
        </w:tc>
        <w:tc>
          <w:tcPr>
            <w:tcW w:w="8700" w:type="dxa"/>
            <w:vAlign w:val="bottom"/>
          </w:tcPr>
          <w:p>
            <w:pPr>
              <w:ind w:left="1080"/>
              <w:spacing w:after="0"/>
              <w:rPr>
                <w:sz w:val="20"/>
                <w:szCs w:val="20"/>
                <w:color w:val="auto"/>
              </w:rPr>
            </w:pPr>
            <w:r>
              <w:rPr>
                <w:rFonts w:ascii="Arial" w:cs="Arial" w:eastAsia="Arial" w:hAnsi="Arial"/>
                <w:sz w:val="18"/>
                <w:szCs w:val="18"/>
                <w:color w:val="auto"/>
                <w:w w:val="92"/>
              </w:rPr>
              <w:t>Micron estimates that the net proceeds from the sale of the notes, after deducting underwriter discounts</w:t>
            </w:r>
          </w:p>
        </w:tc>
      </w:tr>
      <w:tr>
        <w:trPr>
          <w:trHeight w:val="230"/>
        </w:trPr>
        <w:tc>
          <w:tcPr>
            <w:tcW w:w="2540" w:type="dxa"/>
            <w:vAlign w:val="bottom"/>
          </w:tcPr>
          <w:p>
            <w:pPr>
              <w:spacing w:after="0"/>
              <w:rPr>
                <w:sz w:val="20"/>
                <w:szCs w:val="20"/>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rPr>
              <w:t>and other estimated offering expenses, will be approximately $1.264 billion.</w:t>
            </w:r>
          </w:p>
        </w:tc>
      </w:tr>
      <w:tr>
        <w:trPr>
          <w:trHeight w:val="418"/>
        </w:trPr>
        <w:tc>
          <w:tcPr>
            <w:tcW w:w="254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8700" w:type="dxa"/>
            <w:vAlign w:val="bottom"/>
          </w:tcPr>
          <w:p>
            <w:pPr>
              <w:ind w:left="1080"/>
              <w:spacing w:after="0"/>
              <w:rPr>
                <w:sz w:val="20"/>
                <w:szCs w:val="20"/>
                <w:color w:val="auto"/>
              </w:rPr>
            </w:pPr>
            <w:r>
              <w:rPr>
                <w:rFonts w:ascii="Arial" w:cs="Arial" w:eastAsia="Arial" w:hAnsi="Arial"/>
                <w:sz w:val="18"/>
                <w:szCs w:val="18"/>
                <w:color w:val="auto"/>
              </w:rPr>
              <w:t>Baa3 (Stable) (Moody’s Investors Service, Inc.)</w:t>
            </w:r>
          </w:p>
        </w:tc>
      </w:tr>
      <w:tr>
        <w:trPr>
          <w:trHeight w:val="216"/>
        </w:trPr>
        <w:tc>
          <w:tcPr>
            <w:tcW w:w="2540" w:type="dxa"/>
            <w:vAlign w:val="bottom"/>
          </w:tcPr>
          <w:p>
            <w:pPr>
              <w:spacing w:after="0"/>
              <w:rPr>
                <w:sz w:val="18"/>
                <w:szCs w:val="18"/>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rPr>
              <w:t>BBB (Stable) (Fitch Ratings Inc.)</w:t>
            </w:r>
          </w:p>
        </w:tc>
      </w:tr>
      <w:tr>
        <w:trPr>
          <w:trHeight w:val="230"/>
        </w:trPr>
        <w:tc>
          <w:tcPr>
            <w:tcW w:w="2540" w:type="dxa"/>
            <w:vAlign w:val="bottom"/>
          </w:tcPr>
          <w:p>
            <w:pPr>
              <w:spacing w:after="0"/>
              <w:rPr>
                <w:sz w:val="20"/>
                <w:szCs w:val="20"/>
                <w:color w:val="auto"/>
              </w:rPr>
            </w:pPr>
          </w:p>
        </w:tc>
        <w:tc>
          <w:tcPr>
            <w:tcW w:w="8700" w:type="dxa"/>
            <w:vAlign w:val="bottom"/>
          </w:tcPr>
          <w:p>
            <w:pPr>
              <w:ind w:left="1080"/>
              <w:spacing w:after="0"/>
              <w:rPr>
                <w:sz w:val="20"/>
                <w:szCs w:val="20"/>
                <w:color w:val="auto"/>
              </w:rPr>
            </w:pPr>
            <w:r>
              <w:rPr>
                <w:rFonts w:ascii="Arial" w:cs="Arial" w:eastAsia="Arial" w:hAnsi="Arial"/>
                <w:sz w:val="18"/>
                <w:szCs w:val="18"/>
                <w:color w:val="auto"/>
              </w:rPr>
              <w:t>BBB- (Stable) (S&amp;P Global Ratings)</w:t>
            </w:r>
          </w:p>
        </w:tc>
      </w:tr>
      <w:tr>
        <w:trPr>
          <w:trHeight w:val="675"/>
        </w:trPr>
        <w:tc>
          <w:tcPr>
            <w:tcW w:w="254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6"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080" w:type="dxa"/>
            <w:vAlign w:val="bottom"/>
          </w:tcPr>
          <w:p>
            <w:pPr>
              <w:ind w:left="460"/>
              <w:spacing w:after="0"/>
              <w:rPr>
                <w:sz w:val="20"/>
                <w:szCs w:val="20"/>
                <w:color w:val="auto"/>
              </w:rPr>
            </w:pPr>
            <w:r>
              <w:rPr>
                <w:rFonts w:ascii="Arial" w:cs="Arial" w:eastAsia="Arial" w:hAnsi="Arial"/>
                <w:sz w:val="18"/>
                <w:szCs w:val="18"/>
                <w:color w:val="auto"/>
              </w:rPr>
              <w:t>November 1, 2029 in respect of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February 9, 2033 in respect of the 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080" w:type="dxa"/>
            <w:vAlign w:val="bottom"/>
          </w:tcPr>
          <w:p>
            <w:pPr>
              <w:ind w:left="460"/>
              <w:spacing w:after="0"/>
              <w:rPr>
                <w:sz w:val="20"/>
                <w:szCs w:val="20"/>
                <w:color w:val="auto"/>
              </w:rPr>
            </w:pPr>
            <w:r>
              <w:rPr>
                <w:rFonts w:ascii="Arial" w:cs="Arial" w:eastAsia="Arial" w:hAnsi="Arial"/>
                <w:sz w:val="18"/>
                <w:szCs w:val="18"/>
                <w:color w:val="auto"/>
              </w:rPr>
              <w:t>6.750% per year on the principal amount of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5.875% per year on the principal amount of the 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080" w:type="dxa"/>
            <w:vAlign w:val="bottom"/>
          </w:tcPr>
          <w:p>
            <w:pPr>
              <w:ind w:left="460"/>
              <w:spacing w:after="0"/>
              <w:rPr>
                <w:sz w:val="20"/>
                <w:szCs w:val="20"/>
                <w:color w:val="auto"/>
              </w:rPr>
            </w:pPr>
            <w:r>
              <w:rPr>
                <w:rFonts w:ascii="Arial" w:cs="Arial" w:eastAsia="Arial" w:hAnsi="Arial"/>
                <w:sz w:val="18"/>
                <w:szCs w:val="18"/>
                <w:color w:val="auto"/>
                <w:w w:val="92"/>
              </w:rPr>
              <w:t>May 1 and November 1, beginning May 1, 2023, accruing from October 31, 2022, in respect of the 2029</w:t>
            </w:r>
          </w:p>
        </w:tc>
      </w:tr>
      <w:tr>
        <w:trPr>
          <w:trHeight w:val="216"/>
        </w:trPr>
        <w:tc>
          <w:tcPr>
            <w:tcW w:w="316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Notes</w:t>
            </w:r>
          </w:p>
        </w:tc>
      </w:tr>
      <w:tr>
        <w:trPr>
          <w:trHeight w:val="216"/>
        </w:trPr>
        <w:tc>
          <w:tcPr>
            <w:tcW w:w="316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w w:val="93"/>
              </w:rPr>
              <w:t>February 9 and August 9, beginning August 9, 2023, accruing from February 9, 2023, in respect of the</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8080" w:type="dxa"/>
            <w:vAlign w:val="bottom"/>
          </w:tcPr>
          <w:p>
            <w:pPr>
              <w:ind w:left="460"/>
              <w:spacing w:after="0"/>
              <w:rPr>
                <w:sz w:val="20"/>
                <w:szCs w:val="20"/>
                <w:color w:val="auto"/>
              </w:rPr>
            </w:pPr>
            <w:r>
              <w:rPr>
                <w:rFonts w:ascii="Arial" w:cs="Arial" w:eastAsia="Arial" w:hAnsi="Arial"/>
                <w:sz w:val="18"/>
                <w:szCs w:val="18"/>
                <w:color w:val="auto"/>
              </w:rPr>
              <w:t>April 15 and October 15, in respect of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January 26 and July 26, in respect of the 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080" w:type="dxa"/>
            <w:vAlign w:val="bottom"/>
          </w:tcPr>
          <w:p>
            <w:pPr>
              <w:ind w:left="460"/>
              <w:spacing w:after="0"/>
              <w:rPr>
                <w:sz w:val="20"/>
                <w:szCs w:val="20"/>
                <w:color w:val="auto"/>
              </w:rPr>
            </w:pPr>
            <w:r>
              <w:rPr>
                <w:rFonts w:ascii="Arial" w:cs="Arial" w:eastAsia="Arial" w:hAnsi="Arial"/>
                <w:sz w:val="18"/>
                <w:szCs w:val="18"/>
                <w:color w:val="auto"/>
                <w:w w:val="90"/>
              </w:rPr>
              <w:t>For the 2029 Notes: 104.487% of the principal amount plus accrued and unpaid interest from October 31,</w:t>
            </w:r>
          </w:p>
        </w:tc>
      </w:tr>
      <w:tr>
        <w:trPr>
          <w:trHeight w:val="216"/>
        </w:trPr>
        <w:tc>
          <w:tcPr>
            <w:tcW w:w="316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w w:val="95"/>
              </w:rPr>
              <w:t>2022 to the Closing Date, which is approximately $18.56 per $1,000 principal amount of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For the 2033 Notes: 99.933% of the principal amount</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8080" w:type="dxa"/>
            <w:vAlign w:val="bottom"/>
          </w:tcPr>
          <w:p>
            <w:pPr>
              <w:ind w:left="460"/>
              <w:spacing w:after="0"/>
              <w:rPr>
                <w:sz w:val="20"/>
                <w:szCs w:val="20"/>
                <w:color w:val="auto"/>
              </w:rPr>
            </w:pPr>
            <w:r>
              <w:rPr>
                <w:rFonts w:ascii="Arial" w:cs="Arial" w:eastAsia="Arial" w:hAnsi="Arial"/>
                <w:sz w:val="18"/>
                <w:szCs w:val="18"/>
                <w:color w:val="auto"/>
              </w:rPr>
              <w:t>0.350% per 2029 Note</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0.400% per 2033 Note</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8080" w:type="dxa"/>
            <w:vAlign w:val="bottom"/>
          </w:tcPr>
          <w:p>
            <w:pPr>
              <w:ind w:left="460"/>
              <w:spacing w:after="0"/>
              <w:rPr>
                <w:sz w:val="20"/>
                <w:szCs w:val="20"/>
                <w:color w:val="auto"/>
              </w:rPr>
            </w:pPr>
            <w:r>
              <w:rPr>
                <w:rFonts w:ascii="Arial" w:cs="Arial" w:eastAsia="Arial" w:hAnsi="Arial"/>
                <w:sz w:val="18"/>
                <w:szCs w:val="18"/>
                <w:color w:val="auto"/>
              </w:rPr>
              <w:t>UST 3.500% due January 31, 2028 for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UST 4.125% due November 15, 2032 for the 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Benchmark Treasury Price / Yield:</w:t>
            </w:r>
          </w:p>
        </w:tc>
        <w:tc>
          <w:tcPr>
            <w:tcW w:w="8080" w:type="dxa"/>
            <w:vAlign w:val="bottom"/>
          </w:tcPr>
          <w:p>
            <w:pPr>
              <w:ind w:left="460"/>
              <w:spacing w:after="0"/>
              <w:rPr>
                <w:sz w:val="20"/>
                <w:szCs w:val="20"/>
                <w:color w:val="auto"/>
              </w:rPr>
            </w:pPr>
            <w:r>
              <w:rPr>
                <w:rFonts w:ascii="Arial" w:cs="Arial" w:eastAsia="Arial" w:hAnsi="Arial"/>
                <w:sz w:val="18"/>
                <w:szCs w:val="18"/>
                <w:color w:val="auto"/>
              </w:rPr>
              <w:t>98-18 ¾ / 3.814% for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104-00 / 3.634% for the 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8080" w:type="dxa"/>
            <w:vAlign w:val="bottom"/>
          </w:tcPr>
          <w:p>
            <w:pPr>
              <w:ind w:left="460"/>
              <w:spacing w:after="0"/>
              <w:rPr>
                <w:sz w:val="20"/>
                <w:szCs w:val="20"/>
                <w:color w:val="auto"/>
              </w:rPr>
            </w:pPr>
            <w:r>
              <w:rPr>
                <w:rFonts w:ascii="Arial" w:cs="Arial" w:eastAsia="Arial" w:hAnsi="Arial"/>
                <w:sz w:val="18"/>
                <w:szCs w:val="18"/>
                <w:color w:val="auto"/>
              </w:rPr>
              <w:t>+210 basis points for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+225 basis points for the 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8080" w:type="dxa"/>
            <w:vAlign w:val="bottom"/>
          </w:tcPr>
          <w:p>
            <w:pPr>
              <w:ind w:left="460"/>
              <w:spacing w:after="0"/>
              <w:rPr>
                <w:sz w:val="20"/>
                <w:szCs w:val="20"/>
                <w:color w:val="auto"/>
              </w:rPr>
            </w:pPr>
            <w:r>
              <w:rPr>
                <w:rFonts w:ascii="Arial" w:cs="Arial" w:eastAsia="Arial" w:hAnsi="Arial"/>
                <w:sz w:val="18"/>
                <w:szCs w:val="18"/>
                <w:color w:val="auto"/>
              </w:rPr>
              <w:t>5.914% for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5.884% for the 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CUSIP Number:</w:t>
            </w:r>
          </w:p>
        </w:tc>
        <w:tc>
          <w:tcPr>
            <w:tcW w:w="8080" w:type="dxa"/>
            <w:vAlign w:val="bottom"/>
          </w:tcPr>
          <w:p>
            <w:pPr>
              <w:ind w:left="460"/>
              <w:spacing w:after="0"/>
              <w:rPr>
                <w:sz w:val="20"/>
                <w:szCs w:val="20"/>
                <w:color w:val="auto"/>
              </w:rPr>
            </w:pPr>
            <w:r>
              <w:rPr>
                <w:rFonts w:ascii="Arial" w:cs="Arial" w:eastAsia="Arial" w:hAnsi="Arial"/>
                <w:sz w:val="18"/>
                <w:szCs w:val="18"/>
                <w:color w:val="auto"/>
              </w:rPr>
              <w:t>595112BV4 for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595112BZ5 for the 2033 Notes</w:t>
            </w:r>
          </w:p>
        </w:tc>
      </w:tr>
      <w:tr>
        <w:trPr>
          <w:trHeight w:val="418"/>
        </w:trPr>
        <w:tc>
          <w:tcPr>
            <w:tcW w:w="3160" w:type="dxa"/>
            <w:vAlign w:val="bottom"/>
          </w:tcPr>
          <w:p>
            <w:pPr>
              <w:spacing w:after="0"/>
              <w:rPr>
                <w:sz w:val="20"/>
                <w:szCs w:val="20"/>
                <w:color w:val="auto"/>
              </w:rPr>
            </w:pPr>
            <w:r>
              <w:rPr>
                <w:rFonts w:ascii="Arial" w:cs="Arial" w:eastAsia="Arial" w:hAnsi="Arial"/>
                <w:sz w:val="18"/>
                <w:szCs w:val="18"/>
                <w:b w:val="1"/>
                <w:bCs w:val="1"/>
                <w:color w:val="auto"/>
              </w:rPr>
              <w:t>ISIN Number:</w:t>
            </w:r>
          </w:p>
        </w:tc>
        <w:tc>
          <w:tcPr>
            <w:tcW w:w="8080" w:type="dxa"/>
            <w:vAlign w:val="bottom"/>
          </w:tcPr>
          <w:p>
            <w:pPr>
              <w:ind w:left="460"/>
              <w:spacing w:after="0"/>
              <w:rPr>
                <w:sz w:val="20"/>
                <w:szCs w:val="20"/>
                <w:color w:val="auto"/>
              </w:rPr>
            </w:pPr>
            <w:r>
              <w:rPr>
                <w:rFonts w:ascii="Arial" w:cs="Arial" w:eastAsia="Arial" w:hAnsi="Arial"/>
                <w:sz w:val="18"/>
                <w:szCs w:val="18"/>
                <w:color w:val="auto"/>
              </w:rPr>
              <w:t>US595112BV48 for the 2029 Notes</w:t>
            </w:r>
          </w:p>
        </w:tc>
      </w:tr>
      <w:tr>
        <w:trPr>
          <w:trHeight w:val="230"/>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US595112BZ51 for the 2033 Notes</w:t>
            </w:r>
          </w:p>
        </w:tc>
      </w:tr>
      <w:tr>
        <w:trPr>
          <w:trHeight w:val="675"/>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Redemption at Micron’s Option:</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Prior to the applicable Par Call Date, Micron may redeem the notes of each series at its option, in whole or in part, at any time and from time to time, at a redemption price for each series of notes (expressed as a percentage of principal amount and rounded to three decimal places) equal to the greater of (A)(i)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40 basis points in the case of the 2029 Notes and 35 basis points in the case of the 2033 Notes, less (ii) interest accrued to the date of redemption, and (B) 100% of the principal amount of the notes of that series to be redeemed, plus, in each case, accrued and unpaid interest, if any, on the amount being redeemed to, but excluding, the date of redemption. On or after the applicable Par Call Date for a series of notes, Micron may, at its option, redeem the notes of such series in whole or in part, at any time and from time to time, at a redemption price equal to 100% of the principal amount of the notes redeemed, plus accrued and unpaid interest, if any, to, but excluding, the date of redemption.</w:t>
      </w:r>
    </w:p>
    <w:p>
      <w:pPr>
        <w:spacing w:after="0" w:line="174" w:lineRule="exact"/>
        <w:rPr>
          <w:sz w:val="20"/>
          <w:szCs w:val="20"/>
          <w:color w:val="auto"/>
        </w:rPr>
      </w:pPr>
    </w:p>
    <w:p>
      <w:pPr>
        <w:sectPr>
          <w:pgSz w:w="11900" w:h="16838" w:orient="portrait"/>
          <w:cols w:equalWidth="0" w:num="2">
            <w:col w:w="2900" w:space="720"/>
            <w:col w:w="7620"/>
          </w:cols>
          <w:pgMar w:left="320" w:top="904" w:right="339" w:bottom="1440" w:gutter="0" w:footer="0" w:header="0"/>
        </w:sectPr>
      </w:pPr>
    </w:p>
    <w:p>
      <w:pPr>
        <w:ind w:left="3620"/>
        <w:spacing w:after="0" w:line="263" w:lineRule="auto"/>
        <w:rPr>
          <w:sz w:val="20"/>
          <w:szCs w:val="20"/>
          <w:color w:val="auto"/>
        </w:rPr>
      </w:pPr>
      <w:r>
        <w:rPr>
          <w:rFonts w:ascii="Arial" w:cs="Arial" w:eastAsia="Arial" w:hAnsi="Arial"/>
          <w:sz w:val="18"/>
          <w:szCs w:val="18"/>
          <w:color w:val="auto"/>
        </w:rPr>
        <w:t>“Par Call Date” for the 2029 Notes means September 1, 2029 (two months prior to the maturity date of the 2029 Notes) and for the 2033 Notes means November 9, 2032 (three months prior to the maturity date of the 2033 Notes).</w:t>
      </w:r>
    </w:p>
    <w:p>
      <w:pPr>
        <w:sectPr>
          <w:pgSz w:w="11900" w:h="16838" w:orient="portrait"/>
          <w:cols w:equalWidth="0" w:num="1">
            <w:col w:w="11240"/>
          </w:cols>
          <w:pgMar w:left="320" w:top="904" w:right="33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LLC</w:t>
      </w:r>
    </w:p>
    <w:p>
      <w:pPr>
        <w:spacing w:after="0" w:line="200" w:lineRule="exact"/>
        <w:rPr>
          <w:sz w:val="20"/>
          <w:szCs w:val="20"/>
          <w:color w:val="auto"/>
        </w:rPr>
      </w:pPr>
    </w:p>
    <w:p>
      <w:pPr>
        <w:sectPr>
          <w:pgSz w:w="11900" w:h="16838" w:orient="portrait"/>
          <w:cols w:equalWidth="0" w:num="2">
            <w:col w:w="2900" w:space="720"/>
            <w:col w:w="7620"/>
          </w:cols>
          <w:pgMar w:left="320" w:top="904" w:right="339" w:bottom="1440" w:gutter="0" w:footer="0" w:header="0"/>
          <w:type w:val="continuous"/>
        </w:sectPr>
      </w:pPr>
    </w:p>
    <w:p>
      <w:pPr>
        <w:spacing w:after="0" w:line="3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ANZ Securities, Inc.</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Credit Agricole Securities (USA) Inc.</w:t>
      </w:r>
    </w:p>
    <w:p>
      <w:pPr>
        <w:spacing w:after="0" w:line="3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Truist Securities, Inc.</w:t>
      </w:r>
    </w:p>
    <w:p>
      <w:pPr>
        <w:sectPr>
          <w:pgSz w:w="11900" w:h="16838" w:orient="portrait"/>
          <w:cols w:equalWidth="0" w:num="1">
            <w:col w:w="11240"/>
          </w:cols>
          <w:pgMar w:left="320" w:top="904"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200" w:lineRule="exact"/>
        <w:rPr>
          <w:sz w:val="20"/>
          <w:szCs w:val="20"/>
          <w:color w:val="auto"/>
        </w:rPr>
      </w:pPr>
    </w:p>
    <w:p>
      <w:pPr>
        <w:sectPr>
          <w:pgSz w:w="11900" w:h="16838" w:orient="portrait"/>
          <w:cols w:equalWidth="0" w:num="2">
            <w:col w:w="2900" w:space="720"/>
            <w:col w:w="7620"/>
          </w:cols>
          <w:pgMar w:left="320" w:top="904" w:right="339" w:bottom="1440" w:gutter="0" w:footer="0" w:header="0"/>
          <w:type w:val="continuous"/>
        </w:sectPr>
      </w:pPr>
    </w:p>
    <w:p>
      <w:pPr>
        <w:spacing w:after="0" w:line="30" w:lineRule="exact"/>
        <w:rPr>
          <w:sz w:val="20"/>
          <w:szCs w:val="20"/>
          <w:color w:val="auto"/>
        </w:rPr>
      </w:pPr>
    </w:p>
    <w:p>
      <w:pPr>
        <w:ind w:firstLine="656"/>
        <w:spacing w:after="0" w:line="322" w:lineRule="auto"/>
        <w:tabs>
          <w:tab w:leader="none" w:pos="783"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It is expected that delivery of the notes will be made against payment therefor on or about February 9, 2023, which will be the third business day following the date of pricing of the notes. Under Rule 15c6-1 of the Securities Exchange Act of 1934, as amended, trades in the secondary market generally are required to settle in two business days, unless the parties to any such trade expressly agree otherwise. Accordingly, purchasers who wish to trade notes on any date prior to the date that is two business days before delivery will be required, by virtue of the fact that the notes initially will settle in three business days (T+3), to specify alternative settlement arrangements to prevent a failed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ind w:left="660"/>
        <w:spacing w:after="0"/>
        <w:rPr>
          <w:sz w:val="20"/>
          <w:szCs w:val="20"/>
          <w:color w:val="auto"/>
        </w:rPr>
      </w:pPr>
      <w:r>
        <w:rPr>
          <w:rFonts w:ascii="Arial" w:cs="Arial" w:eastAsia="Arial" w:hAnsi="Arial"/>
          <w:sz w:val="16"/>
          <w:szCs w:val="16"/>
          <w:b w:val="1"/>
          <w:bCs w:val="1"/>
          <w:color w:val="auto"/>
        </w:rPr>
        <w:t>** Note: A securities rating is not a recommendation to buy, sell or hold securities and may be subject to revision or withdrawal at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0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Morgan Stanley &amp; Co. LLC toll-free at 1-866-718-1649, BofA Securities, Inc. toll-free at 1-800-294-1322 or Wells Fargo Securities, LLC toll free at 1-800-645-3751.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2023-02-07T05:21:31Z</dcterms:created>
  <dcterms:modified xsi:type="dcterms:W3CDTF">2023-02-07T05:21:31Z</dcterms:modified>
</cp:coreProperties>
</file>