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-227965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5208270</wp:posOffset>
            </wp:positionH>
            <wp:positionV relativeFrom="paragraph">
              <wp:posOffset>-601980</wp:posOffset>
            </wp:positionV>
            <wp:extent cx="57150" cy="6153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-601980</wp:posOffset>
            </wp:positionV>
            <wp:extent cx="57150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25400</wp:posOffset>
            </wp:positionV>
            <wp:extent cx="6998970" cy="8838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883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00"/>
            <w:col w:w="8420"/>
          </w:cols>
          <w:pgMar w:left="460" w:top="213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Sadana Sumit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740" w:firstLine="5"/>
        <w:spacing w:after="0" w:line="269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Chief Business Officer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05"/>
            <w:col w:w="3355"/>
          </w:cols>
          <w:pgMar w:left="460" w:top="213" w:right="359" w:bottom="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right="2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68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80,569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248,468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49,485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297,953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23,372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274,581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1,311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275,892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620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275,272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31,286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306,558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16,247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290,311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12,160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302,471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6,315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296,156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7,377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288,779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10/16/2022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9,783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278,996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10/16/2022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10,342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268,654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44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49,485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14,139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1,311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11,272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31,286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15,643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15,643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(10)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12,160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13,218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13,218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31,769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31,769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31,769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20,142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20,142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20,142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20,142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20,142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20,142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-3644265</wp:posOffset>
            </wp:positionV>
            <wp:extent cx="28575" cy="3649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4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 vests 33 1/3% on October 15, 2023, and 1/12 of the total restricted stock award vests quarterly thereafter.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60" w:hanging="4"/>
        <w:spacing w:after="0" w:line="25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3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4" w:hanging="124"/>
        <w:spacing w:after="0"/>
        <w:tabs>
          <w:tab w:leader="none" w:pos="12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jc w:val="both"/>
        <w:ind w:left="4" w:right="2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NAND delivery and solutions at a level resulting in a vest of 100%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jc w:val="both"/>
        <w:ind w:left="4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resulting in a vest of 46%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24" w:hanging="124"/>
        <w:spacing w:after="0"/>
        <w:tabs>
          <w:tab w:leader="none" w:pos="12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8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DRAM revenue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56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Rob Beard,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10/17/2022</w:t>
            </w: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" w:right="3740" w:hanging="4"/>
        <w:spacing w:after="0" w:line="323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4"/>
      </w:cols>
      <w:pgMar w:left="496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2022-10-17T15:57:14Z</dcterms:created>
  <dcterms:modified xsi:type="dcterms:W3CDTF">2022-10-17T15:57:14Z</dcterms:modified>
</cp:coreProperties>
</file>