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7, 2010</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right"/>
              <w:ind w:right="140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340" w:type="dxa"/>
            <w:vAlign w:val="bottom"/>
            <w:gridSpan w:val="2"/>
          </w:tcPr>
          <w:p>
            <w:pPr>
              <w:jc w:val="center"/>
              <w:spacing w:after="0"/>
              <w:rPr>
                <w:sz w:val="20"/>
                <w:szCs w:val="20"/>
                <w:color w:val="auto"/>
              </w:rPr>
            </w:pPr>
            <w:r>
              <w:rPr>
                <w:rFonts w:ascii="Arial" w:cs="Arial" w:eastAsia="Arial" w:hAnsi="Arial"/>
                <w:sz w:val="18"/>
                <w:szCs w:val="18"/>
                <w:color w:val="auto"/>
                <w:w w:val="93"/>
              </w:rPr>
              <w:t>(Commission File Number)</w:t>
            </w:r>
          </w:p>
        </w:tc>
        <w:tc>
          <w:tcPr>
            <w:tcW w:w="3280" w:type="dxa"/>
            <w:vAlign w:val="bottom"/>
            <w:gridSpan w:val="2"/>
          </w:tcPr>
          <w:p>
            <w:pPr>
              <w:jc w:val="right"/>
              <w:ind w:right="48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8000 South Federal Way</w:t>
            </w:r>
          </w:p>
        </w:tc>
        <w:tc>
          <w:tcPr>
            <w:tcW w:w="8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41"/>
        </w:trPr>
        <w:tc>
          <w:tcPr>
            <w:tcW w:w="3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Boise, Idaho 83716-9632</w:t>
            </w:r>
          </w:p>
        </w:tc>
        <w:tc>
          <w:tcPr>
            <w:tcW w:w="8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30"/>
        </w:trPr>
        <w:tc>
          <w:tcPr>
            <w:tcW w:w="3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52"/>
        </w:trPr>
        <w:tc>
          <w:tcPr>
            <w:tcW w:w="3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(208) 368-4000</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(Registrant’s telephone number, including area code)</w:t>
            </w:r>
          </w:p>
        </w:tc>
        <w:tc>
          <w:tcPr>
            <w:tcW w:w="8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183" w:lineRule="exact"/>
        <w:rPr>
          <w:sz w:val="24"/>
          <w:szCs w:val="24"/>
          <w:color w:val="auto"/>
        </w:rPr>
      </w:pPr>
    </w:p>
    <w:p>
      <w:pPr>
        <w:jc w:val="center"/>
        <w:ind w:left="6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17145</wp:posOffset>
            </wp:positionV>
            <wp:extent cx="3704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spacing w:after="0" w:line="20"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May 7, 2010, Micron Technology, Inc. (“Micron”), pursuant to the Share Purchase Agreement, dated February 9, 2010, by and among Micron, Micron Semiconductor, B.V., a wholly-owned subsidiary of Micron, Intel Corporation (“Intel”), Intel Technology Asia Pte Ltd (“ITA”), STMicroelectronics N.V. (“ST”), Redwood Blocker S.a.r.l. (“Redwood”) and PK Flash, LLC (“PK”, and collectively with Intel, ITA, ST and Redwood, the “Sellers”), completed its acquisition of all of the outstanding shares of capital stock of Numonyx Holdings B.V. (“Numonyx”) from the Sellers for a total consideration consisting of 137,710,146 shares of Micron common stock.</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Micron announced the completion of the acquisition in a press release issued May 7, 2010. On May 13, 2010, Micron filed a Current Report on Form 8-K stating that it had completed the acquisition and that the financial statements and pro forma financial information required under Item 9.01 would be filed within 71 days after the date on which the Current Report on Form 8-K was required to be filed. This amended Current Report on Form 8-K contains the required financial statements and pro forma financial information.</w:t>
      </w:r>
    </w:p>
    <w:p>
      <w:pPr>
        <w:spacing w:after="0" w:line="200" w:lineRule="exact"/>
        <w:rPr>
          <w:sz w:val="20"/>
          <w:szCs w:val="20"/>
          <w:color w:val="auto"/>
        </w:rPr>
      </w:pPr>
    </w:p>
    <w:p>
      <w:pPr>
        <w:spacing w:after="0" w:line="25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 Acquired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audited consolidated financial statements of Numonyx for the fiscal year ended December 31, 2009 are attached hereto as Exhibit 99.1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 Forma Financial Information</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unaudited pro forma financial information for Micron, after giving effect to the acquisition of Numonyx and adjustments described in such pro forma financial information, are attached hereto as Exhibit 99.2.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attached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rPr>
              <w:t>Consent of PricewaterhouseCoopers SA, independent registered public accounting firm.</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Numonyx’s audited financial statements, including the report of PricewaterhouseCoopers SA, independent registered public accounting firm,</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 the year ended December 31, 2009.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Unaudited pro forma financial information for Micron, after giving effect to the acquisition of Numonyx and adjustments described in such</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 forma financial information.</w:t>
            </w:r>
          </w:p>
        </w:tc>
      </w:tr>
      <w:tr>
        <w:trPr>
          <w:trHeight w:val="902"/>
        </w:trPr>
        <w:tc>
          <w:tcPr>
            <w:tcW w:w="10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4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220" w:type="dxa"/>
            <w:vAlign w:val="bottom"/>
          </w:tcPr>
          <w:p>
            <w:pPr>
              <w:spacing w:after="0"/>
              <w:rPr>
                <w:sz w:val="20"/>
                <w:szCs w:val="20"/>
                <w:color w:val="auto"/>
              </w:rPr>
            </w:pPr>
          </w:p>
        </w:tc>
      </w:tr>
      <w:tr>
        <w:trPr>
          <w:trHeight w:val="648"/>
        </w:trPr>
        <w:tc>
          <w:tcPr>
            <w:tcW w:w="3260" w:type="dxa"/>
            <w:vAlign w:val="bottom"/>
          </w:tcPr>
          <w:p>
            <w:pPr>
              <w:spacing w:after="0"/>
              <w:rPr>
                <w:sz w:val="20"/>
                <w:szCs w:val="20"/>
                <w:color w:val="auto"/>
              </w:rPr>
            </w:pPr>
            <w:r>
              <w:rPr>
                <w:rFonts w:ascii="Arial" w:cs="Arial" w:eastAsia="Arial" w:hAnsi="Arial"/>
                <w:sz w:val="18"/>
                <w:szCs w:val="18"/>
                <w:color w:val="auto"/>
              </w:rPr>
              <w:t>Date: July 19, 2010</w:t>
            </w:r>
          </w:p>
        </w:tc>
        <w:tc>
          <w:tcPr>
            <w:tcW w:w="7940" w:type="dxa"/>
            <w:vAlign w:val="bottom"/>
            <w:gridSpan w:val="2"/>
          </w:tcPr>
          <w:p>
            <w:pPr>
              <w:ind w:left="182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Ronald C. Foster</w:t>
            </w:r>
          </w:p>
        </w:tc>
        <w:tc>
          <w:tcPr>
            <w:tcW w:w="22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2380" w:type="dxa"/>
            <w:vAlign w:val="bottom"/>
          </w:tcPr>
          <w:p>
            <w:pPr>
              <w:ind w:left="1820"/>
              <w:spacing w:after="0" w:line="195" w:lineRule="exact"/>
              <w:rPr>
                <w:sz w:val="20"/>
                <w:szCs w:val="20"/>
                <w:color w:val="auto"/>
              </w:rPr>
            </w:pPr>
            <w:r>
              <w:rPr>
                <w:rFonts w:ascii="Arial" w:cs="Arial" w:eastAsia="Arial" w:hAnsi="Arial"/>
                <w:sz w:val="18"/>
                <w:szCs w:val="18"/>
                <w:color w:val="auto"/>
              </w:rPr>
              <w:t>Name:</w:t>
            </w:r>
          </w:p>
        </w:tc>
        <w:tc>
          <w:tcPr>
            <w:tcW w:w="5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C. Foster</w:t>
            </w:r>
          </w:p>
        </w:tc>
        <w:tc>
          <w:tcPr>
            <w:tcW w:w="22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7940" w:type="dxa"/>
            <w:vAlign w:val="bottom"/>
            <w:gridSpan w:val="2"/>
          </w:tcPr>
          <w:p>
            <w:pPr>
              <w:ind w:left="1820"/>
              <w:spacing w:after="0"/>
              <w:rPr>
                <w:sz w:val="20"/>
                <w:szCs w:val="20"/>
                <w:color w:val="auto"/>
              </w:rPr>
            </w:pPr>
            <w:r>
              <w:rPr>
                <w:rFonts w:ascii="Arial" w:cs="Arial" w:eastAsia="Arial" w:hAnsi="Arial"/>
                <w:sz w:val="18"/>
                <w:szCs w:val="18"/>
                <w:color w:val="auto"/>
              </w:rPr>
              <w:t>Title:  Chief Financial Officer and</w:t>
            </w:r>
          </w:p>
        </w:tc>
        <w:tc>
          <w:tcPr>
            <w:tcW w:w="22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220" w:type="dxa"/>
            <w:vAlign w:val="bottom"/>
          </w:tcPr>
          <w:p>
            <w:pPr>
              <w:spacing w:after="0"/>
              <w:rPr>
                <w:sz w:val="20"/>
                <w:szCs w:val="20"/>
                <w:color w:val="auto"/>
              </w:rPr>
            </w:pPr>
          </w:p>
        </w:tc>
      </w:tr>
      <w:tr>
        <w:trPr>
          <w:trHeight w:val="1577"/>
        </w:trPr>
        <w:tc>
          <w:tcPr>
            <w:tcW w:w="326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35673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567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PricewaterhouseCoopers SA</w:t>
      </w:r>
    </w:p>
    <w:p>
      <w:pPr>
        <w:spacing w:after="0" w:line="55"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Avenue Giuseppe-Motta 50</w:t>
      </w:r>
    </w:p>
    <w:p>
      <w:pPr>
        <w:ind w:left="9020"/>
        <w:spacing w:after="0" w:line="221" w:lineRule="auto"/>
        <w:rPr>
          <w:sz w:val="20"/>
          <w:szCs w:val="20"/>
          <w:color w:val="auto"/>
        </w:rPr>
      </w:pPr>
      <w:r>
        <w:rPr>
          <w:rFonts w:ascii="Arial" w:cs="Arial" w:eastAsia="Arial" w:hAnsi="Arial"/>
          <w:sz w:val="14"/>
          <w:szCs w:val="14"/>
          <w:color w:val="auto"/>
        </w:rPr>
        <w:t>Case postale 2895</w:t>
      </w:r>
    </w:p>
    <w:p>
      <w:pPr>
        <w:ind w:left="9020"/>
        <w:spacing w:after="0" w:line="221" w:lineRule="auto"/>
        <w:rPr>
          <w:sz w:val="20"/>
          <w:szCs w:val="20"/>
          <w:color w:val="auto"/>
        </w:rPr>
      </w:pPr>
      <w:r>
        <w:rPr>
          <w:rFonts w:ascii="Arial" w:cs="Arial" w:eastAsia="Arial" w:hAnsi="Arial"/>
          <w:sz w:val="14"/>
          <w:szCs w:val="14"/>
          <w:color w:val="auto"/>
        </w:rPr>
        <w:t>1211 Genève 2</w:t>
      </w:r>
    </w:p>
    <w:p>
      <w:pPr>
        <w:ind w:left="9020"/>
        <w:spacing w:after="0" w:line="222" w:lineRule="auto"/>
        <w:rPr>
          <w:sz w:val="20"/>
          <w:szCs w:val="20"/>
          <w:color w:val="auto"/>
        </w:rPr>
      </w:pPr>
      <w:r>
        <w:rPr>
          <w:rFonts w:ascii="Arial" w:cs="Arial" w:eastAsia="Arial" w:hAnsi="Arial"/>
          <w:sz w:val="14"/>
          <w:szCs w:val="14"/>
          <w:color w:val="auto"/>
        </w:rPr>
        <w:t>Phone +41 58 792 91 00</w:t>
      </w:r>
    </w:p>
    <w:p>
      <w:pPr>
        <w:ind w:left="9020"/>
        <w:spacing w:after="0"/>
        <w:rPr>
          <w:sz w:val="20"/>
          <w:szCs w:val="20"/>
          <w:color w:val="auto"/>
        </w:rPr>
      </w:pPr>
      <w:r>
        <w:rPr>
          <w:rFonts w:ascii="Arial" w:cs="Arial" w:eastAsia="Arial" w:hAnsi="Arial"/>
          <w:sz w:val="14"/>
          <w:szCs w:val="14"/>
          <w:color w:val="auto"/>
        </w:rPr>
        <w:t>Fax +41 58 792 91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 on Forms S-3 (File Nos. 333-71620, 333-143026, 333-158473) and Forms S-8 (File Nos. 33-148357, 33-27078, 33-57887, 33-65050, 333-07283, 333-17073, 333-50353, 333-65449, 333-71249, 333-82549, 333-99271, 333-102545, 333-103341, 333-111170, 333-120620, 333-133667, 333-135459, 333-140091, 333-159711, and 333-167536) of Micron Technology, Inc. of our report dated February 28, 2010 relating to the financial statements of Numonyx Holdings B.V, which appears in the Current Report on Form 8-K of Micron Technology, Inc. dated July 19,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8"/>
              </w:rPr>
              <w:t>PricewaterhouseCoopers SA</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945"/>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Rolf Johner</w:t>
            </w:r>
          </w:p>
        </w:tc>
        <w:tc>
          <w:tcPr>
            <w:tcW w:w="58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Simon Barlow</w:t>
            </w:r>
          </w:p>
        </w:tc>
        <w:tc>
          <w:tcPr>
            <w:tcW w:w="6260" w:type="dxa"/>
            <w:vAlign w:val="bottom"/>
          </w:tcPr>
          <w:p>
            <w:pPr>
              <w:spacing w:after="0"/>
              <w:rPr>
                <w:sz w:val="24"/>
                <w:szCs w:val="24"/>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Rolf Johner</w:t>
            </w:r>
          </w:p>
        </w:tc>
        <w:tc>
          <w:tcPr>
            <w:tcW w:w="5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Simon Barlow</w:t>
            </w:r>
          </w:p>
        </w:tc>
        <w:tc>
          <w:tcPr>
            <w:tcW w:w="6260" w:type="dxa"/>
            <w:vAlign w:val="bottom"/>
          </w:tcPr>
          <w:p>
            <w:pPr>
              <w:spacing w:after="0"/>
              <w:rPr>
                <w:sz w:val="19"/>
                <w:szCs w:val="19"/>
                <w:color w:val="auto"/>
              </w:rPr>
            </w:pPr>
          </w:p>
        </w:tc>
      </w:tr>
      <w:tr>
        <w:trPr>
          <w:trHeight w:val="931"/>
        </w:trPr>
        <w:tc>
          <w:tcPr>
            <w:tcW w:w="2300" w:type="dxa"/>
            <w:vAlign w:val="bottom"/>
          </w:tcPr>
          <w:p>
            <w:pPr>
              <w:spacing w:after="0"/>
              <w:rPr>
                <w:sz w:val="20"/>
                <w:szCs w:val="20"/>
                <w:color w:val="auto"/>
              </w:rPr>
            </w:pPr>
            <w:r>
              <w:rPr>
                <w:rFonts w:ascii="Arial" w:cs="Arial" w:eastAsia="Arial" w:hAnsi="Arial"/>
                <w:sz w:val="18"/>
                <w:szCs w:val="18"/>
                <w:color w:val="auto"/>
              </w:rPr>
              <w:t>Geneva, July 19, 2010</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1577"/>
        </w:trPr>
        <w:tc>
          <w:tcPr>
            <w:tcW w:w="2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234315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311150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388620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00"/>
        <w:spacing w:after="0"/>
        <w:rPr>
          <w:sz w:val="20"/>
          <w:szCs w:val="20"/>
          <w:color w:val="auto"/>
        </w:rPr>
      </w:pPr>
      <w:r>
        <w:rPr>
          <w:rFonts w:ascii="Arial" w:cs="Arial" w:eastAsia="Arial" w:hAnsi="Arial"/>
          <w:sz w:val="43"/>
          <w:szCs w:val="43"/>
          <w:b w:val="1"/>
          <w:bCs w:val="1"/>
          <w:color w:val="auto"/>
        </w:rPr>
        <w:t>NUMONYX HOLDINGS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CONSOLIDATED FINANCIAL STATEMENTS</w:t>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FOR THE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Report of Independent Registered Public Accounting Firm</w:t>
            </w:r>
          </w:p>
        </w:tc>
        <w:tc>
          <w:tcPr>
            <w:tcW w:w="9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Consolidated Statement of Operations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4</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Consolidated Statement of Comprehensive Loss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5</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Consolidated Balance Sheet</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6</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Consolidated Statement of Cash Flows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7</w:t>
            </w:r>
          </w:p>
        </w:tc>
      </w:tr>
      <w:tr>
        <w:trPr>
          <w:trHeight w:val="275"/>
        </w:trPr>
        <w:tc>
          <w:tcPr>
            <w:tcW w:w="20" w:type="dxa"/>
            <w:vAlign w:val="bottom"/>
          </w:tcPr>
          <w:p>
            <w:pPr>
              <w:spacing w:after="0"/>
              <w:rPr>
                <w:sz w:val="23"/>
                <w:szCs w:val="23"/>
                <w:color w:val="auto"/>
              </w:rPr>
            </w:pPr>
          </w:p>
        </w:tc>
        <w:tc>
          <w:tcPr>
            <w:tcW w:w="10500" w:type="dxa"/>
            <w:vAlign w:val="bottom"/>
            <w:gridSpan w:val="2"/>
          </w:tcPr>
          <w:p>
            <w:pPr>
              <w:spacing w:after="0"/>
              <w:rPr>
                <w:sz w:val="20"/>
                <w:szCs w:val="20"/>
                <w:color w:val="auto"/>
              </w:rPr>
            </w:pPr>
            <w:r>
              <w:rPr>
                <w:rFonts w:ascii="Arial" w:cs="Arial" w:eastAsia="Arial" w:hAnsi="Arial"/>
                <w:sz w:val="22"/>
                <w:szCs w:val="22"/>
                <w:color w:val="auto"/>
              </w:rPr>
              <w:t>Consolidated Statement of Changes in Shareholders’ Equity</w:t>
            </w:r>
          </w:p>
        </w:tc>
        <w:tc>
          <w:tcPr>
            <w:tcW w:w="900" w:type="dxa"/>
            <w:vAlign w:val="bottom"/>
          </w:tcPr>
          <w:p>
            <w:pPr>
              <w:jc w:val="center"/>
              <w:spacing w:after="0"/>
              <w:rPr>
                <w:sz w:val="20"/>
                <w:szCs w:val="20"/>
                <w:color w:val="auto"/>
              </w:rPr>
            </w:pPr>
            <w:r>
              <w:rPr>
                <w:rFonts w:ascii="Arial" w:cs="Arial" w:eastAsia="Arial" w:hAnsi="Arial"/>
                <w:sz w:val="22"/>
                <w:szCs w:val="22"/>
                <w:color w:val="auto"/>
                <w:w w:val="81"/>
              </w:rPr>
              <w:t>8</w:t>
            </w:r>
          </w:p>
        </w:tc>
      </w:tr>
      <w:tr>
        <w:trPr>
          <w:trHeight w:val="914"/>
        </w:trPr>
        <w:tc>
          <w:tcPr>
            <w:tcW w:w="20" w:type="dxa"/>
            <w:vAlign w:val="bottom"/>
          </w:tcPr>
          <w:p>
            <w:pPr>
              <w:spacing w:after="0"/>
              <w:rPr>
                <w:sz w:val="24"/>
                <w:szCs w:val="24"/>
                <w:color w:val="auto"/>
              </w:rPr>
            </w:pPr>
          </w:p>
        </w:tc>
        <w:tc>
          <w:tcPr>
            <w:tcW w:w="10500" w:type="dxa"/>
            <w:vAlign w:val="bottom"/>
            <w:gridSpan w:val="2"/>
          </w:tcPr>
          <w:p>
            <w:pPr>
              <w:jc w:val="center"/>
              <w:ind w:left="793"/>
              <w:spacing w:after="0"/>
              <w:rPr>
                <w:sz w:val="20"/>
                <w:szCs w:val="20"/>
                <w:color w:val="auto"/>
              </w:rPr>
            </w:pPr>
            <w:r>
              <w:rPr>
                <w:rFonts w:ascii="Arial" w:cs="Arial" w:eastAsia="Arial" w:hAnsi="Arial"/>
                <w:sz w:val="18"/>
                <w:szCs w:val="18"/>
                <w:b w:val="1"/>
                <w:bCs w:val="1"/>
                <w:color w:val="auto"/>
              </w:rPr>
              <w:t>INDEX TO NOTES TO CONSOLIDATED FINANCIAL STATEMENTS</w:t>
            </w:r>
          </w:p>
        </w:tc>
        <w:tc>
          <w:tcPr>
            <w:tcW w:w="9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The Company</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97"/>
              </w:rPr>
              <w:t>9</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Accounting Policies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Equity Investments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Trade Accounts Receivable, Net</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Inventories, Net</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Assets Held for Sale</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Receivables and Current Assets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Intangible Assets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17</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Other Investments and Non-Current Assets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Payables and Accrued Liabilities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19</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Post-Retirement and Other Long Term Employee Benefits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19</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Share Based Compensation</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22</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Long Term Debt and Debt Obligations to Related Parties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23</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Non Current Liabilities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24</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Shareholders’ Equity</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24</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Income and Expenses, Net</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25</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Impairment and Restructuring Charges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25</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Interest Income and Expenses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26</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Income Taxes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26</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Financial Instruments and Risk Management</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29</w:t>
            </w: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line="243" w:lineRule="exact"/>
              <w:rPr>
                <w:sz w:val="20"/>
                <w:szCs w:val="20"/>
                <w:color w:val="auto"/>
              </w:rPr>
            </w:pPr>
            <w:r>
              <w:rPr>
                <w:rFonts w:ascii="Arial" w:cs="Arial" w:eastAsia="Arial" w:hAnsi="Arial"/>
                <w:sz w:val="22"/>
                <w:szCs w:val="22"/>
                <w:color w:val="auto"/>
              </w:rPr>
              <w:t>Commitments</w:t>
            </w: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1"/>
              </w:rPr>
              <w:t>30</w:t>
            </w:r>
          </w:p>
        </w:tc>
      </w:tr>
      <w:tr>
        <w:trPr>
          <w:trHeight w:val="243"/>
        </w:trPr>
        <w:tc>
          <w:tcPr>
            <w:tcW w:w="20" w:type="dxa"/>
            <w:vAlign w:val="bottom"/>
          </w:tcPr>
          <w:p>
            <w:pPr>
              <w:spacing w:after="0"/>
              <w:rPr>
                <w:sz w:val="21"/>
                <w:szCs w:val="21"/>
                <w:color w:val="auto"/>
              </w:rPr>
            </w:pPr>
          </w:p>
        </w:tc>
        <w:tc>
          <w:tcPr>
            <w:tcW w:w="105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Related Party Transactions</w:t>
            </w:r>
          </w:p>
        </w:tc>
        <w:tc>
          <w:tcPr>
            <w:tcW w:w="9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30</w:t>
            </w:r>
          </w:p>
        </w:tc>
      </w:tr>
      <w:tr>
        <w:trPr>
          <w:trHeight w:val="275"/>
        </w:trPr>
        <w:tc>
          <w:tcPr>
            <w:tcW w:w="20" w:type="dxa"/>
            <w:vAlign w:val="bottom"/>
          </w:tcPr>
          <w:p>
            <w:pPr>
              <w:spacing w:after="0"/>
              <w:rPr>
                <w:sz w:val="23"/>
                <w:szCs w:val="23"/>
                <w:color w:val="auto"/>
              </w:rPr>
            </w:pPr>
          </w:p>
        </w:tc>
        <w:tc>
          <w:tcPr>
            <w:tcW w:w="10500" w:type="dxa"/>
            <w:vAlign w:val="bottom"/>
            <w:gridSpan w:val="2"/>
          </w:tcPr>
          <w:p>
            <w:pPr>
              <w:spacing w:after="0"/>
              <w:rPr>
                <w:sz w:val="20"/>
                <w:szCs w:val="20"/>
                <w:color w:val="auto"/>
              </w:rPr>
            </w:pPr>
            <w:r>
              <w:rPr>
                <w:rFonts w:ascii="Arial" w:cs="Arial" w:eastAsia="Arial" w:hAnsi="Arial"/>
                <w:sz w:val="22"/>
                <w:szCs w:val="22"/>
                <w:color w:val="auto"/>
              </w:rPr>
              <w:t>Subsequent Events</w:t>
            </w:r>
          </w:p>
        </w:tc>
        <w:tc>
          <w:tcPr>
            <w:tcW w:w="900" w:type="dxa"/>
            <w:vAlign w:val="bottom"/>
          </w:tcPr>
          <w:p>
            <w:pPr>
              <w:jc w:val="center"/>
              <w:spacing w:after="0"/>
              <w:rPr>
                <w:sz w:val="20"/>
                <w:szCs w:val="20"/>
                <w:color w:val="auto"/>
              </w:rPr>
            </w:pPr>
            <w:r>
              <w:rPr>
                <w:rFonts w:ascii="Arial" w:cs="Arial" w:eastAsia="Arial" w:hAnsi="Arial"/>
                <w:sz w:val="22"/>
                <w:szCs w:val="22"/>
                <w:color w:val="auto"/>
                <w:w w:val="81"/>
              </w:rPr>
              <w:t>33</w:t>
            </w:r>
          </w:p>
        </w:tc>
      </w:tr>
      <w:tr>
        <w:trPr>
          <w:trHeight w:val="819"/>
        </w:trPr>
        <w:tc>
          <w:tcPr>
            <w:tcW w:w="10500" w:type="dxa"/>
            <w:vAlign w:val="bottom"/>
            <w:gridSpan w:val="2"/>
          </w:tcPr>
          <w:p>
            <w:pPr>
              <w:jc w:val="right"/>
              <w:ind w:right="463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0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435673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356735" cy="514350"/>
                    </a:xfrm>
                    <a:prstGeom prst="rect">
                      <a:avLst/>
                    </a:prstGeom>
                    <a:noFill/>
                  </pic:spPr>
                </pic:pic>
              </a:graphicData>
            </a:graphic>
          </wp:anchor>
        </w:drawing>
      </w:r>
    </w:p>
    <w:p>
      <w:pPr>
        <w:ind w:left="8800"/>
        <w:spacing w:after="0"/>
        <w:rPr>
          <w:sz w:val="20"/>
          <w:szCs w:val="20"/>
          <w:color w:val="auto"/>
        </w:rPr>
      </w:pPr>
      <w:r>
        <w:rPr>
          <w:rFonts w:ascii="Arial" w:cs="Arial" w:eastAsia="Arial" w:hAnsi="Arial"/>
          <w:sz w:val="18"/>
          <w:szCs w:val="18"/>
          <w:color w:val="auto"/>
        </w:rPr>
        <w:t>PricewaterhouseCoopers SA</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Avenue Giuseppe-Motta 50</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Case postale 2895</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1211 Genève 2</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Phone +41 58 792 91 00</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Fax +41 58 792 91 10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 Numonyx Holdings B.V.:</w:t>
      </w:r>
    </w:p>
    <w:p>
      <w:pPr>
        <w:spacing w:after="0" w:line="200" w:lineRule="exact"/>
        <w:rPr>
          <w:sz w:val="20"/>
          <w:szCs w:val="20"/>
          <w:color w:val="auto"/>
        </w:rPr>
      </w:pPr>
    </w:p>
    <w:p>
      <w:pPr>
        <w:spacing w:after="0" w:line="27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In our opinion, the accompanying consolidated balance sheet and the related consolidated statements of operations, comprehensive loss, cash flows and changes in shareholders’ equity present fairly, in all material respects, the financial position of Numonyx Holdings B.V and its subsidiaries at December 31, 2009, and the results of its operations and its cash flows for the year ended December 31, 2009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 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SA</w:t>
      </w:r>
    </w:p>
    <w:p>
      <w:pPr>
        <w:sectPr>
          <w:pgSz w:w="11900" w:h="16838" w:orient="portrait"/>
          <w:cols w:equalWidth="0" w:num="1">
            <w:col w:w="11400"/>
          </w:cols>
          <w:pgMar w:left="240" w:top="1440" w:right="2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 Rolf Johner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 Kenneth Postal</w:t>
      </w:r>
    </w:p>
    <w:p>
      <w:pPr>
        <w:spacing w:after="0" w:line="200" w:lineRule="exact"/>
        <w:rPr>
          <w:sz w:val="20"/>
          <w:szCs w:val="20"/>
          <w:color w:val="auto"/>
        </w:rPr>
      </w:pPr>
    </w:p>
    <w:p>
      <w:pPr>
        <w:sectPr>
          <w:pgSz w:w="11900" w:h="16838" w:orient="portrait"/>
          <w:cols w:equalWidth="0" w:num="2">
            <w:col w:w="2160" w:space="720"/>
            <w:col w:w="8520"/>
          </w:cols>
          <w:pgMar w:left="240" w:top="1440"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Rolf Johner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Kenneth Postal</w:t>
      </w:r>
    </w:p>
    <w:p>
      <w:pPr>
        <w:spacing w:after="0" w:line="200" w:lineRule="exact"/>
        <w:rPr>
          <w:sz w:val="20"/>
          <w:szCs w:val="20"/>
          <w:color w:val="auto"/>
        </w:rPr>
      </w:pPr>
    </w:p>
    <w:p>
      <w:pPr>
        <w:sectPr>
          <w:pgSz w:w="11900" w:h="16838" w:orient="portrait"/>
          <w:cols w:equalWidth="0" w:num="2">
            <w:col w:w="2160" w:space="720"/>
            <w:col w:w="8520"/>
          </w:cols>
          <w:pgMar w:left="240" w:top="1440"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Geneva, February 28, 2010</w:t>
      </w:r>
    </w:p>
    <w:p>
      <w:pPr>
        <w:sectPr>
          <w:pgSz w:w="11900" w:h="16838" w:orient="portrait"/>
          <w:cols w:equalWidth="0" w:num="1">
            <w:col w:w="11400"/>
          </w:cols>
          <w:pgMar w:left="240" w:top="144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7" w:name="page8"/>
    <w:bookmarkEnd w:id="7"/>
    <w:p>
      <w:pPr>
        <w:jc w:val="center"/>
        <w:ind w:left="1983"/>
        <w:spacing w:after="0"/>
        <w:rPr>
          <w:sz w:val="20"/>
          <w:szCs w:val="20"/>
          <w:color w:val="auto"/>
        </w:rPr>
      </w:pPr>
      <w:r>
        <w:rPr>
          <w:rFonts w:ascii="Arial" w:cs="Arial" w:eastAsia="Arial" w:hAnsi="Arial"/>
          <w:sz w:val="18"/>
          <w:szCs w:val="18"/>
          <w:b w:val="1"/>
          <w:bCs w:val="1"/>
          <w:color w:val="auto"/>
        </w:rPr>
        <w:t>NUMONYX HOLDINGS B.V.</w:t>
      </w:r>
    </w:p>
    <w:p>
      <w:pPr>
        <w:spacing w:after="0" w:line="27" w:lineRule="exact"/>
        <w:rPr>
          <w:sz w:val="20"/>
          <w:szCs w:val="20"/>
          <w:color w:val="auto"/>
        </w:rPr>
      </w:pPr>
    </w:p>
    <w:p>
      <w:pPr>
        <w:jc w:val="center"/>
        <w:ind w:left="1983"/>
        <w:spacing w:after="0"/>
        <w:rPr>
          <w:sz w:val="20"/>
          <w:szCs w:val="20"/>
          <w:color w:val="auto"/>
        </w:rPr>
      </w:pPr>
      <w:r>
        <w:rPr>
          <w:rFonts w:ascii="Arial" w:cs="Arial" w:eastAsia="Arial" w:hAnsi="Arial"/>
          <w:sz w:val="17"/>
          <w:szCs w:val="17"/>
          <w:b w:val="1"/>
          <w:bCs w:val="1"/>
          <w:color w:val="auto"/>
        </w:rPr>
        <w:t>CONSOLIDATED STATEMENT OF OPERATIONS</w:t>
      </w:r>
    </w:p>
    <w:p>
      <w:pPr>
        <w:spacing w:after="0" w:line="21" w:lineRule="exact"/>
        <w:rPr>
          <w:sz w:val="20"/>
          <w:szCs w:val="20"/>
          <w:color w:val="auto"/>
        </w:rPr>
      </w:pPr>
    </w:p>
    <w:p>
      <w:pPr>
        <w:jc w:val="center"/>
        <w:ind w:left="1983"/>
        <w:spacing w:after="0"/>
        <w:rPr>
          <w:sz w:val="20"/>
          <w:szCs w:val="20"/>
          <w:color w:val="auto"/>
        </w:rPr>
      </w:pPr>
      <w:r>
        <w:rPr>
          <w:rFonts w:ascii="Arial" w:cs="Arial" w:eastAsia="Arial" w:hAnsi="Arial"/>
          <w:sz w:val="18"/>
          <w:szCs w:val="18"/>
          <w:b w:val="1"/>
          <w:bCs w:val="1"/>
          <w:color w:val="auto"/>
        </w:rPr>
        <w:t>For the year ended December 31, 2009</w:t>
      </w:r>
    </w:p>
    <w:p>
      <w:pPr>
        <w:spacing w:after="0" w:line="9" w:lineRule="exact"/>
        <w:rPr>
          <w:sz w:val="20"/>
          <w:szCs w:val="20"/>
          <w:color w:val="auto"/>
        </w:rPr>
      </w:pPr>
    </w:p>
    <w:p>
      <w:pPr>
        <w:jc w:val="center"/>
        <w:ind w:left="1983"/>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780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 and restructuring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from equity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3"/>
        <w:spacing w:after="0"/>
        <w:rPr>
          <w:sz w:val="20"/>
          <w:szCs w:val="20"/>
          <w:color w:val="auto"/>
        </w:rPr>
      </w:pPr>
      <w:r>
        <w:rPr>
          <w:rFonts w:ascii="Arial" w:cs="Arial" w:eastAsia="Arial" w:hAnsi="Arial"/>
          <w:sz w:val="18"/>
          <w:szCs w:val="18"/>
          <w:b w:val="1"/>
          <w:bCs w:val="1"/>
          <w:color w:val="auto"/>
        </w:rPr>
        <w:t>2009</w:t>
      </w:r>
    </w:p>
    <w:p>
      <w:pPr>
        <w:spacing w:after="0" w:line="256" w:lineRule="exact"/>
        <w:rPr>
          <w:sz w:val="20"/>
          <w:szCs w:val="20"/>
          <w:color w:val="auto"/>
        </w:rPr>
      </w:pPr>
    </w:p>
    <w:p>
      <w:pPr>
        <w:ind w:left="423" w:hanging="423"/>
        <w:spacing w:after="0"/>
        <w:tabs>
          <w:tab w:leader="none" w:pos="423" w:val="left"/>
        </w:tabs>
        <w:numPr>
          <w:ilvl w:val="0"/>
          <w:numId w:val="1"/>
        </w:numPr>
        <w:rPr>
          <w:rFonts w:ascii="Arial" w:cs="Arial" w:eastAsia="Arial" w:hAnsi="Arial"/>
          <w:sz w:val="17"/>
          <w:szCs w:val="17"/>
          <w:color w:val="auto"/>
        </w:rPr>
      </w:pPr>
      <w:r>
        <w:rPr>
          <w:rFonts w:ascii="Arial" w:cs="Arial" w:eastAsia="Arial" w:hAnsi="Arial"/>
          <w:sz w:val="17"/>
          <w:szCs w:val="17"/>
          <w:color w:val="auto"/>
        </w:rPr>
        <w:t>1,760,703</w:t>
      </w:r>
    </w:p>
    <w:p>
      <w:pPr>
        <w:spacing w:after="0" w:line="34" w:lineRule="exact"/>
        <w:rPr>
          <w:rFonts w:ascii="Arial" w:cs="Arial" w:eastAsia="Arial" w:hAnsi="Arial"/>
          <w:sz w:val="17"/>
          <w:szCs w:val="17"/>
          <w:color w:val="auto"/>
        </w:rPr>
      </w:pPr>
    </w:p>
    <w:p>
      <w:pPr>
        <w:ind w:left="863"/>
        <w:spacing w:after="0"/>
        <w:rPr>
          <w:rFonts w:ascii="Arial" w:cs="Arial" w:eastAsia="Arial" w:hAnsi="Arial"/>
          <w:sz w:val="17"/>
          <w:szCs w:val="17"/>
          <w:color w:val="auto"/>
        </w:rPr>
      </w:pPr>
      <w:r>
        <w:rPr>
          <w:rFonts w:ascii="Arial" w:cs="Arial" w:eastAsia="Arial" w:hAnsi="Arial"/>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423"/>
        <w:spacing w:after="0"/>
        <w:rPr>
          <w:sz w:val="20"/>
          <w:szCs w:val="20"/>
          <w:color w:val="auto"/>
        </w:rPr>
      </w:pPr>
      <w:r>
        <w:rPr>
          <w:rFonts w:ascii="Arial" w:cs="Arial" w:eastAsia="Arial" w:hAnsi="Arial"/>
          <w:sz w:val="17"/>
          <w:szCs w:val="17"/>
          <w:color w:val="auto"/>
        </w:rPr>
        <w:t>1,761,008</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(1,421,017)</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339,991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(203,599)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(273,002)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(27,404)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(163,407)</w:t>
      </w:r>
    </w:p>
    <w:p>
      <w:pPr>
        <w:spacing w:after="0" w:line="225" w:lineRule="exact"/>
        <w:rPr>
          <w:sz w:val="20"/>
          <w:szCs w:val="20"/>
          <w:color w:val="auto"/>
        </w:rPr>
      </w:pPr>
    </w:p>
    <w:p>
      <w:pPr>
        <w:jc w:val="center"/>
        <w:ind w:left="-302"/>
        <w:spacing w:after="0"/>
        <w:rPr>
          <w:sz w:val="20"/>
          <w:szCs w:val="20"/>
          <w:color w:val="auto"/>
        </w:rPr>
      </w:pPr>
      <w:r>
        <w:rPr>
          <w:rFonts w:ascii="Arial" w:cs="Arial" w:eastAsia="Arial" w:hAnsi="Arial"/>
          <w:sz w:val="16"/>
          <w:szCs w:val="16"/>
          <w:color w:val="auto"/>
        </w:rPr>
        <w:t>(74,449)</w:t>
      </w:r>
    </w:p>
    <w:p>
      <w:pPr>
        <w:spacing w:after="0" w:line="46" w:lineRule="exact"/>
        <w:rPr>
          <w:sz w:val="20"/>
          <w:szCs w:val="20"/>
          <w:color w:val="auto"/>
        </w:rPr>
      </w:pPr>
    </w:p>
    <w:p>
      <w:pPr>
        <w:jc w:val="center"/>
        <w:ind w:left="-302"/>
        <w:spacing w:after="0"/>
        <w:rPr>
          <w:sz w:val="20"/>
          <w:szCs w:val="20"/>
          <w:color w:val="auto"/>
        </w:rPr>
      </w:pPr>
      <w:r>
        <w:rPr>
          <w:rFonts w:ascii="Arial" w:cs="Arial" w:eastAsia="Arial" w:hAnsi="Arial"/>
          <w:sz w:val="18"/>
          <w:szCs w:val="18"/>
          <w:color w:val="auto"/>
        </w:rPr>
        <w:t>11,605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(226,251)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483" w:hanging="483"/>
        <w:spacing w:after="0"/>
        <w:tabs>
          <w:tab w:leader="none" w:pos="483" w:val="left"/>
        </w:tabs>
        <w:numPr>
          <w:ilvl w:val="0"/>
          <w:numId w:val="2"/>
        </w:numPr>
        <w:rPr>
          <w:rFonts w:ascii="Arial" w:cs="Arial" w:eastAsia="Arial" w:hAnsi="Arial"/>
          <w:sz w:val="16"/>
          <w:szCs w:val="16"/>
          <w:color w:val="auto"/>
        </w:rPr>
      </w:pPr>
      <w:r>
        <w:rPr>
          <w:rFonts w:ascii="Arial" w:cs="Arial" w:eastAsia="Arial" w:hAnsi="Arial"/>
          <w:sz w:val="16"/>
          <w:szCs w:val="16"/>
          <w:color w:val="auto"/>
        </w:rPr>
        <w:t>(246,780)</w:t>
      </w:r>
    </w:p>
    <w:p>
      <w:pPr>
        <w:spacing w:after="0" w:line="222" w:lineRule="exact"/>
        <w:rPr>
          <w:sz w:val="20"/>
          <w:szCs w:val="20"/>
          <w:color w:val="auto"/>
        </w:rPr>
      </w:pPr>
    </w:p>
    <w:p>
      <w:pPr>
        <w:sectPr>
          <w:pgSz w:w="11900" w:h="16838" w:orient="portrait"/>
          <w:cols w:equalWidth="0" w:num="2">
            <w:col w:w="9457" w:space="720"/>
            <w:col w:w="1203"/>
          </w:cols>
          <w:pgMar w:left="240" w:top="513" w:right="279" w:bottom="1440" w:gutter="0" w:footer="0" w:header="0"/>
        </w:sect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80" w:type="dxa"/>
            <w:vAlign w:val="bottom"/>
          </w:tcPr>
          <w:p>
            <w:pPr>
              <w:jc w:val="center"/>
              <w:ind w:left="2110"/>
              <w:spacing w:after="0"/>
              <w:rPr>
                <w:sz w:val="20"/>
                <w:szCs w:val="20"/>
                <w:color w:val="auto"/>
              </w:rPr>
            </w:pPr>
            <w:r>
              <w:rPr>
                <w:rFonts w:ascii="Arial" w:cs="Arial" w:eastAsia="Arial" w:hAnsi="Arial"/>
                <w:sz w:val="18"/>
                <w:szCs w:val="18"/>
                <w:b w:val="1"/>
                <w:bCs w:val="1"/>
                <w:color w:val="auto"/>
              </w:rPr>
              <w:t>NUMONYX HOLDINGS B.V.</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CONSOLIDATED STATEMENT OF COMPREHENSIVE LOSS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For the year ended December 31, 2009</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In Thousands of US Dollars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comprehensive (loss) / income, net of tax:</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Defined benefit pension plans: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during the period</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comprehensive (loss) / income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40" w:type="dxa"/>
            <w:vAlign w:val="bottom"/>
          </w:tcPr>
          <w:p>
            <w:pPr>
              <w:jc w:val="center"/>
              <w:ind w:left="1450"/>
              <w:spacing w:after="0"/>
              <w:rPr>
                <w:sz w:val="20"/>
                <w:szCs w:val="20"/>
                <w:color w:val="auto"/>
              </w:rPr>
            </w:pPr>
            <w:r>
              <w:rPr>
                <w:rFonts w:ascii="Arial" w:cs="Arial" w:eastAsia="Arial" w:hAnsi="Arial"/>
                <w:sz w:val="18"/>
                <w:szCs w:val="18"/>
                <w:b w:val="1"/>
                <w:bCs w:val="1"/>
                <w:color w:val="auto"/>
              </w:rPr>
              <w:t>NUMONYX HOLDINGS B.V.</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As of December 31, 2009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4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In Thousands of US dollars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2,521,562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Debt obligations to related parties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to related parties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Pension liability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Common stock (Ordinary shares: 250,000,000 shares authorized, 210,700,758 shares issued)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332,703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(Preferred A shares: 14,204,545 shares authorized and issued, Preferred A-1 shares: 142,045 shares authorized, none</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issued)</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(517,601)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NUMONYX HOLDINGS B.V.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w:t>
      </w:r>
    </w:p>
    <w:p>
      <w:pPr>
        <w:spacing w:after="0" w:line="234" w:lineRule="exact"/>
        <w:rPr>
          <w:sz w:val="20"/>
          <w:szCs w:val="20"/>
          <w:color w:val="auto"/>
        </w:rPr>
      </w:pPr>
    </w:p>
    <w:p>
      <w:pPr>
        <w:jc w:val="right"/>
        <w:ind w:right="460"/>
        <w:spacing w:after="0"/>
        <w:rPr>
          <w:sz w:val="20"/>
          <w:szCs w:val="20"/>
          <w:color w:val="auto"/>
        </w:rPr>
      </w:pP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loss to cash flows generated from / (used in) 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debt guarantees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deferred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from equity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 and restructuring charges, net of cash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non-cash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Trade accounts receivable,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Trade accounts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generated from /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Payment for purchase of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sales of 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restricted cash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Repayments of debt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cash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the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jc w:val="right"/>
        <w:ind w:right="557"/>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483" w:hanging="483"/>
        <w:spacing w:after="0"/>
        <w:tabs>
          <w:tab w:leader="none" w:pos="483" w:val="left"/>
        </w:tabs>
        <w:numPr>
          <w:ilvl w:val="0"/>
          <w:numId w:val="3"/>
        </w:numPr>
        <w:rPr>
          <w:rFonts w:ascii="Arial" w:cs="Arial" w:eastAsia="Arial" w:hAnsi="Arial"/>
          <w:sz w:val="16"/>
          <w:szCs w:val="16"/>
          <w:color w:val="auto"/>
        </w:rPr>
      </w:pPr>
      <w:r>
        <w:rPr>
          <w:rFonts w:ascii="Arial" w:cs="Arial" w:eastAsia="Arial" w:hAnsi="Arial"/>
          <w:sz w:val="16"/>
          <w:szCs w:val="16"/>
          <w:color w:val="auto"/>
        </w:rPr>
        <w:t>(246,780)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243,048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36,999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32,475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(11,605)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17,942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6,445</w:t>
      </w:r>
    </w:p>
    <w:p>
      <w:pPr>
        <w:spacing w:after="0" w:line="21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57,163</w:t>
      </w:r>
    </w:p>
    <w:p>
      <w:pPr>
        <w:spacing w:after="0" w:line="23" w:lineRule="exact"/>
        <w:rPr>
          <w:sz w:val="20"/>
          <w:szCs w:val="20"/>
          <w:color w:val="auto"/>
        </w:rPr>
      </w:pPr>
    </w:p>
    <w:p>
      <w:pPr>
        <w:ind w:left="643"/>
        <w:spacing w:after="0"/>
        <w:rPr>
          <w:sz w:val="20"/>
          <w:szCs w:val="20"/>
          <w:color w:val="auto"/>
        </w:rPr>
      </w:pPr>
      <w:r>
        <w:rPr>
          <w:rFonts w:ascii="Arial" w:cs="Arial" w:eastAsia="Arial" w:hAnsi="Arial"/>
          <w:sz w:val="18"/>
          <w:szCs w:val="18"/>
          <w:color w:val="auto"/>
        </w:rPr>
        <w:t>71,140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(30,901)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(24,075)</w:t>
      </w:r>
    </w:p>
    <w:p>
      <w:pPr>
        <w:spacing w:after="0" w:line="22" w:lineRule="exact"/>
        <w:rPr>
          <w:sz w:val="20"/>
          <w:szCs w:val="20"/>
          <w:color w:val="auto"/>
        </w:rPr>
      </w:pPr>
    </w:p>
    <w:p>
      <w:pPr>
        <w:ind w:left="543"/>
        <w:spacing w:after="0"/>
        <w:rPr>
          <w:sz w:val="20"/>
          <w:szCs w:val="20"/>
          <w:color w:val="auto"/>
        </w:rPr>
      </w:pPr>
      <w:r>
        <w:rPr>
          <w:rFonts w:ascii="Arial" w:cs="Arial" w:eastAsia="Arial" w:hAnsi="Arial"/>
          <w:sz w:val="18"/>
          <w:szCs w:val="18"/>
          <w:color w:val="auto"/>
        </w:rPr>
        <w:t>152,673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(66,907)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(81,617)</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w:t>
      </w:r>
    </w:p>
    <w:p>
      <w:pPr>
        <w:spacing w:after="0" w:line="252" w:lineRule="exact"/>
        <w:rPr>
          <w:sz w:val="20"/>
          <w:szCs w:val="20"/>
          <w:color w:val="auto"/>
        </w:rPr>
      </w:pPr>
    </w:p>
    <w:p>
      <w:pPr>
        <w:ind w:left="643" w:hanging="643"/>
        <w:spacing w:after="0"/>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70,169</w:t>
      </w:r>
    </w:p>
    <w:p>
      <w:pPr>
        <w:spacing w:after="0" w:line="23"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476,810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43" w:hanging="543"/>
        <w:spacing w:after="0"/>
        <w:tabs>
          <w:tab w:leader="none" w:pos="543" w:val="left"/>
        </w:tabs>
        <w:numPr>
          <w:ilvl w:val="0"/>
          <w:numId w:val="5"/>
        </w:numPr>
        <w:rPr>
          <w:rFonts w:ascii="Arial" w:cs="Arial" w:eastAsia="Arial" w:hAnsi="Arial"/>
          <w:sz w:val="18"/>
          <w:szCs w:val="18"/>
          <w:color w:val="auto"/>
        </w:rPr>
      </w:pPr>
      <w:r>
        <w:rPr>
          <w:rFonts w:ascii="Arial" w:cs="Arial" w:eastAsia="Arial" w:hAnsi="Arial"/>
          <w:sz w:val="18"/>
          <w:szCs w:val="18"/>
          <w:color w:val="auto"/>
        </w:rPr>
        <w:t>546,979</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(22,040)</w:t>
      </w:r>
    </w:p>
    <w:p>
      <w:pPr>
        <w:spacing w:after="0" w:line="644" w:lineRule="exact"/>
        <w:rPr>
          <w:sz w:val="20"/>
          <w:szCs w:val="20"/>
          <w:color w:val="auto"/>
        </w:rPr>
      </w:pPr>
    </w:p>
    <w:p>
      <w:pPr>
        <w:sectPr>
          <w:pgSz w:w="11900" w:h="16838" w:orient="portrait"/>
          <w:cols w:equalWidth="0" w:num="2">
            <w:col w:w="9457" w:space="720"/>
            <w:col w:w="1203"/>
          </w:cols>
          <w:pgMar w:left="240" w:top="513" w:right="279" w:bottom="1440" w:gutter="0" w:footer="0" w:header="0"/>
          <w:type w:val="continuous"/>
        </w:sect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NUMONYX HOLDINGS B.V.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2009 and nine month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Preferred</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Preferred</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Paid in</w:t>
            </w:r>
          </w:p>
        </w:tc>
        <w:tc>
          <w:tcPr>
            <w:tcW w:w="1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(Shares)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color w:val="auto"/>
              </w:rPr>
              <w:t>Balance at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332,703</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210,700,758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14,204,545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1,420,244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(246,780)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(246,780)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332,703</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210,700,758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22,429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14,204,545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1,420,244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(517,601)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1,260,702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NUMONYX HOLDINGS B.V. 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Numonyx Holdings B.V. (“Numonyx” or “the Company”) is a global manufacturer of non-volatile memory solutions (also commonly referred to as flash memory products). Numonyx focuses on supplying non-volatile memory solutions for a variety of consumer and industrial devices including cellular phones, MP3 players, digital cameras, computers and other high-tech equipment. The Company was formed in 2008 to be the holding company for the combination of the entire flash memory business of ST Microelectronics (‘STM’), of part of the NOR flash memory business of Intel Corporation (‘Intel’), and a cash investment from a private equity firm, Francisco Partners (‘FP’). STM, Intel and FP own 48.6%, 45.1% and 6.3% voting ownership in Numonyx, respectively.</w:t>
      </w:r>
    </w:p>
    <w:p>
      <w:pPr>
        <w:spacing w:after="0" w:line="2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Since the Company’s formation, to support the establishment and stabilization of Numonyx, STM and Intel provided certain services to Numonyx including supply chain, procurement, site manufacturing, information technology, human resource, and finance &amp; accounting services. Numonyx compensated STM and Intel for such services in accordance with the terms of the ‘Transition Services Agreements’ which govern the provision of these services. Details of these transactions are included within Note 23, ‘Related Party Transactions’, in the consolidated financial statements.</w:t>
      </w:r>
    </w:p>
    <w:p>
      <w:pPr>
        <w:spacing w:after="0" w:line="19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In accordance with US GAAP, the formation of Numonyx was considered a business combination and STM was considered the accounting acquirer. The impact of this determination is that Numonyx recorded assets contributed by STM at net book value, and assets contributed by Intel at fair market value.</w:t>
      </w:r>
    </w:p>
    <w:p>
      <w:pPr>
        <w:spacing w:after="0" w:line="15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March 30, 2008 the Company acquired the contributed NOR flash business of Intel in exchange for a 45.1% equity interest in the Company, representing 101,436,851 ordinary shares of Numonyx Holdings B.V. and an interest-bearing long-term loan note in the principal amount of $144.4 million. The results of these operations have been included in the consolidated financial statements since that date.</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aggregate purchase price of the business from Intel was $822 million. The value of the business was determined based on third party valuations of the contributed business performed using a combination of discounted cash flows and market comparable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the fair values of the assets acquired and liabilities assumed at the date of acquisition.</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At March 30, 2008 (In Millions)</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Inventory</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favorable operating lease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Liabilities assumed</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Of the $114 million of acquired intangible assets, $5 million was assigned to research and development assets that were written off at the date of acquisition in accordance with US GAAP. Those write-offs are included in research and development expenses. The remaining $109 million of acquired intangible assets have a weighted-average useful life of approximately 3 years. The intangible assets that make up that amount include a loan guarantee of $79 million (4-year useful life), supply agreement of $19 million (9-month useful life) and product and process technology of $11 million (3-year and 7-year useful lives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was no goodwill associated with this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ACCOUNTING POLICIES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accounting policies of the Company conform to accounting principles generally accepted in the United States of America (“U.S. GAAP”). All balances and values in the current period are shown in thousands of US dollars unless otherwise stated.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 Principles of Consolidation</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consolidated financial statements include the accounts of Numonyx Holdings B.V. and its wholly owned subsidiaries. Intercompany accounts and transactions have been eliminated. The Company uses the equity method to account for equity investments in instances in which it owns common stock or similar interests and has the ability to exercise significant influence, but not control, over the investee. The Company’s share in its equity investment’s profit and loss is recognized in the consolidated statement of operations as ‘Income from equity investment’ and in the consolidated balance sheet as an adjustment against the carrying amount of the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 Use of Estimates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consolidated financial statements and disclosures in conformity with U.S. GAAP requires management to make estimates and assumptions that affect the reported amounts of assets and liabilities, and revenues and expenses during the reporting period. The primary areas that require significant estimates and judgments by management include sales returns and allowances, allowance for doubtful accounts, inventory reserves and normal manufacturing thresholds to determine costs capitalized in inventory, restructuring charges, assumptions used in calculating pension obligations and deferred income tax assets and liabilities including required valuation allowances. The actual results experienced by the Company could differ materially and adversely from management’s estima 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 Foreign Currency</w:t>
      </w:r>
    </w:p>
    <w:p>
      <w:pPr>
        <w:spacing w:after="0" w:line="2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The U.S. dollar is the reporting currency of the Company. The U.S. dollar is the currency of the primary economic environment in which the Company operates since the worldwide semiconductor industry uses the dollar as a currency of reference for actual pricing in the market. The U.S. dollar is the functional currency for the Company and its subsidiaries. The Company’s equity investment has a functional currency other than the US dollar. Monetary transactions and accounts denominated in non-U.S. currencies, such as cash or payables to vendors, have been remeasured to the U.S. dollar at current exchange rates; non-monetary items such as inventory and fixed and intangible assets, are remeasured at historical exchange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 Revenue Recognition</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U.S. GAAP, revenue from products sold to customers is recognized when all of the following conditions have been met: (a) persuasive evidence of an arrangement exists; (b) delivery has occurred; (c) selling price is fixed or determinable; and (d) collection is reasonably assured. This usually occurs at the time of shipment except for sales to certain distribution customers.</w:t>
      </w:r>
    </w:p>
    <w:p>
      <w:pPr>
        <w:spacing w:after="0" w:line="2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2008, STM and Intel sold products to, and invoiced customers on behalf of the Company. Billings and related returns and provisions information was then communicated to the Company and recorded in the Company’s financial systems. Revenue was therefore generated in accordance with the terms and conditions of sale of STM and Intel, and recognized in accordance with STM and Intel’s existing policies and procedures. In December 2008, the arrangement with STM ceased and Numonyx began to bill customers directly, in accordance with the Company’s own established terms and conditions.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2009, in addition to revenue generated directly by Numonyx, Intel continued to sell products to customers, invoice customers and collect monies due from customers on behalf of the Company. Billings and related returns and provisions information was then communicated to the Company and recorded in the Company’s financial systems. The revenue generated through Intel continued to be generated in accordance with the terms and conditions of sale of Intel, and therefore continued to be recognized in accordance with Intel’s existing policies and procedures. Differences exist between Numonyx terms and conditions of sale and those of Intel. These are described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right="100" w:firstLine="324"/>
        <w:spacing w:after="0" w:line="291" w:lineRule="auto"/>
        <w:rPr>
          <w:sz w:val="20"/>
          <w:szCs w:val="20"/>
          <w:color w:val="auto"/>
        </w:rPr>
      </w:pPr>
      <w:r>
        <w:rPr>
          <w:rFonts w:ascii="Arial" w:cs="Arial" w:eastAsia="Arial" w:hAnsi="Arial"/>
          <w:sz w:val="16"/>
          <w:szCs w:val="16"/>
          <w:color w:val="auto"/>
        </w:rPr>
        <w:t>Consistent with standard business practice in the memory industry, price protection is granted to distribution customers on their existing inventory of the Company’s products to compensate them for declines in market prices. For revenue generated directly by Numonyx to distribution customers which relates primarily to revenues assumed from the legacy STM business, revenue is recorded when inventory is shipped. At the time revenue is recorded, the Company records estimated reductions to sales based upon historical experience of product returns, and the impact of price protection. In order to make such estimates, the Company analyzes historical returns, current economic conditions, customer demand and any relevant specific customer information. If the Company is unable to reasonably estimate the level of product returns or other revenue allowances, it could have a significant impact on revenue recognition, potentially requiring deferral of the recognition of additional sales until customers sell the products to their end customers.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revenue generated through Intel for distribution customers, the Company is unable to reasonably estimate the level of product returns and the impact of price protection based on the terms and conditions of arrangements entered into between Intel and our customers. The Company defers revenue and its related cost of sales, under agreements allowing price protection and /or right of return until the distributors sell the merchandise to their end customers. The net amount is recorded as deferred income on shipments to distributors and is included within ‘Other payables and accrued liabilities’ in the consolidated balance sheet.</w:t>
      </w: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Pricing allowances, including discounts based on contractual arrangements with customers, are recorded when revenue is recorded as a reduction to both accounts receivable and revenue.</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customers occasionally return products for technical reasons. The Company’s standard terms and conditions of sale provide that, if the Company determines that the products are non-conforming, the Company will repair or replace the non-conforming products, or issue a credit or rebate of the purchase price. The Company estimates returns at the time of sale and records the accrued amounts as a reduction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includes shipping charges billed to customers in net sales, and includes the related shipping costs in cost of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2.5 - Other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sales of materials or scrap product.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2.6 - Research and Development</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Research and development costs are charged to expense as incurred. The amortization recognized on technologies and licenses acquired to facilitate the Company’s research is recorded as research and development expenses. Funding for research and development is obtained from governmental agencies and the amounts are recorded as a reduction to research and development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2.7 - Property, Plant and Equipment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Property, plant, and equipment contributed from STM and Intel upon the formation of the Company were initially stated at carrying value for the assets contributed by STM, and at fair value for the assets contributed by Intel, consistent with the treatment of the formation of the Company as a business combination in accordance with U.S. GAAP and with the determination of STM being the accounting acquirer in the business combination. These assets are being depreciated over their respective remaining useful lives at the time of the transaction. Property, plant and equipment purchased since the formation of the Company are stated at historical cost.</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Additions and major improvements are capitalized, minor replacements and repairs and maintenance are charged to operations in the period in which they are incurred.</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Land is not depreciated. Depreciation on fixed assets acquired after the formation of the Company is computed using the straight-line method over the following estimated useful lives: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7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Buildings</w:t>
            </w:r>
          </w:p>
        </w:tc>
        <w:tc>
          <w:tcPr>
            <w:tcW w:w="50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33 years</w:t>
            </w:r>
          </w:p>
        </w:tc>
      </w:tr>
      <w:tr>
        <w:trPr>
          <w:trHeight w:val="193"/>
        </w:trPr>
        <w:tc>
          <w:tcPr>
            <w:tcW w:w="4700" w:type="dxa"/>
            <w:vAlign w:val="bottom"/>
            <w:tcBorders>
              <w:bottom w:val="single" w:sz="8" w:color="auto"/>
            </w:tcBorders>
          </w:tcPr>
          <w:p>
            <w:pPr>
              <w:ind w:left="20"/>
              <w:spacing w:after="0" w:line="193" w:lineRule="exact"/>
              <w:rPr>
                <w:sz w:val="20"/>
                <w:szCs w:val="20"/>
                <w:color w:val="auto"/>
              </w:rPr>
            </w:pPr>
            <w:r>
              <w:rPr>
                <w:rFonts w:ascii="Arial" w:cs="Arial" w:eastAsia="Arial" w:hAnsi="Arial"/>
                <w:sz w:val="18"/>
                <w:szCs w:val="18"/>
                <w:color w:val="auto"/>
              </w:rPr>
              <w:t>Facilities and Leasehold Improvements</w:t>
            </w:r>
          </w:p>
        </w:tc>
        <w:tc>
          <w:tcPr>
            <w:tcW w:w="502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5-10 years</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Machinery and Equipment</w:t>
            </w:r>
          </w:p>
        </w:tc>
        <w:tc>
          <w:tcPr>
            <w:tcW w:w="50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 years</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Computer and Research &amp; Development Equipment</w:t>
            </w:r>
          </w:p>
        </w:tc>
        <w:tc>
          <w:tcPr>
            <w:tcW w:w="50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 years</w:t>
            </w:r>
          </w:p>
        </w:tc>
      </w:tr>
      <w:tr>
        <w:trPr>
          <w:trHeight w:val="844"/>
        </w:trPr>
        <w:tc>
          <w:tcPr>
            <w:tcW w:w="4700" w:type="dxa"/>
            <w:vAlign w:val="bottom"/>
          </w:tcPr>
          <w:p>
            <w:pPr>
              <w:spacing w:after="0"/>
              <w:rPr>
                <w:sz w:val="24"/>
                <w:szCs w:val="24"/>
                <w:color w:val="auto"/>
              </w:rPr>
            </w:pPr>
          </w:p>
        </w:tc>
        <w:tc>
          <w:tcPr>
            <w:tcW w:w="5020" w:type="dxa"/>
            <w:vAlign w:val="bottom"/>
          </w:tcPr>
          <w:p>
            <w:pPr>
              <w:jc w:val="right"/>
              <w:ind w:right="3830"/>
              <w:spacing w:after="0"/>
              <w:rPr>
                <w:sz w:val="20"/>
                <w:szCs w:val="20"/>
                <w:color w:val="auto"/>
              </w:rPr>
            </w:pPr>
            <w:r>
              <w:rPr>
                <w:rFonts w:ascii="Arial" w:cs="Arial" w:eastAsia="Arial" w:hAnsi="Arial"/>
                <w:sz w:val="18"/>
                <w:szCs w:val="18"/>
                <w:color w:val="auto"/>
              </w:rPr>
              <w:t>11</w:t>
            </w:r>
          </w:p>
        </w:tc>
        <w:tc>
          <w:tcPr>
            <w:tcW w:w="1700" w:type="dxa"/>
            <w:vAlign w:val="bottom"/>
          </w:tcPr>
          <w:p>
            <w:pPr>
              <w:spacing w:after="0"/>
              <w:rPr>
                <w:sz w:val="24"/>
                <w:szCs w:val="24"/>
                <w:color w:val="auto"/>
              </w:rPr>
            </w:pPr>
          </w:p>
        </w:tc>
      </w:tr>
      <w:tr>
        <w:trPr>
          <w:trHeight w:val="118"/>
        </w:trPr>
        <w:tc>
          <w:tcPr>
            <w:tcW w:w="470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80" w:firstLine="270"/>
        <w:spacing w:after="0" w:line="297" w:lineRule="auto"/>
        <w:rPr>
          <w:sz w:val="20"/>
          <w:szCs w:val="20"/>
          <w:color w:val="auto"/>
        </w:rPr>
      </w:pPr>
      <w:r>
        <w:rPr>
          <w:rFonts w:ascii="Arial" w:cs="Arial" w:eastAsia="Arial" w:hAnsi="Arial"/>
          <w:sz w:val="16"/>
          <w:szCs w:val="16"/>
          <w:color w:val="auto"/>
        </w:rPr>
        <w:t>Reviews are performed if facts and circumstances indicate that the carrying amount of assets may not be recoverable or that the useful life is shorter than originally estimated. If an impairment indicator exists, the Company assesses the recoverability of its assets held for use by comparing the projected undiscounted net cash flows associated with the related asset or group of assets over their remaining estimated useful lives against their respective carrying amounts. Impairment, if any, is measured on the excess of the carrying amount over the fair value of those assets. If the Company determines that the useful lives are shorter than originally estimated, the net book values of the assets are depreciated prospectively over the newly determined remaining useful l ives.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Property, plant and equipment is reclassified as held for sale and depreciation ceases to be recorded when an asset or asset group meets the held for sale criteria as defined under U.S. GAAP. An impairment charge may be taken against the assets if the estimated selling price is less than the carrying value of the assets.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property, plant and equipment are retired, sold, or otherwise disposed of, the net book value of the assets is removed from the Company’s books and the net gain or loss is included in ‘Other income and expenses, net’ in the consolidated statement of operations.</w:t>
      </w:r>
    </w:p>
    <w:p>
      <w:pPr>
        <w:spacing w:after="0" w:line="19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Leasing agreements in which a significant portion of the risks and rewards of ownership are retained by the Company are classified as finance leases. These leases are included in ‘Property, Plant and Equipment’ and depreciated over the shorter of the estimated useful life or the lease term. Leasing agreements classified as operating leases are arrangements in which the lessor retains a significant portion of the risks and rewards of ownership of the leased asset. Payments made under operating leases are charged to the consolidated statement of operations on a straight-line basis over the period of the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2.8 - Inventories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Inventories are stated at the lower of cost or net realizable value. Cost is based on the weighted average cost by adjusting standard cost to approximate actual manufacturing costs over the average period of inventory holding; the cost is therefore dependent on the Company’s manufacturing performance. In the case of underutilization of manufacturing facilities, the costs associated with the excess capacity are not included in the valuation of inventories but charged directly to cost of sales in the period incurred. Net realizable value is the estimated selling price in the ordinary course of business, less applicable variable selling expenses.</w:t>
      </w:r>
    </w:p>
    <w:p>
      <w:pPr>
        <w:spacing w:after="0" w:line="21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continuously evaluates the net realizable value of inventory and writes off inventory which has the characteristics of slow-moving, old production date and technical obsolescence. Additionally, the Company evaluates product inventory to identify obsolete or slow-selling stock and records a specific provision if the Company estimates the inventory will eventually become obsolete. Provisions for obsolescence are estimated for excess uncommitted inventory based on the previous quarter and anticipated future sales, order backlog and production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2.9 - Income Taxes</w:t>
      </w:r>
    </w:p>
    <w:p>
      <w:pPr>
        <w:spacing w:after="0" w:line="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The provision for incomes taxes represents the income taxes expected to be paid or the benefit expected to be received related to the current year income or loss in each tax jurisdiction. Deferred tax assets and liabilities are recorded for all temporary differences arising between the tax and book basis of assets and liabilities and for the benefits of tax credits and operating loss carryforwards. Deferred income tax is determined using tax rates and laws that are enacted on the balance sheet date and that are expected to apply when the related deferred income tax asset is realized or the deferred income tax liability is settled.</w:t>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Deferred income tax assets are recognized in full but the Company assesses whether it is more likely than not that future taxable profit will be available ag ainst which the temporary differences will be utilized. A valuation allowance is provided where necessary to reduce deferred tax assets to the amount for which management considers the possibility of recovery to be more likely than not.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2.10 -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represent cash on hand with external financial institutions with an original maturity of less than ninety days.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2.11 - Restricted Cash</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Restricted cash includes collateral deposits used as security for the provision of certain services to the Company, lease deposits on office space and deposits required by customs authorities. The restricted cash is held in highly liquid funds placed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2.12 - Trade Accounts Receivable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Trade accounts receivable are recognized at their sales value, net of allowances for doubtful accounts and sales returns. The Company maintains an allowance for doubtful accounts for potential estimated losses resulting from its customers’ inability to make required payments. The Company bases its estimates on historical collection trends and records a provision accordingly. When a trade receivable is uncollectible, it is written-off against the allowance account for trade receivables. Subsequent recoveries, if any, of amounts previously written-off are credited against ‘Selling, general and administrative expenses’ in the consolidated statement of operations.</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revenue generated directly by Numonyx, during 2009 Intel sold products to customers, invoiced customers and collected monies due from customers on behalf of the Company, under the terms of the Transition Services Agreement between Numonyx and Intel. Trade accounts receivable disclosed on the balance sheet related to revenue generated by Intel represent monies owed from end customers which have not been collected by Intel, and therefore not yet remitted to Numonyx.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2.13 -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Details of intangible assets held by the Company, and the related amortization periods, are detailed below:</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Loan guarantees</w:t>
            </w: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4 years</w:t>
            </w:r>
          </w:p>
        </w:tc>
      </w:tr>
      <w:tr>
        <w:trPr>
          <w:trHeight w:val="193"/>
        </w:trPr>
        <w:tc>
          <w:tcPr>
            <w:tcW w:w="974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Loan arrangement fees</w:t>
            </w:r>
          </w:p>
        </w:tc>
        <w:tc>
          <w:tcPr>
            <w:tcW w:w="16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4 years</w:t>
            </w:r>
          </w:p>
        </w:tc>
      </w:tr>
      <w:tr>
        <w:trPr>
          <w:trHeight w:val="210"/>
        </w:trPr>
        <w:tc>
          <w:tcPr>
            <w:tcW w:w="9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Contributed technology</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 years</w:t>
            </w:r>
          </w:p>
        </w:tc>
      </w:tr>
      <w:tr>
        <w:trPr>
          <w:trHeight w:val="210"/>
        </w:trPr>
        <w:tc>
          <w:tcPr>
            <w:tcW w:w="9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Software and licenses</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3-5 years</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intangible assets subject to amortization is evaluated whenever changes in circumstances indicate that the carrying amount may not be recoverable.</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evaluates the remaining useful life of intangible assets at each reporting period to determine whether events and circumstances warrant a revision to the remaining period of amortization.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2.14 - Employee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Obligations</w:t>
      </w:r>
    </w:p>
    <w:p>
      <w:pPr>
        <w:spacing w:after="0" w:line="2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The Company sponsors various pension schemes for its employees. These schemes conform to local regulations and practices in the countries in which the Company operates. They are generally funded through payments to insurance companies or trustee-administered funds, determined by periodic actuarial calculations. Such plans include both defined benefit and defined contribution plans. A defined benefit plan is a pension plan that defines the amount of pension benefit that an employee will receive on retirement, usually dependent on one or more factors such as age, years of service and compensation. A defined contribution plan is a pension plan under which the Company pays fixed contributions into a separate entity. The Company has no legal or constructive obligations to pay further contri butions for a defined contribution plan if the fund does not hold sufficient assets to pay all employees the benefits relating to employee service in the current and prior periods.</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accounts for the overfunded and underfunded status of defined benefit plans in its consolidated financial statements as at December 31, 2009. The overfunded or underfunded status of the defined benefit plans are calculated as the difference between the fair value of plan assets and the projected benefit obligations.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defined contribution plans, the Company pays contributions to publicly or privately administered pension insurance plans on a mandatory, contractual or voluntary basis. The Company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Benefits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Termination benefits are payable when an employee is involuntarily terminated, or whenever an employee accepts voluntary termination in exchange for these benefits. All termination benefits payable by the Company relate to one-time benefit arrangements. A one time benefit arrangement is one that is established by a termination plan that applies to a specified termination event or for a specified future period. These one-time involuntary termination benefits are recognized as a liability when the termination plan meets certain criteria and has been communicated to employees.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During 2008, an equity incentive plan was established by the Company but no equity grants were made. During 2009, the first restricted stock unit grants were issued from the plan. Under the terms of the plan, vesting is contingent upon a qualified public offering of shares in the Company, or other change in control of the Company occurring. As at December 31, 2009, a qualified public offering was not imminent and a change in control of the Company was not considered probable and therefore no stock based compensation expense has been recorded in the consolidated statement of operations for the year ended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2.15 - Long Term Debt and Debt Obligations to Related Parties</w:t>
      </w:r>
    </w:p>
    <w:p>
      <w:pPr>
        <w:spacing w:after="0" w:line="2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Bank loans are recognized at historical cost. Debt obligations to related parties relate to long-term loan notes issued to shareholders in partial consideration for the assets contributed upon the formation of Numonyx, plus the interest accrued to date. The bank loan is classified as a long term liability as it is not repayable, either in part or fully, before December 31, 2010. The element of debt obligations to related parties which is expected to be repaid before December 31, 2010 is classified as a short term liability, the remainder are classified as long term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2.16 - Share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and preference shares are classified as equity.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2.17 - Comprehensive Income (Loss)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Comprehensive income (loss) is defined as the change in equity of a business during a period except those changes resulting from investment by or distributions to shareholders. In the accompanying consolidated financial statements, ‘Accumulated other comprehensive loss’ consists of the after tax effects of foreign currency translation adjustments relating to the Company’s equity investment and the impact of recognizing the underfunded status of defined benefit plans.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2.18 - Recent Accounting Pronouncements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June 2009, the Financial Accounting Standards Board (“FASB”) issued ASC 810 (originally issued as SFAS No. 167, “Amendments to FASB Interpretation No. 46(R)”. Among other items, ASC 810 responds to concerns about the application of certain key provisions of FIN 46(R), including those regarding the transparency of the involvement with variable interest entities. ASC 810 is effective for calendar year companies beginning on January 1, 2010. The Company does not believe the adoption of ASC 810 will have a significant impact on its financial position, results of operations, cash flows, or disclosures.</w:t>
      </w:r>
    </w:p>
    <w:p>
      <w:pPr>
        <w:spacing w:after="0" w:line="21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September 23, 2009, the FASB ratified Emerging Issues Task Force Issue No. 08-1, “Revenue Arrangements with Multiple Deliverables” (EITF 08-1). EITF 08-1 updates the current guidance pertaining to multiple-element revenue arrangements included in ASC Subtopic 605-25, which originated primarily from EITF 00-21, also titled “Revenue Arrangements with Multiple Deliverables.” EITF 08-1 will be effective for annual reporting periods beginning January 1, 2011 for calendar-year entities. The Company does not believe the adoption of EITF 08-1 will have a significant impact on its financial position, results of operations, cash flows, or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through February 28, 2010, the date the Company’s consolidated financial statements were issued.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 INVESTMENT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Hynix Numonyx Semiconductor Ltd.</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the formation of Numonyx, STM transferred a 17% equity interest it had in a venture which it established with Hynix Semiconductor Inc. This venture was originally established in 2004 via a signed agreement between STM and Hynix Semiconductor Inc. to build a front-end memory-manufacturing facility in Wuxi City, Jiangsu Province, China. Upon transfer of the interest to Numonyx, the venture was renamed Hynix Numonyx Semiconductor Ltd.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ind w:right="40" w:firstLine="324"/>
        <w:spacing w:after="0" w:line="255" w:lineRule="auto"/>
        <w:rPr>
          <w:sz w:val="20"/>
          <w:szCs w:val="20"/>
          <w:color w:val="auto"/>
        </w:rPr>
      </w:pPr>
      <w:r>
        <w:rPr>
          <w:rFonts w:ascii="Arial" w:cs="Arial" w:eastAsia="Arial" w:hAnsi="Arial"/>
          <w:sz w:val="18"/>
          <w:szCs w:val="18"/>
          <w:color w:val="auto"/>
        </w:rPr>
        <w:t>Numonyx’ equity interest in the venture decreased to 16% during the fourth quarter of 2008, due to an additional investment made by a new investor in the venture, Hynix Semiconductor Wuxi Ltd. Since then, Numonyx has invested an additional $100 million in the joint venture ($50 million investment made in both 2008 and 2009) to increase the Company’s equity interest. However, at the balance sheet date, Numonyx had not received final approval from the Chinese authorities for these increases in equity investment. As such, the $100 million investment is recorded as a long term prepayment within ‘Other non-current assets’ in the consolidated balance sheet. Once approval is obtained, the investment will be recorded as an increase to ‘Equity investment’, and Numonyx’ interest will increase to 21%.&lt; /font&gt;</w:t>
      </w:r>
    </w:p>
    <w:p>
      <w:pPr>
        <w:spacing w:after="0" w:line="19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Under the terms of the joint venture, Numonyx has the option to purchase from Hynix Semiconductor Inc. an additional $150 million in share capital to increase the Company’s interest in the venture to approximately 25%. The members of the joint venture also have certain put and call rights (i.e., the right to “put” and sell their interest to the other member or to “call” and purchase the other member’s interest), with the price being based on the book value, less liabilities, times the applicable ownership percentage. In the case of the contemplated change in control of Numonyx as described in Note 24, ‘Subsequent events’, Numonyx would have the right to “put” its interest to Hynix and this would also trigger the ability of Hynix to “call” the Numonyx interest. In addition, as happened with the transfer of STM’s interest to Numonyx upon formation of the Company, Hynix could be requested to agree to the change of control and Numonyx’s interest could be transferred to the new controlling entity, Micron Technology Inc. Such changes are also subject to and contingent upon multiple levels of Chinese governmental approvals. The Company believes that there is no fair value associated with these options.</w:t>
      </w:r>
    </w:p>
    <w:p>
      <w:pPr>
        <w:spacing w:after="0" w:line="166"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Although the Company does not currently own 20% of the venture, the Company uses the equity method to account for this investment based on the fact that it has the ability to exercise significant influence, but not control, over this investee coupled with the future ability to own more than 20% of this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the Company’s equity investment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Operating results:</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profit</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Assets</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1,691,583</w:t>
            </w:r>
          </w:p>
        </w:tc>
        <w:tc>
          <w:tcPr>
            <w:tcW w:w="0" w:type="dxa"/>
            <w:vAlign w:val="bottom"/>
          </w:tcPr>
          <w:p>
            <w:pPr>
              <w:spacing w:after="0"/>
              <w:rPr>
                <w:sz w:val="1"/>
                <w:szCs w:val="1"/>
                <w:color w:val="auto"/>
              </w:rPr>
            </w:pPr>
          </w:p>
        </w:tc>
      </w:tr>
      <w:tr>
        <w:trPr>
          <w:trHeight w:val="648"/>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4. TRADE ACCOUNTS RECEIVABLE, NET</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Arial" w:cs="Arial" w:eastAsia="Arial" w:hAnsi="Arial"/>
                <w:sz w:val="18"/>
                <w:szCs w:val="18"/>
                <w:color w:val="auto"/>
              </w:rPr>
              <w:t>Trade accounts receivable, net consisted of the following:</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in 2009 was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ASSETS HELD FOR SALE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December 30, 2009, an option agreement was signed by the Company, granting STM the option to acquire the majority of the assets at the Company’s facility in Catania, Italy, including the factory building, office building and the majority of the tools and equipment located in the plant. In addition, a number of employees would transfer to STM upon execution of the option, along with all contracts related to the facilities and any other assets, liabilities and rights relating to the facilities. The agreement also specifies that the tax carrying amount of assets and any non-operating losses would also be transferred as part of the sale. Upon execution of the option, the consideration payable would be the cancellation of $78 million of long term notes held by STM. The option agreement expires on June 30, 2010, with an option to extend by a further three months, subject to agreement by the Company.</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entering into this agreement, and upon meeting the held for sale criteria as defined under U.S. GAAP, the Company reclassified the assets to be sold from their original balance sheet classification to ‘Assets held for Sale’ and adjusted the values of these assets to fair value less costs to sell at December 31, 2009, recording the charge within ‘Impairment and restructuring charges’ in the consolidated statement of operations. Fair value less costs to sell was based on the net consideration provided for in the option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 consisted of the following:</w:t>
      </w:r>
    </w:p>
    <w:p>
      <w:pPr>
        <w:spacing w:after="0" w:line="221" w:lineRule="exact"/>
        <w:rPr>
          <w:sz w:val="20"/>
          <w:szCs w:val="20"/>
          <w:color w:val="auto"/>
        </w:rPr>
      </w:pPr>
    </w:p>
    <w:p>
      <w:pPr>
        <w:ind w:left="10560"/>
        <w:spacing w:after="0"/>
        <w:rPr>
          <w:sz w:val="20"/>
          <w:szCs w:val="20"/>
          <w:color w:val="auto"/>
        </w:rPr>
      </w:pP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 term 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U.S. GAAP, the Company has ceased to record depreciation on the property, plant and equipment classified as held for sale.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643" w:hanging="643"/>
        <w:spacing w:after="0"/>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45,733</w:t>
      </w:r>
    </w:p>
    <w:p>
      <w:pPr>
        <w:spacing w:after="0" w:line="23" w:lineRule="exact"/>
        <w:rPr>
          <w:rFonts w:ascii="Arial" w:cs="Arial" w:eastAsia="Arial" w:hAnsi="Arial"/>
          <w:sz w:val="18"/>
          <w:szCs w:val="18"/>
          <w:color w:val="auto"/>
        </w:rPr>
      </w:pPr>
    </w:p>
    <w:p>
      <w:pPr>
        <w:ind w:left="643"/>
        <w:spacing w:after="0"/>
        <w:rPr>
          <w:rFonts w:ascii="Arial" w:cs="Arial" w:eastAsia="Arial" w:hAnsi="Arial"/>
          <w:sz w:val="18"/>
          <w:szCs w:val="18"/>
          <w:color w:val="auto"/>
        </w:rPr>
      </w:pPr>
      <w:r>
        <w:rPr>
          <w:rFonts w:ascii="Arial" w:cs="Arial" w:eastAsia="Arial" w:hAnsi="Arial"/>
          <w:sz w:val="18"/>
          <w:szCs w:val="18"/>
          <w:color w:val="auto"/>
        </w:rPr>
        <w:t>36,114</w:t>
      </w:r>
    </w:p>
    <w:p>
      <w:pPr>
        <w:spacing w:after="0" w:line="9" w:lineRule="exact"/>
        <w:rPr>
          <w:rFonts w:ascii="Arial" w:cs="Arial" w:eastAsia="Arial" w:hAnsi="Arial"/>
          <w:sz w:val="18"/>
          <w:szCs w:val="18"/>
          <w:color w:val="auto"/>
        </w:rPr>
      </w:pPr>
    </w:p>
    <w:p>
      <w:pPr>
        <w:ind w:left="663"/>
        <w:spacing w:after="0"/>
        <w:rPr>
          <w:rFonts w:ascii="Arial" w:cs="Arial" w:eastAsia="Arial" w:hAnsi="Arial"/>
          <w:sz w:val="18"/>
          <w:szCs w:val="18"/>
          <w:color w:val="auto"/>
        </w:rPr>
      </w:pPr>
      <w:r>
        <w:rPr>
          <w:rFonts w:ascii="Arial" w:cs="Arial" w:eastAsia="Arial" w:hAnsi="Arial"/>
          <w:sz w:val="17"/>
          <w:szCs w:val="17"/>
          <w:color w:val="auto"/>
        </w:rPr>
        <w:t>(3,847)</w:t>
      </w:r>
    </w:p>
    <w:p>
      <w:pPr>
        <w:spacing w:after="0" w:line="33" w:lineRule="exact"/>
        <w:rPr>
          <w:sz w:val="20"/>
          <w:szCs w:val="20"/>
          <w:color w:val="auto"/>
        </w:rPr>
      </w:pPr>
    </w:p>
    <w:p>
      <w:pPr>
        <w:ind w:left="643" w:hanging="643"/>
        <w:spacing w:after="0"/>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78,000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10040" w:space="137"/>
            <w:col w:w="1243"/>
          </w:cols>
          <w:pgMar w:left="240" w:top="486"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RECEIVABLES AND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and current assets consisted of the following:</w:t>
      </w:r>
    </w:p>
    <w:p>
      <w:pPr>
        <w:spacing w:after="0" w:line="221"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Receivables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Receivables from government agencies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Prepayments, advances and other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23" w:hanging="723"/>
        <w:spacing w:after="0"/>
        <w:tabs>
          <w:tab w:leader="none" w:pos="723" w:val="left"/>
        </w:tabs>
        <w:numPr>
          <w:ilvl w:val="0"/>
          <w:numId w:val="8"/>
        </w:numPr>
        <w:rPr>
          <w:rFonts w:ascii="Arial" w:cs="Arial" w:eastAsia="Arial" w:hAnsi="Arial"/>
          <w:sz w:val="16"/>
          <w:szCs w:val="16"/>
          <w:color w:val="auto"/>
        </w:rPr>
      </w:pPr>
      <w:r>
        <w:rPr>
          <w:rFonts w:ascii="Arial" w:cs="Arial" w:eastAsia="Arial" w:hAnsi="Arial"/>
          <w:sz w:val="16"/>
          <w:szCs w:val="16"/>
          <w:color w:val="auto"/>
        </w:rPr>
        <w:t>1,622</w:t>
      </w:r>
    </w:p>
    <w:p>
      <w:pPr>
        <w:spacing w:after="0" w:line="46"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6"/>
          <w:szCs w:val="16"/>
          <w:color w:val="auto"/>
        </w:rPr>
        <w:t>54,460</w:t>
      </w:r>
    </w:p>
    <w:p>
      <w:pPr>
        <w:spacing w:after="0" w:line="32"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6"/>
          <w:szCs w:val="16"/>
          <w:color w:val="auto"/>
        </w:rPr>
        <w:t>25,678</w:t>
      </w:r>
    </w:p>
    <w:p>
      <w:pPr>
        <w:spacing w:after="0" w:line="45" w:lineRule="exact"/>
        <w:rPr>
          <w:sz w:val="20"/>
          <w:szCs w:val="20"/>
          <w:color w:val="auto"/>
        </w:rPr>
      </w:pPr>
    </w:p>
    <w:p>
      <w:pPr>
        <w:ind w:left="643" w:hanging="643"/>
        <w:spacing w:after="0"/>
        <w:tabs>
          <w:tab w:leader="none" w:pos="643" w:val="left"/>
        </w:tabs>
        <w:numPr>
          <w:ilvl w:val="0"/>
          <w:numId w:val="9"/>
        </w:numPr>
        <w:rPr>
          <w:rFonts w:ascii="Arial" w:cs="Arial" w:eastAsia="Arial" w:hAnsi="Arial"/>
          <w:sz w:val="16"/>
          <w:szCs w:val="16"/>
          <w:color w:val="auto"/>
        </w:rPr>
      </w:pPr>
      <w:r>
        <w:rPr>
          <w:rFonts w:ascii="Arial" w:cs="Arial" w:eastAsia="Arial" w:hAnsi="Arial"/>
          <w:sz w:val="16"/>
          <w:szCs w:val="16"/>
          <w:color w:val="auto"/>
        </w:rPr>
        <w:t>81,760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57" w:space="720"/>
            <w:col w:w="1243"/>
          </w:cols>
          <w:pgMar w:left="240" w:top="48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8. INTANGIBLE ASSETS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 as at December 31, 2009: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Value</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Amortization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Loan guarantees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Loan arrangement fees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6,750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Software development and licenses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77,767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243,317</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(93,676)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2009, the Company capitalized $16.5 million of software and licenses and software development costs related to significant system implementations and changes that the Company has undertaken since its formation. In addition the Company fully impaired self developed software of $14.9 million during the year. The software was contributed by STM upon the formation of Numonyx and had never been put into use by the Company. The impairment is recorded within ‘Impairment and restructuring charges’ in the consolidated statement of operations.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March 2008, the Company obtained a $450 million bank loan plus $100 million revolving credit facility from financial institutions. These facilities are repayable in full on March 25, 2012. STM and Intel agreed to act as guarantors of the facilities, each company guaranteeing 50% of the outstanding balance in the event that Numonyx defaults on repayment. Both guarantees were recorded as intangible assets in order to recognize the fair value of the benefit to Numonyx of these guarantees. The guarantees were recorded at fair value at the date of issuance and are being amortized over the term of the loan, 4 years. The amortization is recorded as interest expense.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Loan arrangement fees are costs directly related to the securing of the debt financing described above. These fees are also being amortized over the 4 year period of the loan and are recorded as part of ‘Interest expense, net’ in the consolidated statement of operations.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Product and process technology relates to technologies contributed by Intel to Numonyx upon formation of the Company. The technologies were recorded at fair value and are being amortized over their expected useful lives, 3 and 7 years respectively, within cost of sales in the consolidated statement of operations.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Software development and licenses consist of costs relating to the development of IT systems and software and of software and related licenses acquired. Software development costs include external consulting costs and payroll costs directly associated with development of the system infrastructure. These costs were capitalized in accordance with U.S. GAAP. Software and licenses are currently amortized over a period of between 3 and 5 years and amortization is recorded primarily within ‘Selling, general and administrative expenses’ within the consolidated statement of operations, starting when the software is placed in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amortization expense in 2009 was $60.2 million.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The estimated amortization of the existing intangible assets for the following years is:</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4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2011</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2013</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1"/>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PROPERTY, PLANT, AND EQUIPMENT</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834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Buildings, facilities and leasehold improvements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Computer and R&amp;D Equipment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Tangible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Gross Cost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Accumulated Depreciation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(358,498)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Net Cost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2009 was $219.8 million. There is no depreciation expense on construction in progress.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at December 31, 2009, Property Plant and Equipment totaling $43.8 million (comprising $45.7 million original net book value less $1.9 million impairment) were reported as a component of the line ‘Assets held for Sale’ on the consolidated balance sheet, relating to the Company’s facility in Catania, Italy for which a sale option agreement was signed, as explained in Note 6, ‘Assets Held for Sale’.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INVESTMENTS AND NON-CURRENT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Payments for additional equity investment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Fair value of the favorable operating lease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Long term receivable related to tax refund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Related party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investment in related party relates to payments made to Hynix Numonyx Semiconductor Ltd., to increase the Company’s equity stake in the Company, but which have not yet been approved by Chinese authorities.</w:t>
      </w:r>
    </w:p>
    <w:p>
      <w:pPr>
        <w:spacing w:after="0" w:line="170"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The favorable operating lease relates to the Company’s manufacturing facility in Israel. This relates to the fair value of the future minimum lease payments that were included as part of the assets contributed by Intel upon the formation of Numonyx. This is being amortized over the period of the lease, 24 years.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ind w:right="100"/>
        <w:spacing w:after="0" w:line="286" w:lineRule="auto"/>
        <w:rPr>
          <w:sz w:val="20"/>
          <w:szCs w:val="20"/>
          <w:color w:val="auto"/>
        </w:rPr>
      </w:pPr>
      <w:r>
        <w:rPr>
          <w:rFonts w:ascii="Arial" w:cs="Arial" w:eastAsia="Arial" w:hAnsi="Arial"/>
          <w:sz w:val="17"/>
          <w:szCs w:val="17"/>
          <w:color w:val="auto"/>
        </w:rPr>
        <w:t>The long term receivable related to tax refund is a tax credit in Italy which was generated through the operations of STM Italy, before the operations were contributed to Numonyx. Upon the formation of Numonyx, a long term liability was established as the amounts received from the Italian government will be reimbursed to STM. Such amount is included within ‘Other non-current liabilities’ in the consolidated balance sheet.</w:t>
      </w:r>
    </w:p>
    <w:p>
      <w:pPr>
        <w:spacing w:after="0" w:line="166"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related party receivable relates to an end of employment liability in Italy, for employees transferred from STM Italy to Numonyx Italy and for which STM have agreed to reimburse Numonyx. The payable portion of this balance is also included within pension liability in the consolidated balance sheet.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Deposits relate mainly to rental deposits on leased office buildings and deposits paid to service providers.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PAYABLES AND ACCRUED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 tax</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Salaries, wages and social charges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restructuring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pension liability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Accrued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Within current portion of pension liability above, $1.4 million relates to the Italy end of employment fund. This amount is shown also as a receivable from related party within ‘Other investments and non-current assets’ as the amount will be reimbursed to Numonyx by STM.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POST-RETIREMENT AND OTHER LONG-TERM EMPLOYEE BENEFITS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number of defined benefit pension plans covering employees in various countries. The plans provide for pension benefits, the amounts of which are calculated based on factors such as years of service and employee compensation levels. Eligibility is generally determined in accordance with the local statutory requirements. The Company’s major defined benefit pension plans and long-term employee benefit plans are in Israel, Italy, Switzerland, Japan, Korea, and Philippines.</w:t>
      </w:r>
    </w:p>
    <w:p>
      <w:pPr>
        <w:spacing w:after="0" w:line="200" w:lineRule="exact"/>
        <w:rPr>
          <w:sz w:val="20"/>
          <w:szCs w:val="20"/>
          <w:color w:val="auto"/>
        </w:rPr>
      </w:pPr>
    </w:p>
    <w:p>
      <w:pPr>
        <w:spacing w:after="0" w:line="20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adopted the provisions of U.S. GAAP which require that the funded status of defined benefit post-retirement plans be recognized on the consolidated balance sheet, and changes in the funded status be reflected in comprehensive income. U.S. GAAP also requires the measurement date of the plan’s funded status to be the same as the Company’s financial year-end. The measurement date for all plans was the Company’s financial year end.</w:t>
      </w:r>
    </w:p>
    <w:p>
      <w:pPr>
        <w:spacing w:after="0" w:line="14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December 31, 2009, the Company adopted changes issued by the FASB to employers’ disclosures about postretirement benefit plan assets. These changes provide guidance on an employer’s disclosures about plan assets of a defined benefit pension or other postretirement plan. This guidance is intended to ensure that an employer meets the objectives of the disclosures about plan assets in an employer’s defined benefit pension or other postretirement plan to provide users of financial statements with an understanding of the following: how investment allocation decisions are made; the major categories of plan assets; the inputs and valuation techniques used to measure the fair value of plan assets; the effect of fair value measurements using significant unobservable inputs on changes in plan assets; and significant conce ntrations of risk within plan assets. Other than the required disclosures, the adoption of these changes had no impact on the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Funding Policy</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Company’s practice is to fund the various pension plans in amounts at least sufficient to meet the minimum requirements of applicable local laws and regulations. The assets of the various plans are invested in corporate equities, corporate debt securities, government debt securities, and other institutional arrangements. The portfolio of each plan depends on plan design and applicable local laws. Depending on the design of the plan, local customs, and market circumstances, the liabilities of a plan may exceed qualified plan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Obligation and Plan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benefit obligation and plan assets for the plans described above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Plan participant contributions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(6,305)</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of acquired business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Currency exchange impact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projected benefit obligation</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assets at beginning of the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Plan assets of acquired business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fair value of plan assets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0180" w:type="dxa"/>
            <w:vAlign w:val="bottom"/>
            <w:gridSpan w:val="2"/>
          </w:tcPr>
          <w:p>
            <w:pPr>
              <w:spacing w:after="0"/>
              <w:rPr>
                <w:sz w:val="20"/>
                <w:szCs w:val="20"/>
                <w:color w:val="auto"/>
              </w:rPr>
            </w:pPr>
            <w:r>
              <w:rPr>
                <w:rFonts w:ascii="Arial" w:cs="Arial" w:eastAsia="Arial" w:hAnsi="Arial"/>
                <w:sz w:val="18"/>
                <w:szCs w:val="18"/>
                <w:color w:val="auto"/>
              </w:rPr>
              <w:t>Amounts recognized in the consolidated balance sheet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33,558</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Amounts recognized in accumulated other comprehensive income / (loss) net of taxes are as follows: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loss’ at December 31, 2009 into net periodic benefit cost (pre-tax) in 2010 is $0.1 million.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Change in accumulated other comprehensive income (loss) net of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 at beginning of the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Current year actuarial loss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Included in the aggregate data in the tables below are the amounts applicable to our pension plans with accumulated benefit obligations in excess of plan assets, as well as plans with projected benefit obligations in excess of plan assets. Amounts related to such plans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Plans with accumulated benefit obligations in excess of plan assets:</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obligations</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Plans with projected benefit obligations in excess of plan assets:</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Projected benefit obligations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37,430</w:t>
            </w:r>
          </w:p>
        </w:tc>
        <w:tc>
          <w:tcPr>
            <w:tcW w:w="0" w:type="dxa"/>
            <w:vAlign w:val="bottom"/>
          </w:tcPr>
          <w:p>
            <w:pPr>
              <w:spacing w:after="0"/>
              <w:rPr>
                <w:sz w:val="1"/>
                <w:szCs w:val="1"/>
                <w:color w:val="auto"/>
              </w:rPr>
            </w:pP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Assumptions</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assumptions used in the determination of the benefit obligations were as follows:</w:t>
            </w: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Average increase in compensation</w:t>
            </w:r>
          </w:p>
        </w:tc>
        <w:tc>
          <w:tcPr>
            <w:tcW w:w="17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actuarial assumptions used to determine costs for the plans were as follows:</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Expected long term rate on plan assets</w:t>
            </w:r>
          </w:p>
        </w:tc>
        <w:tc>
          <w:tcPr>
            <w:tcW w:w="17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Average increase in compensation</w:t>
            </w:r>
          </w:p>
        </w:tc>
        <w:tc>
          <w:tcPr>
            <w:tcW w:w="17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discount rate was determined by analyzing long term corporate AA bond rates and matching the bond maturity with the average duration of the pension liabilities. In certain markets where there are not corporate bonds, government bond rates are used.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plans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6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6260" w:type="dxa"/>
            <w:vAlign w:val="bottom"/>
            <w:tcBorders>
              <w:top w:val="single" w:sz="8" w:color="CCEEFF"/>
            </w:tcBorders>
          </w:tcPr>
          <w:p>
            <w:pPr>
              <w:jc w:val="right"/>
              <w:ind w:right="429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plans’ investments are managed predominantly by insurance companies, and to a lesser extent by third-party trustees, or pension funds consistent with regulations or market practice of the country where the assets are invested. Investments that are managed by qualified insurance companies or pension funds under standard contracts follow local regulations, and the Company is not actively involved in the investment strategy. In general, the investment strategy followed is designed to accumulate a diversified portfolio among markets, asset classes, or individual securities in order to reduce market risk and assure that the pension assets are available to pay benefits as they come due. Alternatively, individual plan members may decide on individual investment strategies for their plan. As such, the Company does not set target allocations of plan assets and does not measure actual allocations of plan assets versus target allocations.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plan assets by asset type as at December 31, 2009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Quoted prices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in 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observable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assets (Level</w:t>
            </w:r>
          </w:p>
        </w:tc>
        <w:tc>
          <w:tcPr>
            <w:tcW w:w="2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inputs (Level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Asset Category</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37,430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37,430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Funding Expectations</w:t>
            </w: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w w:val="99"/>
              </w:rPr>
              <w:t>Expected funding for the plans during 2010 is approximately $7 million.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Estimated Future Benefit Payments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gridSpan w:val="6"/>
          </w:tcPr>
          <w:p>
            <w:pPr>
              <w:spacing w:after="0"/>
              <w:rPr>
                <w:sz w:val="20"/>
                <w:szCs w:val="20"/>
                <w:color w:val="auto"/>
              </w:rPr>
            </w:pPr>
            <w:r>
              <w:rPr>
                <w:rFonts w:ascii="Arial" w:cs="Arial" w:eastAsia="Arial" w:hAnsi="Arial"/>
                <w:sz w:val="18"/>
                <w:szCs w:val="18"/>
                <w:color w:val="auto"/>
              </w:rPr>
              <w:t>Estimated benefits to be paid from the Company’s pension plans through 2019 are as follows: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Pension</w:t>
            </w:r>
          </w:p>
        </w:tc>
        <w:tc>
          <w:tcPr>
            <w:tcW w:w="0" w:type="dxa"/>
            <w:vAlign w:val="bottom"/>
          </w:tcPr>
          <w:p>
            <w:pPr>
              <w:spacing w:after="0"/>
              <w:rPr>
                <w:sz w:val="1"/>
                <w:szCs w:val="1"/>
                <w:color w:val="auto"/>
              </w:rPr>
            </w:pPr>
          </w:p>
        </w:tc>
      </w:tr>
      <w:tr>
        <w:trPr>
          <w:trHeight w:val="241"/>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Years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From 2015 to 2019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28,324</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BASED COMPENSATION</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During 2008, an equity incentive plan was established by the Company, but no equity grants were made. 25 million stock units are available for issuance under the plan. During 2009, the first restricted stock unit grants were issued from the plan. The stock units vest over 3 or 4 years from the grant date. However, vesting is also contingent upon a change in control of the Company taking place. The vesting of certain grants made to Executive Officers of the Company are contingent on certain performance targets being met each year and the change in control provision noted above.</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the share capital of the Company is not currently traded on any Exchange, the value assigned to stock grants is based on the fair value of the equity of the Company at the time the grants were made.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the equity incentive plan, vesting is contingent upon a qualified public offering of shares in the Company, or other change in control of the Company occurring. As at December 31, 2009, because any change in control was contingent upon circumstances beyond the Company’s control, no stock based compensation expense has been recorded in the consolidated statement of operations for the year ended December 31, 2009.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Restricted stock unit activity during 2009 is detailed below:</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fair</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weighted average fair value amounts)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11,180</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at December 31, 2009</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10,712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as of December 31, 2009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 AND DEBT OBLIGATIONS TO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to related parties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Upon the formation of Numonyx, long-term notes were issued to STM, Intel, and FP valued at $155,572, $144,428 and $19,087 respectively. The notes are payable upon the earlier of liquidation of the Company, or March 31, 2038. The interest rate applied to these notes is 9.5% and is payable in the form of additional notes until 2015. Interest also accrues, at the same rate, on the new notes issued. After 2015, the interest is payable in the form of cash. Interest on these notes is recorded as interest expense in the consolidated statement of operations. Total interest accrued during the year ended December 31, 2009 was $32.5 million and is included within ‘Debt obligations to related parties’ in the consolidated balance sheet.</w:t>
      </w:r>
    </w:p>
    <w:p>
      <w:pPr>
        <w:spacing w:after="0" w:line="1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long-term loan notes include covenants which prevent the Company and its subsidiaries from taking on additional debt in excess of $100 million if the total existing debt recorded on the balance sheet is $1,250 million or less, or additional debt in excess of $50 million if the total existing debt recorded on the balance sheet is more than $1,250 million. In addition, the Company may not issue new equity or securities exchangeable into equity that would rank senior to or on parity with the long-term loan notes and may not make dividend distributions other than distributions between subsidiaries of the Company and distributions on the preferred shares. Repayment of the debt obligations to related parties is subordinated to repayment of debt obligations to third parties.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30, 2009 an option agreement was signed by Numonyx and STM, granting STM the option to acquire from Numonyx the majority of the assets held at the Company’s facility in Catania, Italy. In consideration for the assets, STM agreed that $78 million of the notes issued to them by Numonyx would be cancelled on completion of the sale. As the option agreement expires on June 30, 2009 with an option to extend by a further three months, these loan notes have been reclassified to short term debt on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to third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 term debt obligations to third parties consisted of the following as at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Bank loan</w:t>
            </w:r>
          </w:p>
        </w:tc>
        <w:tc>
          <w:tcPr>
            <w:tcW w:w="4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formation, the Company entered into a dollar term loan facility in the amount of $450 million and a multicurrency revolving loan facility in the amount of $100 million. As at December 31, 2009, the $100 million revolving facility had not been drawn down. The facilities are repayable in full on March 25, 2012. Interest of three-month LIBOR + 60 basis points is payable every 3 months and is recorded within interest expense in the consolidated statement of operations.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7" w:name="page28"/>
    <w:bookmarkEnd w:id="27"/>
    <w:p>
      <w:pPr>
        <w:jc w:val="both"/>
        <w:ind w:right="200"/>
        <w:spacing w:after="0" w:line="264" w:lineRule="auto"/>
        <w:rPr>
          <w:sz w:val="20"/>
          <w:szCs w:val="20"/>
          <w:color w:val="auto"/>
        </w:rPr>
      </w:pPr>
      <w:r>
        <w:rPr>
          <w:rFonts w:ascii="Arial" w:cs="Arial" w:eastAsia="Arial" w:hAnsi="Arial"/>
          <w:sz w:val="18"/>
          <w:szCs w:val="18"/>
          <w:color w:val="auto"/>
        </w:rPr>
        <w:t>Covenants on the loan facility include a mandatory prepayment of 50% of the facility by the borrowers if the credit rating of either Intel or STM were to be downgraded to a rating by Moody’s that is below Baa3 or by Standard and Poor’s that is below BBB-. In addition, should Intel or STM take on debt at or in excess of $500 million, then the facility would become immediately repayable.</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assessment of fair value of the debt obligation to third parties would require the determination of an appropriate credit spread over the benchmark rates for a facility similar to that held by the Company and the application of an adjustment factor for, amongst other factors, illiquidity. The Company has not sought additional similar funding since formation, particularly given market conditions impacting the availability of credit.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Finance lease obligations relate to Machinery and Equipment purchased by the Company during the year. The short term element of finance lease obligations is recorded within ‘Current portion of long-term debt’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maturities of total long term debt outstanding (including current portion)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2011</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2013</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15. OTHER NON-CURRENT LIABILITIES</w:t>
            </w: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payable</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related party payable relates to a tax credit in Italy. This tax credit, which is also shown as a long term receivable in the consolidated balance sheet of Numonyx, was generated through the operations of STM Italy, before the operations were contributed to Numonyx. Since the tax credit was generated by STM, when the tax credit is paid by the Italian authorities to Numonyx, the Company will reimburse STM.</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share capital of the Company amounts to EUR 264,205,965. It is divided into:</w:t>
      </w:r>
    </w:p>
    <w:p>
      <w:pPr>
        <w:spacing w:after="0" w:line="211" w:lineRule="exact"/>
        <w:rPr>
          <w:sz w:val="20"/>
          <w:szCs w:val="20"/>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250,000,000 ordinary shares of one Euro each;</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14,204,545 convertible preferred shares ‘A’ of one Euro each;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142,045 preferred shares ‘A-1’ of one eurocent (EUR 0.01)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2009, 210,700,758 ordinary shares were issued.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As at December 31, 2009, the Company had issued 14,204,545 convertible preferred shares ‘A’ to FP. These preference shares entitle the holder to full voting rights and to a preferential right to distributions upon liquidation or change in control of the Company. Specifically the holders are entitled to a repayment of 1.85 times the original issue price of the shares. The preferred shares ‘A’ may be converted into preferred shares ‘A-1’ or ordinary shares, on terms agreed between the Company and the holders of the preferred shares ‘A’. Such terms must be unanimously approved at a General Meeting of the shareholders.</w:t>
      </w:r>
    </w:p>
    <w:p>
      <w:pPr>
        <w:spacing w:after="0" w:line="16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preferred shares ‘A-1’ entitle holders to a repayment of 1.85 times the original issue price of the shares and also to an amount out of the annual profits equal to 1% of the weighted average of the par value of their shares during the financial year. The dividend preference is non-cumulative. The shares also carry voting rights. No preferred shares ‘A-1’ had been issued at the balance sheet date.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AND EXPENSES,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Gain on sale of other non-current assets, net</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IMPAIRMENT AND RESTRUCTURING CHARGES</w:t>
            </w: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742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rPr>
              <w:t>Impairment and restructuring charges consisted of the following:</w:t>
            </w: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impairment charges are explained in Note 6, ‘Assets held for Sale’ and Note 8, ‘Intangible Assets’.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2009, the Company reversed $3.7 million of the provision related to the action in the California Technology Center as a result of a subsequent decision to retain a number of employees that were previously expected to be terminated.</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2009, the Company incurred charges of $8.1 million in employee severance costs related to a workforce reduction action across multiple sites, as part of a program to reduce costs in response to the global economic crisis. These charges were incurred due to the termination of approximately 130 employees. The Company also incurred an additional $4.3 million in employee severance costs related to personnel at Pudong, China.</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may incur additional restructuring charges in the future for employee severance and benefit arrangements, and facility-related or other exit activities.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Restructuring charges incurred during 2009 are summarized as follows:</w:t>
      </w:r>
    </w:p>
    <w:p>
      <w:pPr>
        <w:spacing w:after="0" w:line="221"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Provision as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Charges incurred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estimate related to reduction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Amounts paid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Provision as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INTEREST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and expense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780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23" w:hanging="723"/>
        <w:spacing w:after="0"/>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8,541</w:t>
      </w:r>
    </w:p>
    <w:p>
      <w:pPr>
        <w:spacing w:after="0" w:line="23" w:lineRule="exact"/>
        <w:rPr>
          <w:rFonts w:ascii="Arial" w:cs="Arial" w:eastAsia="Arial" w:hAnsi="Arial"/>
          <w:sz w:val="18"/>
          <w:szCs w:val="18"/>
          <w:color w:val="auto"/>
        </w:rPr>
      </w:pPr>
    </w:p>
    <w:p>
      <w:pPr>
        <w:ind w:left="723"/>
        <w:spacing w:after="0"/>
        <w:rPr>
          <w:rFonts w:ascii="Arial" w:cs="Arial" w:eastAsia="Arial" w:hAnsi="Arial"/>
          <w:sz w:val="18"/>
          <w:szCs w:val="18"/>
          <w:color w:val="auto"/>
        </w:rPr>
      </w:pPr>
      <w:r>
        <w:rPr>
          <w:rFonts w:ascii="Arial" w:cs="Arial" w:eastAsia="Arial" w:hAnsi="Arial"/>
          <w:sz w:val="18"/>
          <w:szCs w:val="18"/>
          <w:color w:val="auto"/>
        </w:rPr>
        <w:t>8,701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(3,739)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723" w:hanging="723"/>
        <w:spacing w:after="0"/>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3"/>
        <w:spacing w:after="0"/>
        <w:rPr>
          <w:sz w:val="20"/>
          <w:szCs w:val="20"/>
          <w:color w:val="auto"/>
        </w:rPr>
      </w:pPr>
      <w:r>
        <w:rPr>
          <w:rFonts w:ascii="Arial" w:cs="Arial" w:eastAsia="Arial" w:hAnsi="Arial"/>
          <w:sz w:val="18"/>
          <w:szCs w:val="18"/>
          <w:b w:val="1"/>
          <w:bCs w:val="1"/>
          <w:color w:val="auto"/>
        </w:rPr>
        <w:t>2009</w:t>
      </w:r>
    </w:p>
    <w:p>
      <w:pPr>
        <w:spacing w:after="0" w:line="200" w:lineRule="exact"/>
        <w:rPr>
          <w:sz w:val="20"/>
          <w:szCs w:val="20"/>
          <w:color w:val="auto"/>
        </w:rPr>
      </w:pPr>
    </w:p>
    <w:p>
      <w:pPr>
        <w:sectPr>
          <w:pgSz w:w="11900" w:h="16838" w:orient="portrait"/>
          <w:cols w:equalWidth="0" w:num="2">
            <w:col w:w="9457" w:space="720"/>
            <w:col w:w="1243"/>
          </w:cols>
          <w:pgMar w:left="240" w:top="274"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loan guarantees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Interest on debt obligations to related parties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Other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20. INCOME TAXES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consists of the following components: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provision for income taxes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loss before provision for income taxes included a loss from the Netherlands of approximately $57.6 million and losses of approximately $168.7 million from other foreign subsidiaries during fiscal year 2009.</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t>The provision for income taxes differs from the amount estimated by applying the statutory Netherlands income tax rate of 25.5% to income before provision for income taxes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Dutch statutory rate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year losses not benefited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Effective tax rate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18"/>
        </w:trPr>
        <w:tc>
          <w:tcPr>
            <w:tcW w:w="7920" w:type="dxa"/>
            <w:vAlign w:val="bottom"/>
            <w:gridSpan w:val="2"/>
          </w:tcPr>
          <w:p>
            <w:pPr>
              <w:spacing w:after="0"/>
              <w:rPr>
                <w:sz w:val="20"/>
                <w:szCs w:val="20"/>
                <w:color w:val="auto"/>
              </w:rPr>
            </w:pPr>
            <w:r>
              <w:rPr>
                <w:rFonts w:ascii="Arial" w:cs="Arial" w:eastAsia="Arial" w:hAnsi="Arial"/>
                <w:sz w:val="18"/>
                <w:szCs w:val="18"/>
                <w:color w:val="auto"/>
              </w:rPr>
              <w:t>The components of deferred tax assets and liabilities consisted of the following:</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reserves and accruals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Fixed assets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carryover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operating loss carryover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2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Fixed assets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foreign exchange gain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Others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2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net deferred tax assets shown above, $36.1 million of deferred tax assets relating to the Company’s facilities in Catania, Italy are recorded within ‘Assets held for Sale’ on the consolidated balance sheet.</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evaluating its ability to utilize its deferred tax assets in future periods, the Company considered all available positive and negative factors. The Company considered various sources of taxable income including future reversals of existing taxable temporary differences, taxable income in prior carryback years if carryback is permitted under the tax law, tax planning strategies that would, if necessary, be implemented to prevent a loss carryforward or tax credit carryforward from expiring unused and predictions of future taxable income exclusive of reversing temporary differences and carryforwards. As a result, the Company determined a valuation allowance of $129.6 million was required as at December 31, 2009. After consideration of the valuation allowance, the Company had total net deferred tax assets of approximately $74.9 million as at December 31, 2009 ($36.1 million of which is classified as ‘Assets held for sale’). The net deferred tax assets are primarily comprised of net operating loss carryforwards and future deductible amounts relating primarily to fixed assets.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t>As at December 31, 2009, the Company had net operating loss and capital allowance carryforwards of approximately $339 million combined for The Netherlands and Switzerland, $125 million in Singapore, $25 million in Italy and $1million in the Philippines. For the carryforwards related to The Netherlands and Switzerland, the Company currently estimates that 100% relate to The Netherlands. This assumption may change. The Company, however, has recorded a full valuation allowance against this portion of the carryforwards. In addition in 2008, the Company had approximately $23 million of operating loss and capital allowances carryforwards in Malaysia, but these have been absorbed by profits earned during 2009. The net operating loss carryforwards in The Netherlands and Italy can be carried forward for 9 years and 5 years respectively. The net operating loss carryforwards in the Philippines can be carried forward for 3 years and the net operating loss carryforwards in Singapore can be carried forward indefinitely.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expiration of the tax losses carried forward as at December 31, 2009, on which no deferred tax has been recognized, is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Expires by:</w:t>
            </w: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After 2014</w:t>
            </w:r>
          </w:p>
        </w:tc>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Unrecognized tax credits</w:t>
            </w:r>
          </w:p>
        </w:tc>
        <w:tc>
          <w:tcPr>
            <w:tcW w:w="4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valuation allowances are mainly provided against net deferred tax assets in the Netherlands, Italy and Singapore. In the event that all of the deferred tax assets become realizable, the reversal of the valuation allowance would result in a $129.6 million reduction in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gross amount of unrecognized tax benefits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Gross amount of the decrease in unrecognized tax benefits of tax positions taken during a prior year</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the increases in unrecognized tax benefits as a result of tax positions taken during the current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2009, $5.2 million of unrecognized tax benefits would, if recognized, reduce the effective tax rate.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 significant changes in unrecognized taxed benefits are anticipated within the next 12 months. The Company will re-evaluate its income tax positions on a quarterly basis to consider factors such as changes in facts or circumstances, changes in or interpretations of tax law, effectively settled matters under audit, and new audit activity. Such a change in recognition or measurement would result in recognition of a tax benefit or an additional charge to the tax provision.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Upon adoption of ASC 740 the Company adopted an accounting policy to classify interest and penalties on unrecognized tax benefits as income tax</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expense. The total amount of interest and penalties recognized in the consolidated statement of operations during fiscal 2009 was $0.4 million. The Company has filed its initial tax returns in most of its jurisdictions. The Company’s major jurisdictions include the Netherlands, Switzerland, U.S., Japan, Singapore, Israel, Italy, Malaysia, and Philippines, all of which are subject to exam by income tax authorities for 2009.</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The Netherlands statute of limitations will remain open until December 31, 2013. The Switzerland statute of limitations will remain open until December 31, 2018. The U.S. and Israel statutes of limitations will remain open until three years after the returns are filed. In certain instances, Israel may extend its statute of limitations. The Japan, Singapore, and Malaysia statutes of limitations will remain open until December 31, 2014. The Italy statute of limitations will remain open until December 31, 2014. The Philippines provides no statute of limitations with regard to transfer pricing. Therefore, the Philippines return will remain open indefinitely.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Factors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is exposed to changes in financial market conditions in the normal course of business due to its operations in different foreign currencies and its ongoing investing and financing activities. The Company’s activities expose it to a variety of financial risks: market risk (including currency risk, interest rate risk, and price risk), credit risk and liquidity risk. The Company’s overall risk management program focuses on the unpredictability of financial markets and seeks to minimize the volatility on the Company’s financial performance. The Company uses forward exchange contracts and currency options to hedge certain risk exposures. Risk management is carried out by a central Corporate Treasury Department, reporting to the Chief Financial Officer. Corporat e Treasury identifies, evaluates and hedges financial risks in close cooperation with the Company’s operating units. Treasury activities are regulated by the Company’s policies, which define procedures, objectives and controls. The policies focus on the management of financial risk in terms of exposure to market risk, credit risk and liquidity risk. Most treasury activities are centralized, with any local activities subject to oversight from the Company. The majority of cash and cash equivalents is held in US dollars and is deposited with financial institutions. Marginal amounts are held in Euro, Japanese Yen and Singapore Dollar.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hedging transactions are performed only to hedge exposures deriving from industrial and commercial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3" w:lineRule="exact"/>
        <w:rPr>
          <w:sz w:val="20"/>
          <w:szCs w:val="20"/>
          <w:color w:val="auto"/>
        </w:rPr>
      </w:pPr>
    </w:p>
    <w:p>
      <w:pPr>
        <w:jc w:val="both"/>
        <w:ind w:right="400"/>
        <w:spacing w:after="0" w:line="277" w:lineRule="auto"/>
        <w:rPr>
          <w:sz w:val="20"/>
          <w:szCs w:val="20"/>
          <w:color w:val="auto"/>
        </w:rPr>
      </w:pPr>
      <w:r>
        <w:rPr>
          <w:rFonts w:ascii="Arial" w:cs="Arial" w:eastAsia="Arial" w:hAnsi="Arial"/>
          <w:sz w:val="17"/>
          <w:szCs w:val="17"/>
          <w:color w:val="auto"/>
        </w:rPr>
        <w:t>The Company conducts its business on a global basis in various major international currencies. Foreign exchange risk arises when recognized assets and liabilities as well as cash flows are denominated in a currency that is not the Company’s functional currency. The majority of these transactions relate to purchases and certain other assets and liabilities arising in intercompany transactions denominated in foreign currencies.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established a policy to hedge significant foreign exchange risk exposure through financial instruments transacted by Corporate</w:t>
      </w:r>
    </w:p>
    <w:p>
      <w:pPr>
        <w:spacing w:after="0" w:line="35"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Treasury. Foreign currency hedging transactions are performed only to hedge exposures deriving from industrial and commercial activities. The Company uses forward exchange contracts and options to hedge certain balance sheet risk exposures. These instruments do not qualify as hedging instruments and as such are accounted for at fair value with changes in fair value accounted for in the consolidated statement of operations. The notional value of these instruments at December 31, 2009 totaled $100.8 million. All of the transactions were entered into during the fourth quarter of 2009 and the currencies covered were the Euro, the Israeli S hekel, the Singapore Dollar and the Swiss Franc. During 2009, the Company realized net losses of $0.6 million for contracts settled during the year. The losses are recorded within ‘Other income and expenses, net’ in the consolidated statement of operation. The amounts recorded in the consolidated balance sheet as at December 31, 2009 was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 is minimized as the Company’s bank borrowings and deposits are held on a floating rate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selects banks and/or financial institutions that operate with the group based on the criteria of long term rating from at least two of the major Rating Agencies and keeping within prescribed diversification and limit guidelines.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3" w:name="page34"/>
    <w:bookmarkEnd w:id="33"/>
    <w:p>
      <w:pPr>
        <w:ind w:right="20"/>
        <w:spacing w:after="0" w:line="255" w:lineRule="auto"/>
        <w:rPr>
          <w:sz w:val="20"/>
          <w:szCs w:val="20"/>
          <w:color w:val="auto"/>
        </w:rPr>
      </w:pPr>
      <w:r>
        <w:rPr>
          <w:rFonts w:ascii="Arial" w:cs="Arial" w:eastAsia="Arial" w:hAnsi="Arial"/>
          <w:sz w:val="18"/>
          <w:szCs w:val="18"/>
          <w:color w:val="auto"/>
        </w:rPr>
        <w:t>The Company monitors the credit worthiness of its customers to which it grants credit terms in the normal course of business. For sales made by Intel on behalf of Numonyx, in line with the ‘Transition Services Agreements’, this monitoring was performed by Intel on behalf of Numonyx. If certain customers are independently rated, these ratings are used. Otherwise, if there is no independent rating, the Company assesses the credit quality of the customer, taking into account its financial position, past experience and other factors. Individual risk limits are set based on internal and external ratings in accordance with limits set by management. The utilization of credit limits is regularly monitored. Reserves are provided for estimated amounts of accounts receivable that may not be collected.</w:t>
      </w:r>
    </w:p>
    <w:p>
      <w:pPr>
        <w:spacing w:after="0" w:line="19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At December 31, 2009, two customers represented approximately 35% of trade accounts receivable, net. Any remaining concentrations of credit risk with respect to trade receivables are limited due to the large number of customers and their dispersion across many geographic areas.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3"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Prudent liquidity risk management includes maintaining sufficient cash and cash equivalents, short term deposits, and availability of funding from an adequate amount of committed credit facilities. The Company’s objective is to maintain sufficient funds in instruments that can be easily converted to cash.</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commitments as at December 31,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63,739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9"/>
              </w:rPr>
              <w:t>Purchase Commitments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320,608</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54,631</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32,125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of which:</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i w:val="1"/>
                <w:iCs w:val="1"/>
                <w:color w:val="auto"/>
              </w:rPr>
              <w:t>Equipment and other</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640"/>
              <w:spacing w:after="0"/>
              <w:rPr>
                <w:sz w:val="20"/>
                <w:szCs w:val="20"/>
                <w:color w:val="auto"/>
              </w:rPr>
            </w:pPr>
            <w:r>
              <w:rPr>
                <w:rFonts w:ascii="Arial" w:cs="Arial" w:eastAsia="Arial" w:hAnsi="Arial"/>
                <w:sz w:val="18"/>
                <w:szCs w:val="18"/>
                <w:i w:val="1"/>
                <w:iCs w:val="1"/>
                <w:color w:val="auto"/>
                <w:w w:val="97"/>
              </w:rPr>
              <w:t>asset purchases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29,060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28,762</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Transition Service and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Supply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w w:val="96"/>
              </w:rPr>
              <w:t>Agreement Fees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2,988</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i w:val="1"/>
                <w:iCs w:val="1"/>
                <w:color w:val="auto"/>
              </w:rPr>
              <w:t>Other operational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expenses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454,508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288,858</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54,333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53,623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32,125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25,569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550,295</w:t>
            </w:r>
          </w:p>
        </w:tc>
        <w:tc>
          <w:tcPr>
            <w:tcW w:w="1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328,640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62,285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38,505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leases land, buildings and equipment under operating leases that expire at various dates under non-cancellable operating leases. Operating lease expense was approximately $10 million in 2009.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Purchase commitments consist primarily of purchases of tangible fixed asset and goods and services under non-cancellable contracts and of fees payable to Intel under the Transition Services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TRANSACTIONS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described in Note 1, ‘The Company’, STM, Intel and FP own 48.6%, 45.1% and 6.3% voting ownership in Numonyx, respectively. The Company has an eight member governing body (“Supervisory Board”) which is composed of three members nominated by STM, three members nominated by Intel and two members nominated by FP. Each shareholder unilaterally nominates its chosen members to the Supervisory Board as long as there are no significant changes in their investment in Numonyx.</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ordinary shares in the Company are owned by STM and Intel and the Preferred Shares ‘A’ are owned by FP. The ordinary shares have the same voting rights as the preferred shares.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year ended December 31, 2009, Numonyx recorded sales and incurred expenses that related to business conducted with Intel, STM, and Hynix and had transactions with FP. The following tables and notes present the significant related party transactions and account balances with these related parties.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Intel: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during the year ended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 to Intel</w:t>
            </w:r>
          </w:p>
        </w:tc>
        <w:tc>
          <w:tcPr>
            <w:tcW w:w="3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 (1)</w:t>
            </w:r>
          </w:p>
        </w:tc>
        <w:tc>
          <w:tcPr>
            <w:tcW w:w="3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Service Agreement (2)</w:t>
            </w:r>
          </w:p>
        </w:tc>
        <w:tc>
          <w:tcPr>
            <w:tcW w:w="39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Transition Service Agreement Fees (3)</w:t>
            </w:r>
          </w:p>
        </w:tc>
        <w:tc>
          <w:tcPr>
            <w:tcW w:w="3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Period Costs (4)</w:t>
            </w:r>
          </w:p>
        </w:tc>
        <w:tc>
          <w:tcPr>
            <w:tcW w:w="39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289,998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08"/>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2009, Numonyx purchased wafers from Intel’s facility in Ireland. These costs are recorded within cost of sales. This supply agreement ended during 2009.</w:t>
      </w:r>
    </w:p>
    <w:p>
      <w:pPr>
        <w:spacing w:after="0" w:line="1" w:lineRule="exact"/>
        <w:rPr>
          <w:rFonts w:ascii="Arial" w:cs="Arial" w:eastAsia="Arial" w:hAnsi="Arial"/>
          <w:sz w:val="18"/>
          <w:szCs w:val="18"/>
          <w:color w:val="auto"/>
        </w:rPr>
      </w:pPr>
    </w:p>
    <w:p>
      <w:pPr>
        <w:ind w:left="340" w:hanging="308"/>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Intel’s Pudong facility performs research and development and assembly/test services for Numonyx. These costs are primarily recorded within cost of sales and research and development expenses. This service agreement substantially ended during 2009.</w:t>
      </w:r>
    </w:p>
    <w:p>
      <w:pPr>
        <w:jc w:val="both"/>
        <w:ind w:left="340" w:hanging="308"/>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expenses include supply chain, procurement, site manufacturing, information technology, human resource, and finance and accounting services. These costs are primarily recorded within cost of sales and selling, general and administrative expenses. The transition service agreement substantially ended in 2009.</w:t>
      </w:r>
    </w:p>
    <w:p>
      <w:pPr>
        <w:spacing w:after="0" w:line="1" w:lineRule="exact"/>
        <w:rPr>
          <w:rFonts w:ascii="Arial" w:cs="Arial" w:eastAsia="Arial" w:hAnsi="Arial"/>
          <w:sz w:val="18"/>
          <w:szCs w:val="18"/>
          <w:color w:val="auto"/>
        </w:rPr>
      </w:pPr>
    </w:p>
    <w:p>
      <w:pPr>
        <w:ind w:left="340" w:hanging="308"/>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 incurs facility-related expenses on Numonyx’ behalf for the Israel and Philippines sites. These costs are recorded primarily within cost of sales. These costs substantially ended during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as at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from Intel, net (1)</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operating lease with Intel (2)</w:t>
            </w:r>
          </w:p>
        </w:tc>
        <w:tc>
          <w:tcPr>
            <w:tcW w:w="36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to Intel (3)</w:t>
            </w:r>
          </w:p>
        </w:tc>
        <w:tc>
          <w:tcPr>
            <w:tcW w:w="3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receivables from Intel</w:t>
            </w:r>
          </w:p>
        </w:tc>
        <w:tc>
          <w:tcPr>
            <w:tcW w:w="36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07"/>
        <w:spacing w:after="0" w:line="25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accounts receivable from Intel, net represents monies outstanding from customers to Intel, and therefore not yet remitted to Numonyx, relating to revenues generated by Intel on behalf of Numonyx.</w:t>
      </w:r>
    </w:p>
    <w:p>
      <w:pPr>
        <w:spacing w:after="0" w:line="1" w:lineRule="exact"/>
        <w:rPr>
          <w:rFonts w:ascii="Arial" w:cs="Arial" w:eastAsia="Arial" w:hAnsi="Arial"/>
          <w:sz w:val="18"/>
          <w:szCs w:val="18"/>
          <w:color w:val="auto"/>
        </w:rPr>
      </w:pPr>
    </w:p>
    <w:p>
      <w:pPr>
        <w:ind w:left="360" w:hanging="307"/>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10, ‘Other Investments and Non Current assets’ for an explanation of the prepaid operating lease.</w:t>
      </w:r>
    </w:p>
    <w:p>
      <w:pPr>
        <w:spacing w:after="0" w:line="9" w:lineRule="exact"/>
        <w:rPr>
          <w:rFonts w:ascii="Arial" w:cs="Arial" w:eastAsia="Arial" w:hAnsi="Arial"/>
          <w:sz w:val="18"/>
          <w:szCs w:val="18"/>
          <w:color w:val="auto"/>
        </w:rPr>
      </w:pPr>
    </w:p>
    <w:p>
      <w:pPr>
        <w:ind w:left="340" w:right="20" w:hanging="287"/>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payable and other accrued liabilities to Intel relate to amounts payable by Numonyx for supply agreement, service agreement and other services provided by Intel under the Transition Services Agreement.</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as explained in Note 14 ‘Long Term Debt and Debt Obligations to Related Parties’, Intel holds a long-term loan note from Numonyx, valued at $144.4 million plus accrued interest of $25.0 million at the balance sheet date. Intel also acted as guarantor, in conjunction with STM, of the bank loan obtained by Numonyx upon formation. The fair value of the benefit of this guarantee is recorded within ‘Intangible Assets, Net’ in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during the year ended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Transition Services Agreement Fees (1)</w:t>
            </w:r>
          </w:p>
        </w:tc>
        <w:tc>
          <w:tcPr>
            <w:tcW w:w="6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sharing arrangement (2)</w:t>
            </w:r>
          </w:p>
        </w:tc>
        <w:tc>
          <w:tcPr>
            <w:tcW w:w="6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Period costs (3)</w:t>
            </w:r>
          </w:p>
        </w:tc>
        <w:tc>
          <w:tcPr>
            <w:tcW w:w="6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60" w:type="dxa"/>
            <w:vAlign w:val="bottom"/>
          </w:tcPr>
          <w:p>
            <w:pPr>
              <w:jc w:val="right"/>
              <w:ind w:right="453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jc w:val="both"/>
        <w:ind w:left="340" w:hanging="308"/>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expenses include supply chain, procurement, information technology, human resource, and finance and accounting services provided by STM to Numonyx. These costs are primarily recorded within cost of sales and selling, general and administrative expenses. The transition services agreement substantially ended during 2009.</w:t>
      </w:r>
    </w:p>
    <w:p>
      <w:pPr>
        <w:ind w:left="340" w:hanging="308"/>
        <w:spacing w:after="0" w:line="265"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 sharing arrangement is an agreement with STM in relation to the Company’s facility in Agrate, Italy, under which facilities and certain costs are shared between STM and Numonyx. The number disclosed above is the net costs paid by Numonyx to STM during the period.</w:t>
      </w:r>
    </w:p>
    <w:p>
      <w:pPr>
        <w:ind w:left="340" w:hanging="308"/>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costs relate primarily to utilities costs at shared manufacturing facilities. The costs incurred by Numonyx as disclosed above are net of recharges made by Numonyx to STM and are primarily recorded within cost of sales and selling, general and administrative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as at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 from STM (2)</w:t>
            </w:r>
          </w:p>
        </w:tc>
        <w:tc>
          <w:tcPr>
            <w:tcW w:w="3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long term receivable from STM (1)</w:t>
            </w:r>
          </w:p>
        </w:tc>
        <w:tc>
          <w:tcPr>
            <w:tcW w:w="38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to STM (3)</w:t>
            </w:r>
          </w:p>
        </w:tc>
        <w:tc>
          <w:tcPr>
            <w:tcW w:w="3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long term payable to STM (4)</w:t>
            </w:r>
          </w:p>
        </w:tc>
        <w:tc>
          <w:tcPr>
            <w:tcW w:w="38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08"/>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long term receivable from STM relates to the end of employment fund in Italy (see Note 10, ‘Other Investments and Non-Current Assets’).</w:t>
      </w:r>
    </w:p>
    <w:p>
      <w:pPr>
        <w:spacing w:after="0" w:line="34" w:lineRule="exact"/>
        <w:rPr>
          <w:rFonts w:ascii="Arial" w:cs="Arial" w:eastAsia="Arial" w:hAnsi="Arial"/>
          <w:sz w:val="17"/>
          <w:szCs w:val="17"/>
          <w:color w:val="auto"/>
        </w:rPr>
      </w:pPr>
    </w:p>
    <w:p>
      <w:pPr>
        <w:ind w:left="340" w:hanging="30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current receivables from STM relate to non-trade receivables.</w:t>
      </w:r>
    </w:p>
    <w:p>
      <w:pPr>
        <w:spacing w:after="0" w:line="9" w:lineRule="exact"/>
        <w:rPr>
          <w:rFonts w:ascii="Arial" w:cs="Arial" w:eastAsia="Arial" w:hAnsi="Arial"/>
          <w:sz w:val="18"/>
          <w:szCs w:val="18"/>
          <w:color w:val="auto"/>
        </w:rPr>
      </w:pPr>
    </w:p>
    <w:p>
      <w:pPr>
        <w:ind w:left="340" w:hanging="30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Accounts payable to STM relate to Transition Services Agreements fees and the Cost Sharing Arrangement in Italy.</w:t>
      </w:r>
    </w:p>
    <w:p>
      <w:pPr>
        <w:spacing w:after="0" w:line="9" w:lineRule="exact"/>
        <w:rPr>
          <w:rFonts w:ascii="Arial" w:cs="Arial" w:eastAsia="Arial" w:hAnsi="Arial"/>
          <w:sz w:val="18"/>
          <w:szCs w:val="18"/>
          <w:color w:val="auto"/>
        </w:rPr>
      </w:pPr>
    </w:p>
    <w:p>
      <w:pPr>
        <w:ind w:left="340" w:hanging="308"/>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long term payable to STM relates to a tax refund in Italy (see Note 10, ‘Other Investments and Non-Current Assets’ and Note 15, ‘Other Non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detailed in Note 14 ‘Long Term Debt and Debt Obligations to Related Parties’, STM holds a long-term loan note from Numonyx, valued at</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$155.6 million plus accrued interest of $26.9 million at the balance sheet date. The loan note is split into a short term element of $78 million, and a long term element of $104.5 million. STM also acted as guarantor, in conjunction with Intel, of the bank loan obtained by Numonyx upon formation. The fair value of the benefit of this guarantee is recorded within Intangible Assets,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Francisco Partners:</w:t>
      </w:r>
    </w:p>
    <w:p>
      <w:pPr>
        <w:spacing w:after="0" w:line="23"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As described in Note 1, ‘The Company’, upon formation of Numonyx on March 30, 2008, FP contributed $150 million in cash in exchange for preference shares representing a 6.3% equity interest in the newly formed Company, and a long-term loan note valued at $19.1 million, which is classified within debt obligations to related parties on the consolidated balance sheet. As at December 31, 2009, accrued interest on the loan note totaled $3.3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Hynix Numonyx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3, ‘Equity Investments’, STM contributed their interest in a venture with Hynix Semiconductor upon formation of Numonyx.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during the year ended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semi-finished product</w:t>
            </w:r>
          </w:p>
        </w:tc>
        <w:tc>
          <w:tcPr>
            <w:tcW w:w="5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268,000</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Balances as at December 31, 2009:</w:t>
            </w:r>
          </w:p>
        </w:tc>
        <w:tc>
          <w:tcPr>
            <w:tcW w:w="5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Payments for additional equity interest</w:t>
            </w:r>
          </w:p>
        </w:tc>
        <w:tc>
          <w:tcPr>
            <w:tcW w:w="5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 to Hynix Numonyx Semiconductor Ltd.</w:t>
            </w:r>
          </w:p>
        </w:tc>
        <w:tc>
          <w:tcPr>
            <w:tcW w:w="5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 to Hynix Numonyx Semiconductor Ltd</w:t>
            </w:r>
          </w:p>
        </w:tc>
        <w:tc>
          <w:tcPr>
            <w:tcW w:w="5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300" w:type="dxa"/>
            <w:vAlign w:val="bottom"/>
          </w:tcPr>
          <w:p>
            <w:pPr>
              <w:jc w:val="right"/>
              <w:ind w:right="4530"/>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9, 2010, the Company entered into a definitive agreement with Micron Technology Inc. under which Micron has agreed to purchase the entire share capital of Numonyx in exchange for a minimum of 140 million Micron common shares. An additional 10 million common shares may be payable to Numonyx shareholders to the extent the volume weighted average price of Micron shares for the 20 trading days, ending two days prior to the close of the transaction, ranges between $7.00 and $9.00 per share. As part of deal closing, the long term related party loan notes will also be cancelled via a capital contribution. The transaction is subject to regulatory review and other customer closing conditions and is currently anticipated to close within 4 to 6 months of the date this definitive agree ment was signed.</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486" w:right="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unaudited pro forma condensed combined financial statements are based on the historical financial statements of Micron Technology, Inc. and its consolidated subsidiaries (hereinafter referred to as the “Company”) and Numonyx Holdings B.V. and its consolidated subsidiaries (“Numonyx”) after giving effect to the Company’s acquisition of Numonyx on May 7, 2010 and the assumptions, reclassifications and adjustments described in the accompanying notes to the unaudited pro forma condensed combined financial statements.</w:t>
      </w:r>
    </w:p>
    <w:p>
      <w:pPr>
        <w:spacing w:after="0" w:line="18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and Numonyx have different fiscal years. Accordingly, the unaudited pro forma condensed combined balance sheet as of March 4, 2010 combines the Company’s historical unaudited condensed consolidated balance sheet as of March 4, 2010 and Numonyx’s historical unaudited condensed consolidated balance sheet as of March 27, 2010, which are presented as if the Company’s acquisition of Numonyx had occurred on March 4, 2010.</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unaudited pro forma condensed combined statements of operations for the six months ended March 4, 2010 combines the historical unaudited results of the Company for the six months ended March 4, 2010 and the historical unaudited results of Numonyx for the six months ended March 27, 2010. The unaudited pro forma condensed combined statements of operations for the fiscal year ended September 3, 2009 combines the historical results of the Company for the fiscal year ended September 3, 2009 and the historical unaudited results of Numonyx for the twelve months ended September 27, 2009. The unaudited pro forma condensed combined statements of operations are presented as if the Numonyx acquisition had occurred on August 29, 2008.</w:t>
      </w:r>
    </w:p>
    <w:p>
      <w:pPr>
        <w:spacing w:after="0" w:line="158"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The unaudited pro forma condensed combined financial statements are based on preliminary valuations of assets and liabilities acquired and consideration paid in the acquisition of Numonyx. These preliminary amounts could change as additional information becomes available. These changes could result in material variances between the Company’s future financial results and the amounts presented in these unaudited pro forma condensed combined financial statements, including variances in fair values recorded, as well as expenses and cash flows associated with these items.</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unaudited pro forma condensed combined financial statements are not intended to represent or be indicative of the Company’s consolidated results of operations or financial position that the Company would have reported had the Numonyx acquisition been completed as of the dates presented, and should not be taken as a representation of the Company’s future consolidated results of operations or financial position. The unaudited pro forma condensed combined financial statements do not reflect any operating efficiencies and/or cost savings that the Company may achieve with respect to the combined companies.</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unaudited pro forma condensed combined financial statements should be read in conjunction with the historical consolidated financial statements and accompanying notes included in the Company’s Annual Report on Form 10-K, the Company’s Report on Form 8-K filed on March 4, 2010, the Company’s Quarterly Reports on Form 10-Q and Numonyx’s consolidated financial statement for the year ended December 31, 2009 as found in Exhibit 99.1.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4,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ind w:left="740"/>
              <w:spacing w:after="0"/>
              <w:rPr>
                <w:sz w:val="20"/>
                <w:szCs w:val="20"/>
                <w:color w:val="auto"/>
              </w:rPr>
            </w:pPr>
            <w:r>
              <w:rPr>
                <w:rFonts w:ascii="Arial" w:cs="Arial" w:eastAsia="Arial" w:hAnsi="Arial"/>
                <w:sz w:val="18"/>
                <w:szCs w:val="18"/>
                <w:b w:val="1"/>
                <w:bCs w:val="1"/>
                <w:color w:val="auto"/>
              </w:rPr>
              <w:t>Historical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March 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3"/>
              </w:rPr>
              <w:t>Pro Forma</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Micron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Numonyx</w:t>
            </w:r>
          </w:p>
        </w:tc>
        <w:tc>
          <w:tcPr>
            <w:tcW w:w="12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Adjustments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760" w:type="dxa"/>
            <w:vAlign w:val="bottom"/>
          </w:tcPr>
          <w:p>
            <w:pPr>
              <w:ind w:left="140"/>
              <w:spacing w:after="0"/>
              <w:rPr>
                <w:sz w:val="20"/>
                <w:szCs w:val="20"/>
                <w:color w:val="auto"/>
              </w:rPr>
            </w:pPr>
            <w:r>
              <w:rPr>
                <w:rFonts w:ascii="Arial" w:cs="Arial" w:eastAsia="Arial" w:hAnsi="Arial"/>
                <w:sz w:val="18"/>
                <w:szCs w:val="18"/>
                <w:color w:val="auto"/>
              </w:rPr>
              <w:t>b,m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60" w:type="dxa"/>
            <w:vAlign w:val="bottom"/>
          </w:tcPr>
          <w:p>
            <w:pPr>
              <w:ind w:left="14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760" w:type="dxa"/>
            <w:vAlign w:val="bottom"/>
          </w:tcPr>
          <w:p>
            <w:pPr>
              <w:ind w:left="140"/>
              <w:spacing w:after="0"/>
              <w:rPr>
                <w:sz w:val="20"/>
                <w:szCs w:val="20"/>
                <w:color w:val="auto"/>
              </w:rPr>
            </w:pPr>
            <w:r>
              <w:rPr>
                <w:rFonts w:ascii="Arial" w:cs="Arial" w:eastAsia="Arial" w:hAnsi="Arial"/>
                <w:sz w:val="18"/>
                <w:szCs w:val="18"/>
                <w:color w:val="auto"/>
              </w:rPr>
              <w:t>e,f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e,h</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60" w:type="dxa"/>
            <w:vAlign w:val="bottom"/>
          </w:tcPr>
          <w:p>
            <w:pPr>
              <w:ind w:left="140"/>
              <w:spacing w:after="0"/>
              <w:rPr>
                <w:sz w:val="20"/>
                <w:szCs w:val="20"/>
                <w:color w:val="auto"/>
              </w:rPr>
            </w:pPr>
            <w:r>
              <w:rPr>
                <w:rFonts w:ascii="Arial" w:cs="Arial" w:eastAsia="Arial" w:hAnsi="Arial"/>
                <w:sz w:val="18"/>
                <w:szCs w:val="18"/>
                <w:color w:val="auto"/>
              </w:rPr>
              <w:t>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d,i,q</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7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d,j,m,r</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income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760" w:type="dxa"/>
            <w:vAlign w:val="bottom"/>
          </w:tcPr>
          <w:p>
            <w:pPr>
              <w:ind w:left="14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760" w:type="dxa"/>
            <w:vAlign w:val="bottom"/>
          </w:tcPr>
          <w:p>
            <w:pPr>
              <w:ind w:left="140"/>
              <w:spacing w:after="0"/>
              <w:rPr>
                <w:sz w:val="20"/>
                <w:szCs w:val="20"/>
                <w:color w:val="auto"/>
              </w:rPr>
            </w:pPr>
            <w:r>
              <w:rPr>
                <w:rFonts w:ascii="Arial" w:cs="Arial" w:eastAsia="Arial" w:hAnsi="Arial"/>
                <w:sz w:val="18"/>
                <w:szCs w:val="18"/>
                <w:color w:val="auto"/>
              </w:rPr>
              <w: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d,k,q</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760" w:type="dxa"/>
            <w:vAlign w:val="bottom"/>
          </w:tcPr>
          <w:p>
            <w:pPr>
              <w:ind w:left="140"/>
              <w:spacing w:after="0"/>
              <w:rPr>
                <w:sz w:val="20"/>
                <w:szCs w:val="20"/>
                <w:color w:val="auto"/>
              </w:rPr>
            </w:pPr>
            <w:r>
              <w:rPr>
                <w:rFonts w:ascii="Arial" w:cs="Arial" w:eastAsia="Arial" w:hAnsi="Arial"/>
                <w:sz w:val="18"/>
                <w:szCs w:val="18"/>
                <w:color w:val="auto"/>
              </w:rPr>
              <w:t>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7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4,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Historical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March 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Pro Forma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Micron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Numonyx</w:t>
            </w:r>
          </w:p>
        </w:tc>
        <w:tc>
          <w:tcPr>
            <w:tcW w:w="2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Adjustments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900" w:type="dxa"/>
            <w:vAlign w:val="bottom"/>
          </w:tcPr>
          <w:p>
            <w:pPr>
              <w:ind w:left="120"/>
              <w:spacing w:after="0"/>
              <w:rPr>
                <w:sz w:val="20"/>
                <w:szCs w:val="20"/>
                <w:color w:val="auto"/>
              </w:rPr>
            </w:pPr>
            <w:r>
              <w:rPr>
                <w:rFonts w:ascii="Arial" w:cs="Arial" w:eastAsia="Arial" w:hAnsi="Arial"/>
                <w:sz w:val="18"/>
                <w:szCs w:val="18"/>
                <w:color w:val="auto"/>
              </w:rPr>
              <w:t>e,m,o,p,q</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900" w:type="dxa"/>
            <w:vAlign w:val="bottom"/>
          </w:tcPr>
          <w:p>
            <w:pPr>
              <w:ind w:left="120"/>
              <w:spacing w:after="0"/>
              <w:rPr>
                <w:sz w:val="20"/>
                <w:szCs w:val="20"/>
                <w:color w:val="auto"/>
              </w:rPr>
            </w:pPr>
            <w:r>
              <w:rPr>
                <w:rFonts w:ascii="Arial" w:cs="Arial" w:eastAsia="Arial" w:hAnsi="Arial"/>
                <w:sz w:val="18"/>
                <w:szCs w:val="18"/>
                <w:color w:val="auto"/>
              </w:rPr>
              <w: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a,e,l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Equity in net income (losses) of equity method investees, net of tax</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Historical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For the Year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September 3,</w:t>
            </w:r>
          </w:p>
        </w:tc>
        <w:tc>
          <w:tcPr>
            <w:tcW w:w="11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Pro Forma</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Pro Forma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Micron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Numonyx</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Adjustments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Combined</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40" w:type="dxa"/>
            <w:vAlign w:val="bottom"/>
          </w:tcPr>
          <w:p>
            <w:pPr>
              <w:ind w:left="140"/>
              <w:spacing w:after="0"/>
              <w:rPr>
                <w:sz w:val="20"/>
                <w:szCs w:val="20"/>
                <w:color w:val="auto"/>
              </w:rPr>
            </w:pPr>
            <w:r>
              <w:rPr>
                <w:rFonts w:ascii="Arial" w:cs="Arial" w:eastAsia="Arial" w:hAnsi="Arial"/>
                <w:sz w:val="18"/>
                <w:szCs w:val="18"/>
                <w:color w:val="auto"/>
                <w:w w:val="97"/>
              </w:rPr>
              <w:t>e,h,m,o,p,q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40" w:type="dxa"/>
            <w:vAlign w:val="bottom"/>
          </w:tcPr>
          <w:p>
            <w:pPr>
              <w:ind w:left="140"/>
              <w:spacing w:after="0"/>
              <w:rPr>
                <w:sz w:val="20"/>
                <w:szCs w:val="20"/>
                <w:color w:val="auto"/>
              </w:rPr>
            </w:pPr>
            <w:r>
              <w:rPr>
                <w:rFonts w:ascii="Arial" w:cs="Arial" w:eastAsia="Arial" w:hAnsi="Arial"/>
                <w:sz w:val="18"/>
                <w:szCs w:val="18"/>
                <w:color w:val="auto"/>
              </w:rPr>
              <w: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(1,676)</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3"/>
              </w:rPr>
              <w:t>Equity in net income (losses) of equity method investees, net of tax</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40" w:type="dxa"/>
            <w:vAlign w:val="bottom"/>
          </w:tcPr>
          <w:p>
            <w:pPr>
              <w:ind w:left="140"/>
              <w:spacing w:after="0"/>
              <w:rPr>
                <w:sz w:val="20"/>
                <w:szCs w:val="20"/>
                <w:color w:val="auto"/>
              </w:rPr>
            </w:pPr>
            <w:r>
              <w:rPr>
                <w:rFonts w:ascii="Arial" w:cs="Arial" w:eastAsia="Arial" w:hAnsi="Arial"/>
                <w:sz w:val="18"/>
                <w:szCs w:val="18"/>
                <w:color w:val="auto"/>
              </w:rPr>
              <w:t>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0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800.7</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millions)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Pro Forma Presentation</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pro forma condensed combined balance sheet as of March 4, 2010, and the unaudited pro forma condensed combined statements of operations for the six months ended March 4, 2010 and for the year ended September 3, 2009, are based on the historical financial statements of Micron Technology, Inc. and its consolidated subsidiaries (the “Company”) and Numonyx Holdings B.V. and its consolidated subsidiaries (“Numonyx”) after giving effect to the Company’s acquisition of Numonyx on May 7, 2010 and the assumptions, reclassifications and adjustments described in the accompanying notes to the unaudited pro forma condensed combined financial statements.</w:t>
      </w:r>
    </w:p>
    <w:p>
      <w:pPr>
        <w:spacing w:after="0" w:line="21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The Company accounts for business combinations pursuant to Financial Accounting Standards Board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In accordance with ASC 805, the Company recognized separately from a gain on bargain purchase, the identifiable assets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liabilities assumed, generally at the acquisition date fair value as defined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gain on bargain purchase as of the acquisition date was measure d as the net of the acquisition date amounts of the identifiable assets acquired and the liabilities assumed in excess of consideration transferred, which was also measured at fair value.</w:t>
      </w:r>
    </w:p>
    <w:p>
      <w:pPr>
        <w:spacing w:after="0" w:line="200"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The unaudited pro forma condensed combined financial statements are based on preliminary valuations of assets and liabilities acquired and consideration paid in the acquisition of Numonyx. These preliminary amounts could change as additional information becomes available. These changes could result in material variances between the Company’s future financial results and the amounts presented in these unaudited pro forma condensed combined financial statements, including variances in fair values recorded, as well as expenses and cash flows associated with these items.</w:t>
      </w:r>
    </w:p>
    <w:p>
      <w:pPr>
        <w:spacing w:after="0" w:line="18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unaudited pro forma condensed combined financial statements are not intended to represent or be indicative of the Company’s consolidated results of operations or financial position that would have been reported had the Numonyx acquisition been completed as of the dates presented, and should not be taken as a representation of the Company’s future consolidated results of operations or financial position. The unaudited pro forma condensed combined financial statements do not reflect any operating efficiencies and/or associated cost savings that the Company may achieve with respect to the combined companies.</w:t>
      </w:r>
    </w:p>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unaudited pro forma condensed combined financial statements should be read in conjunction with the historical consolidated financial statements and accompanying notes included in the Company’s Annual Report on Form 10-K, the Company’s Report on Form 8-K filed on March 4, 2010, the Company’s Quarterly Reports on Form 10-Q and Numonyx’s consolidated financial statements for the year ended December 31, 2009 as found in Exhibit 99.1.</w:t>
      </w:r>
    </w:p>
    <w:p>
      <w:pPr>
        <w:spacing w:after="0" w:line="1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Accounting periods presented: </w:t>
      </w:r>
      <w:r>
        <w:rPr>
          <w:rFonts w:ascii="Arial" w:cs="Arial" w:eastAsia="Arial" w:hAnsi="Arial"/>
          <w:sz w:val="18"/>
          <w:szCs w:val="18"/>
          <w:color w:val="auto"/>
        </w:rPr>
        <w:t>The Company and Numonyx have different fiscal years. Numonyx’s historical fiscal year ended on December 31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these unaudited pro forma condensed combined financial statements, its historical results have been aligned to more closely conform to the Company’s fiscal year which is the 52 or 53-week period ending on the Thursday closest to August 31. Accordingly, the unaudited pro forma condensed combined balance sheet as of March 4, 2010 combines the Company’s historical unaudited condensed consolidated balance sheet as of March 4, 2010 and Numonyx’s historical unaudited condensed consolidated balance sheet as of March 27, 2010, which are presented as if the Company’s acquisition of Numonyx had occurred on March 4, 2010.</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pro forma condensed combined statements of operations for the six months ended March 4, 2010 combines the unaudited historical results of the Company for the six months ended March 4, 2010 and the unaudited historical results of Numonyx for the six months ended March 27, 2010. The unaudited pro forma condensed combined statements of operations for the fiscal year ended September 3, 2009 combines the historical results of the Company for the fiscal year ended September 3, 2009 and the historical unaudited results of Numonyx for the twelve months ended September 27, 2009. The unaudited pro forma condensed combined state ments of operations are presented as if the Numonyx acquisition had occurred on August 29, 2008 and were carried forward through each of the aforementioned periods presented.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 xml:space="preserve">Reclassifications: </w:t>
      </w:r>
      <w:r>
        <w:rPr>
          <w:rFonts w:ascii="Arial" w:cs="Arial" w:eastAsia="Arial" w:hAnsi="Arial"/>
          <w:sz w:val="16"/>
          <w:szCs w:val="16"/>
          <w:color w:val="auto"/>
        </w:rPr>
        <w:t>The following reclassifications have been made to conform Numonyx’s historical financial statements to the Company’s presentation:</w:t>
      </w:r>
    </w:p>
    <w:p>
      <w:pPr>
        <w:spacing w:after="0" w:line="252" w:lineRule="exact"/>
        <w:rPr>
          <w:sz w:val="20"/>
          <w:szCs w:val="20"/>
          <w:color w:val="auto"/>
        </w:rPr>
      </w:pPr>
    </w:p>
    <w:p>
      <w:pPr>
        <w:ind w:left="660" w:right="60" w:hanging="139"/>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Numonyx’s assets held for sale of $78 million were reclassified as other noncurrent assets, current restricted cash of $5 million was reclassified as other noncurrent assets, current deferred tax assets of $8 million were reclassified as other current assets, other receivables and assets of $66 million were reclassified as receivables, software assets of $58 million in intangible assets were reclassified as property, plant and equipment, noncurrent restricted cash of $19 million was reclassified as other noncurrent assets and noncurrent deferred tax assets of $33 million were reclassified as other noncurrent assets.</w:t>
      </w:r>
    </w:p>
    <w:p>
      <w:pPr>
        <w:spacing w:after="0" w:line="188" w:lineRule="exact"/>
        <w:rPr>
          <w:rFonts w:ascii="Arial" w:cs="Arial" w:eastAsia="Arial" w:hAnsi="Arial"/>
          <w:sz w:val="18"/>
          <w:szCs w:val="18"/>
          <w:color w:val="auto"/>
        </w:rPr>
      </w:pPr>
    </w:p>
    <w:p>
      <w:pPr>
        <w:ind w:left="660" w:right="80" w:hanging="139"/>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Numonyx’s debt obligations to related parties of $78 million were reclassified as other noncurrent liabilities, deferred income of $52 million was reclassified from other payables and accrued liabilities to deferred income, other payables and accrued liabilities of $97 million were reclassified as accounts payable and accrued expenses and current deferred tax liabilities of $2 million were reclassified as accounts payable and accrued expenses.</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Numonyx</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7, 2010, the Company completed its acquisition of Numonyx, which manufactures and sells NOR Flash, NAND Flash, DRAM and Phase Change non-volatile memory technologies and products. The Company acquired Numonyx to further strengthen the Company’s portfolio of memory products, increase manufacturing and revenue scale, access Numonyx’s customer base and provide opportunities to increase multi-chip offerings in the embedded and mobile markets. In connection therewith, the Company issued 137.7 million shares of the Company’s common stock in exchange for all of the outstanding Numonyx capital stock and issued 4.8 million restricted stock units to employees of Numonyx in exchange for all of their outstanding restricted stock units. The total fair value of the consideration the Company paid for Numonyx was $1,112 million and consisted of $1,091 million for the shares issued to the Numonyx shareholders and $21 million for the restricted stock units issued to employees of Numonyx. The fair value of the consideration was determined based on the trading price of the Company’s common shares on the acquisition date discounted for the resale restrictions on the shares. Of the shares issued to the Numonyx shareholders, 21.0 million were placed in escrow as partial security for the Numonyx shareholders’ indemnity obligations resulting from the acquisition. The shares in escrow may be sold after November 6, 2010, but the proceeds from any sale remain in escrow until May 7, 2011, at which time the escrow assets are payable to the Numonyx shareholders, net of any indemnification claims from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provisionally determined the assets and liabilities of Numonyx based on fair values as of May 7, 2010 utilizing an in-exchange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model. Because the purchase price was less than the fair value of net assets of Numonyx, the Company recognized a preliminary gain on the acquisition of $437 million. The Company believes the gain realized in acquisition accounting was the result of a number of factors, including the following: significant losses recognized by Numonyx during the recent downturn in the semiconductor memory industry; substantial volatility in Numonyx’s primary markets; market perceptions that future opportunities for Numonyx products in certain markets are limited; the liquidity afforded to the sellers as a result of the limited opportunities to realize the value of their investment in Numonyx; and potential gains to the sellers through their investment in the Company’s equity from synergies between Numonyx and the Company. The consideration and provisional valuation of assets acquired and liabilities assumed were as follows: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Consideration:</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Fair value of restricted stock units issued</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Cash and equivalents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assets acquired</w:t>
            </w: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Pro Forma Financial Statement Adjustments</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pro forma adjustments are included in the Company’s unaudited pro forma condensed combined financial statements:</w:t>
      </w:r>
    </w:p>
    <w:p>
      <w:pPr>
        <w:spacing w:after="0" w:line="225" w:lineRule="exact"/>
        <w:rPr>
          <w:sz w:val="20"/>
          <w:szCs w:val="20"/>
          <w:color w:val="auto"/>
        </w:rPr>
      </w:pPr>
    </w:p>
    <w:p>
      <w:pPr>
        <w:jc w:val="both"/>
        <w:ind w:left="440" w:right="20" w:hanging="298"/>
        <w:spacing w:after="0" w:line="264"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Company’s acquisition of Numonyx, but as a condition of the sale, Numonyx retired $450 million of outstanding notes payable with its cash on hand. The retirement of the notes resulted in a corresponding decrease in interest expense of $2 million and $10 million for the six months ended March 4, 2010 and the year ended September 3, 2009, respectively.</w:t>
      </w:r>
    </w:p>
    <w:p>
      <w:pPr>
        <w:spacing w:after="0" w:line="181" w:lineRule="exact"/>
        <w:rPr>
          <w:rFonts w:ascii="Arial" w:cs="Arial" w:eastAsia="Arial" w:hAnsi="Arial"/>
          <w:sz w:val="18"/>
          <w:szCs w:val="18"/>
          <w:color w:val="auto"/>
        </w:rPr>
      </w:pPr>
    </w:p>
    <w:p>
      <w:pPr>
        <w:ind w:left="440" w:hanging="308"/>
        <w:spacing w:after="0" w:line="277"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adjustments reflect valuation of receivables for Numonyx products sold under agreements allowing pricing protection or rights of return (other than for product warranty), based on the estimated direct and incremental cost to fulfill the Company’s performance obligations.</w:t>
      </w:r>
    </w:p>
    <w:p>
      <w:pPr>
        <w:spacing w:after="0" w:line="170" w:lineRule="exact"/>
        <w:rPr>
          <w:rFonts w:ascii="Arial" w:cs="Arial" w:eastAsia="Arial" w:hAnsi="Arial"/>
          <w:sz w:val="18"/>
          <w:szCs w:val="18"/>
          <w:color w:val="auto"/>
        </w:rPr>
      </w:pPr>
    </w:p>
    <w:p>
      <w:pPr>
        <w:jc w:val="both"/>
        <w:ind w:left="440" w:hanging="298"/>
        <w:spacing w:after="0" w:line="264"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difference between the preliminary estimated fair value and the historical amount of Numonyx’s inventories. The Company expects that the majority of the acquired inventory will be sold in the fourth quarter of 2010. The effects of this adjustment were not reflected in the Pro Forma Statements of Operations because they will not have an ongoing impact on the Company.</w:t>
      </w:r>
    </w:p>
    <w:p>
      <w:pPr>
        <w:spacing w:after="0" w:line="181" w:lineRule="exact"/>
        <w:rPr>
          <w:rFonts w:ascii="Arial" w:cs="Arial" w:eastAsia="Arial" w:hAnsi="Arial"/>
          <w:sz w:val="18"/>
          <w:szCs w:val="18"/>
          <w:color w:val="auto"/>
        </w:rPr>
      </w:pPr>
    </w:p>
    <w:p>
      <w:pPr>
        <w:ind w:left="440" w:hanging="3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net increase (decrease) in deferred taxes related to the acquisition:</w:t>
      </w: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4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43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liabilities</w:t>
            </w:r>
          </w:p>
        </w:tc>
        <w:tc>
          <w:tcPr>
            <w:tcW w:w="4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43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w:t>
            </w:r>
          </w:p>
        </w:tc>
      </w:tr>
    </w:tbl>
    <w:p>
      <w:pPr>
        <w:spacing w:after="0" w:line="187" w:lineRule="exact"/>
        <w:rPr>
          <w:sz w:val="20"/>
          <w:szCs w:val="20"/>
          <w:color w:val="auto"/>
        </w:rPr>
      </w:pPr>
    </w:p>
    <w:p>
      <w:pPr>
        <w:jc w:val="both"/>
        <w:ind w:left="440" w:hanging="298"/>
        <w:spacing w:after="0" w:line="255"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adjustments to eliminate $78 million of intangible assets and $50 million of software assets (included in property, plant and equipment) as well as the amortization of these assets. Intangible assets primarily consisted of a loan guarantee provided to Numonyx for its $450 million notes payable which was retired as a condition of the acquisition (see note (a) above). The loan guarantee was amortized to interest expense. The Company utilized an in-exchange model of determining the provisional fair value of assets and liabilities as of the acquisition date which resulted in assigning no value to Numonyx’s historical software assets and intangible assets. The adjustments to intangible assets and software assets resulted in the following effect on historical amortization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73025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48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480"/>
              <w:spacing w:after="0"/>
              <w:rPr>
                <w:sz w:val="20"/>
                <w:szCs w:val="20"/>
                <w:color w:val="auto"/>
              </w:rPr>
            </w:pPr>
            <w:r>
              <w:rPr>
                <w:rFonts w:ascii="Arial" w:cs="Arial" w:eastAsia="Arial" w:hAnsi="Arial"/>
                <w:sz w:val="18"/>
                <w:szCs w:val="18"/>
                <w:color w:val="auto"/>
              </w:rPr>
              <w:t>Change in Amortization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92"/>
              </w:rPr>
              <w:t>Six months</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85"/>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ended March 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2010</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hanging="287"/>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the Company’s acquisition of Numonyx, the Company acquired a 20.7% noncontrolling interest in Hynix-Numonyx Semiconductor Ltd. (the “Hynix JV”), a joint venture with Hynix Semiconductor, Inc. (“Hynix”) and Hynix Semiconductor (WUXI) Limited. The Hynix JV was formed pursuant to a joint venture agreement originally entered into between STMicroelectronics N.V. (“ST”) and Hynix prior to the formation of Numonyx (as amended and restated, the “JV Agreement”).</w:t>
      </w:r>
    </w:p>
    <w:p>
      <w:pPr>
        <w:spacing w:after="0" w:line="186" w:lineRule="exact"/>
        <w:rPr>
          <w:rFonts w:ascii="Arial" w:cs="Arial" w:eastAsia="Arial" w:hAnsi="Arial"/>
          <w:sz w:val="18"/>
          <w:szCs w:val="18"/>
          <w:color w:val="auto"/>
        </w:rPr>
      </w:pPr>
    </w:p>
    <w:p>
      <w:pPr>
        <w:ind w:left="340"/>
        <w:spacing w:after="0" w:line="272" w:lineRule="auto"/>
        <w:rPr>
          <w:rFonts w:ascii="Arial" w:cs="Arial" w:eastAsia="Arial" w:hAnsi="Arial"/>
          <w:sz w:val="18"/>
          <w:szCs w:val="18"/>
          <w:color w:val="auto"/>
        </w:rPr>
      </w:pPr>
      <w:r>
        <w:rPr>
          <w:rFonts w:ascii="Arial" w:cs="Arial" w:eastAsia="Arial" w:hAnsi="Arial"/>
          <w:sz w:val="17"/>
          <w:szCs w:val="17"/>
          <w:color w:val="auto"/>
        </w:rPr>
        <w:t>Under the terms of the JV Agreement, the change in control of Numonyx due to its acquisition by the Company gave rise to certain rights of the parties to the JV Agreement to buy or sell or cause the other party to buy or sell their equity interests in the Hynix JV, including the right of Hynix to purchase all of the Company’s equity interest in the Hynix JV (the “Hynix Call Option”). Pursuant to the JV Agreement, the exercise price of the Hynix Call Option is an amount equal to the positive difference between the book value of the Hynix JV’s total assets and the book value of the Hynix JV’s total liabilities, multiplied by the Company’s percentage ownership in the Hynix JV, estimated to be approximately $425 million. On May 28, 2010, Hynix gave notice to the Company of its exercise of the Hynix Call Option to acquire the Company’s 20.7% interest in the Hynix JV, subject to regulatory approval. The consummation of the equity transfer is expected to take place prior to the end of the first quarter of fiscal 2011.</w:t>
      </w:r>
    </w:p>
    <w:p>
      <w:pPr>
        <w:spacing w:after="0" w:line="177" w:lineRule="exact"/>
        <w:rPr>
          <w:rFonts w:ascii="Arial" w:cs="Arial" w:eastAsia="Arial" w:hAnsi="Arial"/>
          <w:sz w:val="18"/>
          <w:szCs w:val="18"/>
          <w:color w:val="auto"/>
        </w:rPr>
      </w:pPr>
    </w:p>
    <w:p>
      <w:pPr>
        <w:ind w:left="340" w:right="140"/>
        <w:spacing w:after="0" w:line="264" w:lineRule="auto"/>
        <w:rPr>
          <w:rFonts w:ascii="Arial" w:cs="Arial" w:eastAsia="Arial" w:hAnsi="Arial"/>
          <w:sz w:val="18"/>
          <w:szCs w:val="18"/>
          <w:color w:val="auto"/>
        </w:rPr>
      </w:pPr>
      <w:r>
        <w:rPr>
          <w:rFonts w:ascii="Arial" w:cs="Arial" w:eastAsia="Arial" w:hAnsi="Arial"/>
          <w:sz w:val="18"/>
          <w:szCs w:val="18"/>
          <w:color w:val="auto"/>
        </w:rPr>
        <w:t>In connection with the JV Agreement, the Company recorded an intangible asset of $29 million related to a supply agreement, which is being amortized through the expected remaining term of the agreement. The effects of this adjustment are not reflected in the Pro Forma Statements of Operations because they will not have an ongoing impact as it is estimated that the agreement will end August 2010.</w:t>
      </w:r>
    </w:p>
    <w:p>
      <w:pPr>
        <w:spacing w:after="0" w:line="181"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record the difference between the preliminary estimated fair value and the historical amount of equity method investment as described in note (f) above and the elimination of the effect on operations from Numonyx’s ownership in the Hynix JV, which are not ongoing.</w:t>
      </w:r>
    </w:p>
    <w:p>
      <w:pPr>
        <w:spacing w:after="0" w:line="170"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record the difference between the preliminary estimated fair value and the historical amount of property, plant and equipment and the resulting change in depreciation expense for buildings and equipment with useful lives of 23-26 and 1-5 years,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color w:val="auto"/>
              </w:rPr>
              <w:t>Change in depreciation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5"/>
              </w:rPr>
              <w:t>Preliminary</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2"/>
              </w:rPr>
              <w:t>Six months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85"/>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Historical</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estimated fair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Increase</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w w:val="99"/>
              </w:rPr>
              <w:t>ended March 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0"/>
              </w:rPr>
              <w:t>amount, net</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8"/>
              </w:rPr>
              <w:t>value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0"/>
              </w:rPr>
              <w:t>(decrease)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Depreciation included in cost of goods sold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5"/>
              </w:rPr>
              <w:t>Depreciation included in selling, general and administrative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287"/>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record the preliminary estimated fair value of $46 million for an indemnification asset related to uncertain tax positions that are identified in an indemnification agreement with the sellers of Numonyx and partially collateralized by the shares held in escrow.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ind w:left="340" w:hanging="287"/>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record accrued expenses for $12 million of estimated severance and other separation benefits that became payable to Numonyx employees under change-in-control arrangements as a result of the Company’s acquisition of Numonyx.</w:t>
      </w:r>
    </w:p>
    <w:p>
      <w:pPr>
        <w:spacing w:after="0" w:line="170" w:lineRule="exact"/>
        <w:rPr>
          <w:sz w:val="20"/>
          <w:szCs w:val="20"/>
          <w:color w:val="auto"/>
        </w:rPr>
      </w:pPr>
    </w:p>
    <w:p>
      <w:pPr>
        <w:ind w:left="340" w:hanging="308"/>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difference between the preliminary estimated fair value and the historical amount of other noncurrent liabilities. The adjustment primarily reflects the following items:</w:t>
      </w:r>
    </w:p>
    <w:p>
      <w:pPr>
        <w:spacing w:after="0" w:line="170" w:lineRule="exact"/>
        <w:rPr>
          <w:rFonts w:ascii="Arial" w:cs="Arial" w:eastAsia="Arial" w:hAnsi="Arial"/>
          <w:sz w:val="18"/>
          <w:szCs w:val="18"/>
          <w:color w:val="auto"/>
        </w:rPr>
      </w:pPr>
    </w:p>
    <w:p>
      <w:pPr>
        <w:ind w:left="980" w:hanging="13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Contingent liabilities of $66 million for uncertain tax positions (a significant portion for which the Company has recorded an indemnification asset in other noncurrent assets in the table above), and</w:t>
      </w:r>
    </w:p>
    <w:p>
      <w:pPr>
        <w:spacing w:after="0" w:line="170" w:lineRule="exact"/>
        <w:rPr>
          <w:rFonts w:ascii="Arial" w:cs="Arial" w:eastAsia="Arial" w:hAnsi="Arial"/>
          <w:sz w:val="18"/>
          <w:szCs w:val="18"/>
          <w:color w:val="auto"/>
        </w:rPr>
      </w:pPr>
    </w:p>
    <w:p>
      <w:pPr>
        <w:ind w:left="980" w:hanging="134"/>
        <w:spacing w:after="0"/>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Contingent liabilities of $15 million for the Company’s obligation, subject to certain conditions, to guarantee certain debt of the Hynix JV.</w:t>
      </w:r>
    </w:p>
    <w:p>
      <w:pPr>
        <w:spacing w:after="0" w:line="237" w:lineRule="exact"/>
        <w:rPr>
          <w:sz w:val="20"/>
          <w:szCs w:val="20"/>
          <w:color w:val="auto"/>
        </w:rPr>
      </w:pPr>
    </w:p>
    <w:p>
      <w:pPr>
        <w:jc w:val="both"/>
        <w:ind w:left="340" w:hanging="287"/>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record $305 million of notes payable and accrued interest held by the sellers of Numonyx that were contributed to Numonyx capital immediately prior to closing as a condition of the acquisition. The adjustment for contribution of the notes to capital resulted in a corresponding decrease in interest expense of $17 million and $32 million for the six months ended March 4, 2010 and the year ended September 3, 2009, respectively.</w:t>
      </w:r>
    </w:p>
    <w:p>
      <w:pPr>
        <w:spacing w:after="0" w:line="166" w:lineRule="exact"/>
        <w:rPr>
          <w:sz w:val="20"/>
          <w:szCs w:val="20"/>
          <w:color w:val="auto"/>
        </w:rPr>
      </w:pPr>
    </w:p>
    <w:p>
      <w:pPr>
        <w:ind w:left="360" w:hanging="351"/>
        <w:spacing w:after="0" w:line="277"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eliminate historical transactions between the Company and Numonyx for the periods presented and the related $2 million accounts receivable and accounts payable balances as of March 4,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color w:val="auto"/>
                <w:w w:val="92"/>
              </w:rPr>
              <w:t>Six months</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ended March 4,</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Cost of goods sold</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rPr>
              <w:t>(n) To record the following adjustments to shareholders’ equity:</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Numonyx historical shareholders’ equity</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Elimination of historical acquisition costs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Fair value of restricted stock units issued</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Preliminary gain recorded on the acquisition</w:t>
            </w: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08"/>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record the estimated stock-based compensation expense related to the restricted stock units issued in connection with the acquisition based on the pre-combination services completed and post-combination services required: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4"/>
              </w:rPr>
              <w:t>Six months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ended March 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08"/>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adjust for differences of Numonyx accounting policies from that of the Company for recognizing lower of cost or market inventory write-downs. Historically, Numonyx has evaluated this reserve on a product basis whereas the Company utilizes a pooling method. The estimated effect on cost of goods sold from applying the Company’s policy for lower of cost or market write-downs to Numonyx inventories is an increase of $3 million for the six months ended March 4, 2010 and a decrease of $1 million for the year ended September 3, 2009.</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6" w:name="page47"/>
    <w:bookmarkEnd w:id="46"/>
    <w:p>
      <w:pPr>
        <w:ind w:left="340" w:hanging="308"/>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record the difference between the preliminary estimated fair value and the historical amount of favorable/unfavorable leases and the resulting change in amortization to cost of goods sold with economic lives of 7-12 years for favorable leases and 6 years for unfavorable leases: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260"/>
              <w:spacing w:after="0"/>
              <w:rPr>
                <w:sz w:val="20"/>
                <w:szCs w:val="20"/>
                <w:color w:val="auto"/>
              </w:rPr>
            </w:pPr>
            <w:r>
              <w:rPr>
                <w:rFonts w:ascii="Arial" w:cs="Arial" w:eastAsia="Arial" w:hAnsi="Arial"/>
                <w:sz w:val="18"/>
                <w:szCs w:val="18"/>
                <w:color w:val="auto"/>
              </w:rPr>
              <w:t>Change in amortization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5"/>
              </w:rPr>
              <w:t>Preliminary</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2"/>
              </w:rPr>
              <w:t>Six months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85"/>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Historical</w:t>
            </w: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estimated fair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Increase</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w w:val="99"/>
              </w:rPr>
              <w:t>ended March 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0"/>
              </w:rPr>
              <w:t>amount, net</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value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0"/>
              </w:rPr>
              <w:t>(decrease)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Unfavorable leases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287"/>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Company's acquisition costs of $7 million for the six months ended March 4, 2010 as these costs are non-recurring and directly attributable to the transaction. A related adjustment of $7 million has been made to total equity and accounts payable and accrued expenses to eliminate the effect of the acquisition costs.</w:t>
      </w:r>
    </w:p>
    <w:p>
      <w:pPr>
        <w:spacing w:after="0" w:line="181" w:lineRule="exact"/>
        <w:rPr>
          <w:rFonts w:ascii="Arial" w:cs="Arial" w:eastAsia="Arial" w:hAnsi="Arial"/>
          <w:sz w:val="18"/>
          <w:szCs w:val="18"/>
          <w:color w:val="auto"/>
        </w:rPr>
      </w:pPr>
    </w:p>
    <w:p>
      <w:pPr>
        <w:ind w:left="340" w:hanging="288"/>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valuation allowances on net deferred tax assets for both the Company and Numonyx, the unaudited pro forma condensed combined statements of operations do not reflect statutory rate tax adjustments for pro forma adjustments.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Earnings Per Share</w:t>
      </w:r>
    </w:p>
    <w:p>
      <w:pPr>
        <w:spacing w:after="0" w:line="2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pro forma basic and diluted earnings per share amounts presented in the unaudited pro forma condensed combined statements of operations are based upon the weighted-average number of the Company’s common shares outstanding as adjusted for the following items:</w:t>
      </w:r>
    </w:p>
    <w:p>
      <w:pPr>
        <w:spacing w:after="0" w:line="147" w:lineRule="exact"/>
        <w:rPr>
          <w:sz w:val="20"/>
          <w:szCs w:val="20"/>
          <w:color w:val="auto"/>
        </w:rPr>
      </w:pPr>
    </w:p>
    <w:p>
      <w:pPr>
        <w:ind w:left="660" w:hanging="139"/>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137.7 million shares issued in the acquisition of Numonyx as if those shares were issued as of the beginning of September 2, 2008, and</w:t>
      </w:r>
    </w:p>
    <w:p>
      <w:pPr>
        <w:spacing w:after="0" w:line="236" w:lineRule="exact"/>
        <w:rPr>
          <w:rFonts w:ascii="Arial" w:cs="Arial" w:eastAsia="Arial" w:hAnsi="Arial"/>
          <w:sz w:val="17"/>
          <w:szCs w:val="17"/>
          <w:color w:val="auto"/>
        </w:rPr>
      </w:pPr>
    </w:p>
    <w:p>
      <w:pPr>
        <w:jc w:val="both"/>
        <w:ind w:left="660" w:hanging="139"/>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common stock dilution under the treasury stock method for Numonyx restricted stock units issued in connection with the acquisition. In addition, the pro forma basic and diluted earnings per share amounts are presented as if the awards had been issued and converted as they stood at the acquisition date as of the beginning of each period presented without consideration for any subsequent award activity such as grants, exercises and cancellations.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Six months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ended March 4,</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September 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740" w:type="dxa"/>
            <w:vAlign w:val="bottom"/>
            <w:gridSpan w:val="2"/>
          </w:tcPr>
          <w:p>
            <w:pPr>
              <w:jc w:val="center"/>
              <w:ind w:left="349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Basic</w:t>
            </w:r>
          </w:p>
        </w:tc>
        <w:tc>
          <w:tcPr>
            <w:tcW w:w="3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as reported</w:t>
            </w:r>
          </w:p>
        </w:tc>
        <w:tc>
          <w:tcPr>
            <w:tcW w:w="4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Shares issued in connection with the acquisition of Numonyx</w:t>
            </w:r>
          </w:p>
        </w:tc>
        <w:tc>
          <w:tcPr>
            <w:tcW w:w="3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pro forma</w:t>
            </w:r>
          </w:p>
        </w:tc>
        <w:tc>
          <w:tcPr>
            <w:tcW w:w="36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6"/>
              </w:rPr>
              <w:t>Diluted weighted-average common shares outstanding, as reported</w:t>
            </w:r>
          </w:p>
        </w:tc>
        <w:tc>
          <w:tcPr>
            <w:tcW w:w="4960" w:type="dxa"/>
            <w:vAlign w:val="bottom"/>
            <w:gridSpan w:val="3"/>
          </w:tcPr>
          <w:p>
            <w:pPr>
              <w:jc w:val="right"/>
              <w:ind w:right="220"/>
              <w:spacing w:after="0"/>
              <w:rPr>
                <w:sz w:val="20"/>
                <w:szCs w:val="20"/>
                <w:color w:val="auto"/>
              </w:rPr>
            </w:pPr>
            <w:r>
              <w:rPr>
                <w:rFonts w:ascii="Arial" w:cs="Arial" w:eastAsia="Arial" w:hAnsi="Arial"/>
                <w:sz w:val="18"/>
                <w:szCs w:val="18"/>
                <w:color w:val="auto"/>
              </w:rPr>
              <w:t>1,003.1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the acquisition of Numonyx</w:t>
            </w:r>
          </w:p>
        </w:tc>
        <w:tc>
          <w:tcPr>
            <w:tcW w:w="4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Estimated dilutive effect of Numonyx restricted stock units issued</w:t>
            </w:r>
          </w:p>
        </w:tc>
        <w:tc>
          <w:tcPr>
            <w:tcW w:w="3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weighted-average common shares outstanding, pro forma</w:t>
            </w:r>
          </w:p>
        </w:tc>
        <w:tc>
          <w:tcPr>
            <w:tcW w:w="36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20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jc w:val="right"/>
              <w:ind w:right="2930"/>
              <w:spacing w:after="0"/>
              <w:rPr>
                <w:sz w:val="20"/>
                <w:szCs w:val="20"/>
                <w:color w:val="auto"/>
              </w:rPr>
            </w:pPr>
            <w:r>
              <w:rPr>
                <w:rFonts w:ascii="Arial" w:cs="Arial" w:eastAsia="Arial" w:hAnsi="Arial"/>
                <w:sz w:val="18"/>
                <w:szCs w:val="18"/>
                <w:color w:val="auto"/>
              </w:rPr>
              <w:t>10</w:t>
            </w: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5"/>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1)"/>
      <w:numFmt w:val="lowerLetter"/>
      <w:start w:val="10"/>
    </w:lvl>
  </w:abstractNum>
  <w:abstractNum w:abstractNumId="22">
    <w:nsid w:val="189A769B"/>
    <w:multiLevelType w:val="hybridMultilevel"/>
    <w:lvl w:ilvl="0">
      <w:lvlJc w:val="left"/>
      <w:lvlText w:val="(%1)"/>
      <w:numFmt w:val="lowerLetter"/>
      <w:start w:val="11"/>
    </w:lvl>
    <w:lvl w:ilvl="1">
      <w:lvlJc w:val="left"/>
      <w:lvlText w:val="·"/>
      <w:numFmt w:val="bullet"/>
      <w:start w:val="1"/>
    </w:lvl>
  </w:abstractNum>
  <w:abstractNum w:abstractNumId="23">
    <w:nsid w:val="54E49EB4"/>
    <w:multiLevelType w:val="hybridMultilevel"/>
    <w:lvl w:ilvl="0">
      <w:lvlJc w:val="left"/>
      <w:lvlText w:val="(%1)"/>
      <w:numFmt w:val="lowerLetter"/>
      <w:start w:val="12"/>
    </w:lvl>
  </w:abstractNum>
  <w:abstractNum w:abstractNumId="24">
    <w:nsid w:val="71F32454"/>
    <w:multiLevelType w:val="hybridMultilevel"/>
    <w:lvl w:ilvl="0">
      <w:lvlJc w:val="left"/>
      <w:lvlText w:val="(%1)"/>
      <w:numFmt w:val="lowerLetter"/>
      <w:start w:val="13"/>
    </w:lvl>
  </w:abstractNum>
  <w:abstractNum w:abstractNumId="25">
    <w:nsid w:val="2CA88611"/>
    <w:multiLevelType w:val="hybridMultilevel"/>
    <w:lvl w:ilvl="0">
      <w:lvlJc w:val="left"/>
      <w:lvlText w:val="(%1)"/>
      <w:numFmt w:val="lowerLetter"/>
      <w:start w:val="15"/>
    </w:lvl>
  </w:abstractNum>
  <w:abstractNum w:abstractNumId="26">
    <w:nsid w:val="836C40E"/>
    <w:multiLevelType w:val="hybridMultilevel"/>
    <w:lvl w:ilvl="0">
      <w:lvlJc w:val="left"/>
      <w:lvlText w:val="(%1)"/>
      <w:numFmt w:val="lowerLetter"/>
      <w:start w:val="16"/>
    </w:lvl>
  </w:abstractNum>
  <w:abstractNum w:abstractNumId="27">
    <w:nsid w:val="2901D82"/>
    <w:multiLevelType w:val="hybridMultilevel"/>
    <w:lvl w:ilvl="0">
      <w:lvlJc w:val="left"/>
      <w:lvlText w:val="(%1)"/>
      <w:numFmt w:val="lowerLetter"/>
      <w:start w:val="17"/>
    </w:lvl>
  </w:abstractNum>
  <w:abstractNum w:abstractNumId="28">
    <w:nsid w:val="3A95F874"/>
    <w:multiLevelType w:val="hybridMultilevel"/>
    <w:lvl w:ilvl="0">
      <w:lvlJc w:val="left"/>
      <w:lvlText w:val="(%1)"/>
      <w:numFmt w:val="lowerLetter"/>
      <w:start w:val="18"/>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2019-12-10T05:07:37Z</dcterms:created>
  <dcterms:modified xsi:type="dcterms:W3CDTF">2019-12-10T05:07:37Z</dcterms:modified>
</cp:coreProperties>
</file>