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13D/A</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Micron Electronics, Inc.</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par value $.01 per share</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595 100 10 8</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W.G. Stover, Jr.</w:t>
      </w:r>
    </w:p>
    <w:p>
      <w:pPr>
        <w:ind w:left="2000"/>
        <w:spacing w:after="0" w:line="238" w:lineRule="auto"/>
        <w:rPr>
          <w:sz w:val="20"/>
          <w:szCs w:val="20"/>
          <w:color w:val="auto"/>
        </w:rPr>
      </w:pPr>
      <w:r>
        <w:rPr>
          <w:rFonts w:ascii="Courier New" w:cs="Courier New" w:eastAsia="Courier New" w:hAnsi="Courier New"/>
          <w:sz w:val="18"/>
          <w:szCs w:val="18"/>
          <w:color w:val="auto"/>
        </w:rPr>
        <w:t>V.P of Finance and Chief Financial Officer</w:t>
      </w:r>
    </w:p>
    <w:p>
      <w:pPr>
        <w:ind w:left="2960"/>
        <w:spacing w:after="0"/>
        <w:rPr>
          <w:sz w:val="20"/>
          <w:szCs w:val="20"/>
          <w:color w:val="auto"/>
        </w:rPr>
      </w:pPr>
      <w:r>
        <w:rPr>
          <w:rFonts w:ascii="Courier New" w:cs="Courier New" w:eastAsia="Courier New" w:hAnsi="Courier New"/>
          <w:sz w:val="18"/>
          <w:szCs w:val="18"/>
          <w:color w:val="auto"/>
        </w:rPr>
        <w:t>Micron Technology, Inc.</w:t>
      </w:r>
    </w:p>
    <w:p>
      <w:pPr>
        <w:ind w:left="3060"/>
        <w:spacing w:after="0" w:line="237" w:lineRule="auto"/>
        <w:rPr>
          <w:sz w:val="20"/>
          <w:szCs w:val="20"/>
          <w:color w:val="auto"/>
        </w:rPr>
      </w:pPr>
      <w:r>
        <w:rPr>
          <w:rFonts w:ascii="Courier New" w:cs="Courier New" w:eastAsia="Courier New" w:hAnsi="Courier New"/>
          <w:sz w:val="18"/>
          <w:szCs w:val="18"/>
          <w:color w:val="auto"/>
        </w:rPr>
        <w:t>8000 South Federal Way</w:t>
      </w:r>
    </w:p>
    <w:p>
      <w:pPr>
        <w:ind w:left="2960"/>
        <w:spacing w:after="0" w:line="238" w:lineRule="auto"/>
        <w:rPr>
          <w:sz w:val="20"/>
          <w:szCs w:val="20"/>
          <w:color w:val="auto"/>
        </w:rPr>
      </w:pPr>
      <w:r>
        <w:rPr>
          <w:rFonts w:ascii="Courier New" w:cs="Courier New" w:eastAsia="Courier New" w:hAnsi="Courier New"/>
          <w:sz w:val="18"/>
          <w:szCs w:val="18"/>
          <w:color w:val="auto"/>
        </w:rPr>
        <w:t>Boise, Idaho 83716-9632</w:t>
      </w:r>
    </w:p>
    <w:p>
      <w:pPr>
        <w:ind w:left="2860"/>
        <w:spacing w:after="0"/>
        <w:tabs>
          <w:tab w:leader="none" w:pos="4100" w:val="left"/>
        </w:tabs>
        <w:rPr>
          <w:sz w:val="20"/>
          <w:szCs w:val="20"/>
          <w:color w:val="auto"/>
        </w:rPr>
      </w:pPr>
      <w:r>
        <w:rPr>
          <w:rFonts w:ascii="Courier New" w:cs="Courier New" w:eastAsia="Courier New" w:hAnsi="Courier New"/>
          <w:sz w:val="18"/>
          <w:szCs w:val="18"/>
          <w:color w:val="auto"/>
        </w:rPr>
        <w:t>Telephone:</w:t>
        <w:tab/>
        <w:t>(208) 368-4000</w:t>
      </w:r>
    </w:p>
    <w:p>
      <w:pPr>
        <w:ind w:left="28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jc w:val="center"/>
        <w:ind w:right="1879"/>
        <w:spacing w:after="0" w:line="235" w:lineRule="auto"/>
        <w:rPr>
          <w:sz w:val="20"/>
          <w:szCs w:val="20"/>
          <w:color w:val="auto"/>
        </w:rPr>
      </w:pPr>
      <w:r>
        <w:rPr>
          <w:rFonts w:ascii="Courier New" w:cs="Courier New" w:eastAsia="Courier New" w:hAnsi="Courier New"/>
          <w:sz w:val="18"/>
          <w:szCs w:val="18"/>
          <w:color w:val="auto"/>
        </w:rPr>
        <w:t>(Name, Address and Telephone Number of Person Authorized to Receive Notices and Communications)</w:t>
      </w: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October 18, 1999</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jc w:val="center"/>
        <w:ind w:right="187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that is the subject of this Schedule 13D, and is filing this schedule because of (S) 240.13d-1(e), 240.13d-1(f) or 240.13d-1(g), check the following box. [ ]</w:t>
      </w:r>
    </w:p>
    <w:p>
      <w:pPr>
        <w:spacing w:after="0" w:line="202"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Company's initial</w:t>
      </w:r>
    </w:p>
    <w:p>
      <w:pPr>
        <w:spacing w:after="0" w:line="4"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filing on this form with respect to the subject class of securities, and for any subsequent amendment containing information which would alter disclosures provided in a prior cover page.</w:t>
      </w: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649" w:right="1440" w:bottom="1440" w:gutter="0" w:footer="0" w:header="0"/>
        </w:sectPr>
      </w:pPr>
    </w:p>
    <w:bookmarkStart w:id="1" w:name="page2"/>
    <w:bookmarkEnd w:id="1"/>
    <w:p>
      <w:pPr>
        <w:jc w:val="center"/>
        <w:ind w:right="18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ectPr>
          <w:pgSz w:w="11900" w:h="16838" w:orient="portrait"/>
          <w:cols w:equalWidth="0" w:num="1">
            <w:col w:w="10219"/>
          </w:cols>
          <w:pgMar w:left="240" w:top="723" w:right="1440" w:bottom="1440"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595 100 10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 OF 9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500" w:space="720"/>
            <w:col w:w="3999"/>
          </w:cols>
          <w:pgMar w:left="240" w:top="723" w:right="1440" w:bottom="144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REPORTING PERSON</w:t>
      </w: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S.S. OR I.R.S. IDENTIFICATION NO. OF ABOVE PERSON</w:t>
      </w:r>
    </w:p>
    <w:p>
      <w:pPr>
        <w:spacing w:after="0" w:line="201" w:lineRule="exact"/>
        <w:rPr>
          <w:rFonts w:ascii="Courier New" w:cs="Courier New" w:eastAsia="Courier New" w:hAnsi="Courier New"/>
          <w:sz w:val="16"/>
          <w:szCs w:val="16"/>
          <w:color w:val="auto"/>
        </w:rPr>
      </w:pP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Micron Technology, Inc.</w:t>
      </w:r>
      <w:r>
        <w:rPr>
          <w:rFonts w:ascii="Courier New" w:cs="Courier New" w:eastAsia="Courier New" w:hAnsi="Courier New"/>
          <w:sz w:val="16"/>
          <w:szCs w:val="16"/>
          <w:color w:val="auto"/>
        </w:rPr>
        <w:t>75-1618004</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w:t>
      </w:r>
    </w:p>
    <w:tbl>
      <w:tblPr>
        <w:tblLayout w:type="fixed"/>
        <w:tblInd w:w="120" w:type="dxa"/>
        <w:tblCellMar>
          <w:top w:w="0" w:type="dxa"/>
          <w:left w:w="0" w:type="dxa"/>
          <w:bottom w:w="0" w:type="dxa"/>
          <w:right w:w="0" w:type="dxa"/>
        </w:tblCellMar>
      </w:tblPr>
      <w:tr>
        <w:trPr>
          <w:trHeight w:val="203"/>
        </w:trPr>
        <w:tc>
          <w:tcPr>
            <w:tcW w:w="3360" w:type="dxa"/>
            <w:vAlign w:val="bottom"/>
          </w:tcPr>
          <w:p>
            <w:pPr>
              <w:jc w:val="right"/>
              <w:ind w:right="3172"/>
              <w:spacing w:after="0"/>
              <w:rPr>
                <w:sz w:val="20"/>
                <w:szCs w:val="20"/>
                <w:color w:val="auto"/>
              </w:rPr>
            </w:pPr>
            <w:r>
              <w:rPr>
                <w:rFonts w:ascii="Courier New" w:cs="Courier New" w:eastAsia="Courier New" w:hAnsi="Courier New"/>
                <w:sz w:val="18"/>
                <w:szCs w:val="18"/>
                <w:color w:val="auto"/>
                <w:w w:val="73"/>
              </w:rPr>
              <w:t>2</w:t>
            </w:r>
          </w:p>
        </w:tc>
        <w:tc>
          <w:tcPr>
            <w:tcW w:w="3640" w:type="dxa"/>
            <w:vAlign w:val="bottom"/>
          </w:tcPr>
          <w:p>
            <w:pPr>
              <w:ind w:left="32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[_]</w:t>
            </w:r>
          </w:p>
        </w:tc>
      </w:tr>
      <w:tr>
        <w:trPr>
          <w:trHeight w:val="203"/>
        </w:trPr>
        <w:tc>
          <w:tcPr>
            <w:tcW w:w="3360" w:type="dxa"/>
            <w:vAlign w:val="bottom"/>
          </w:tcPr>
          <w:p>
            <w:pPr>
              <w:spacing w:after="0"/>
              <w:rPr>
                <w:sz w:val="17"/>
                <w:szCs w:val="17"/>
                <w:color w:val="auto"/>
              </w:rPr>
            </w:pPr>
          </w:p>
        </w:tc>
        <w:tc>
          <w:tcPr>
            <w:tcW w:w="3640" w:type="dxa"/>
            <w:vAlign w:val="bottom"/>
          </w:tcPr>
          <w:p>
            <w:pPr>
              <w:ind w:left="32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[X]</w:t>
            </w:r>
          </w:p>
        </w:tc>
      </w:tr>
    </w:tbl>
    <w:p>
      <w:pPr>
        <w:spacing w:after="0" w:line="4"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ind w:left="120"/>
        <w:spacing w:after="0"/>
        <w:rPr>
          <w:sz w:val="20"/>
          <w:szCs w:val="20"/>
          <w:color w:val="auto"/>
        </w:rPr>
      </w:pPr>
      <w:r>
        <w:rPr>
          <w:rFonts w:ascii="Courier New" w:cs="Courier New" w:eastAsia="Courier New" w:hAnsi="Courier New"/>
          <w:sz w:val="18"/>
          <w:szCs w:val="18"/>
          <w:color w:val="auto"/>
        </w:rPr>
        <w:t>3</w:t>
      </w:r>
    </w:p>
    <w:p>
      <w:pPr>
        <w:spacing w:after="0" w:line="206"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SOURCE OF FUNDS*</w:t>
      </w:r>
    </w:p>
    <w:p>
      <w:pPr>
        <w:ind w:left="120"/>
        <w:spacing w:after="0"/>
        <w:rPr>
          <w:sz w:val="20"/>
          <w:szCs w:val="20"/>
          <w:color w:val="auto"/>
        </w:rPr>
      </w:pPr>
      <w:r>
        <w:rPr>
          <w:rFonts w:ascii="Courier New" w:cs="Courier New" w:eastAsia="Courier New" w:hAnsi="Courier New"/>
          <w:sz w:val="18"/>
          <w:szCs w:val="18"/>
          <w:color w:val="auto"/>
        </w:rPr>
        <w:t>4</w:t>
      </w:r>
    </w:p>
    <w:p>
      <w:pPr>
        <w:ind w:left="640"/>
        <w:spacing w:after="0" w:line="237" w:lineRule="auto"/>
        <w:rPr>
          <w:sz w:val="20"/>
          <w:szCs w:val="20"/>
          <w:color w:val="auto"/>
        </w:rPr>
      </w:pPr>
      <w:r>
        <w:rPr>
          <w:rFonts w:ascii="Courier New" w:cs="Courier New" w:eastAsia="Courier New" w:hAnsi="Courier New"/>
          <w:sz w:val="18"/>
          <w:szCs w:val="18"/>
          <w:color w:val="auto"/>
        </w:rPr>
        <w:t>OO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2739"/>
        <w:spacing w:after="0" w:line="235"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2(d) or 2(e) [_]</w:t>
      </w:r>
    </w:p>
    <w:p>
      <w:pPr>
        <w:ind w:left="120"/>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CITIZENSHIP OR PLACE OF ORGANIZATION</w:t>
      </w:r>
    </w:p>
    <w:p>
      <w:pPr>
        <w:ind w:left="120"/>
        <w:spacing w:after="0" w:line="238" w:lineRule="auto"/>
        <w:rPr>
          <w:sz w:val="20"/>
          <w:szCs w:val="20"/>
          <w:color w:val="auto"/>
        </w:rPr>
      </w:pPr>
      <w:r>
        <w:rPr>
          <w:rFonts w:ascii="Courier New" w:cs="Courier New" w:eastAsia="Courier New" w:hAnsi="Courier New"/>
          <w:sz w:val="18"/>
          <w:szCs w:val="18"/>
          <w:color w:val="auto"/>
        </w:rPr>
        <w:t>6</w:t>
      </w: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3"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VOTING POWER</w:t>
      </w:r>
    </w:p>
    <w:p>
      <w:pPr>
        <w:ind w:left="2220"/>
        <w:spacing w:after="0"/>
        <w:rPr>
          <w:sz w:val="20"/>
          <w:szCs w:val="20"/>
          <w:color w:val="auto"/>
        </w:rPr>
      </w:pPr>
      <w:r>
        <w:rPr>
          <w:rFonts w:ascii="Courier New" w:cs="Courier New" w:eastAsia="Courier New" w:hAnsi="Courier New"/>
          <w:sz w:val="18"/>
          <w:szCs w:val="18"/>
          <w:color w:val="auto"/>
        </w:rPr>
        <w:t>7</w:t>
      </w:r>
    </w:p>
    <w:p>
      <w:pPr>
        <w:ind w:left="540"/>
        <w:spacing w:after="0" w:line="237" w:lineRule="auto"/>
        <w:rPr>
          <w:sz w:val="20"/>
          <w:szCs w:val="20"/>
          <w:color w:val="auto"/>
        </w:rPr>
      </w:pPr>
      <w:r>
        <w:rPr>
          <w:rFonts w:ascii="Courier New" w:cs="Courier New" w:eastAsia="Courier New" w:hAnsi="Courier New"/>
          <w:sz w:val="18"/>
          <w:szCs w:val="18"/>
          <w:color w:val="auto"/>
        </w:rPr>
        <w:t>NUMBER OF</w:t>
      </w:r>
    </w:p>
    <w:p>
      <w:pPr>
        <w:ind w:left="3480"/>
        <w:spacing w:after="0" w:line="238" w:lineRule="auto"/>
        <w:rPr>
          <w:sz w:val="20"/>
          <w:szCs w:val="20"/>
          <w:color w:val="auto"/>
        </w:rPr>
      </w:pPr>
      <w:r>
        <w:rPr>
          <w:rFonts w:ascii="Courier New" w:cs="Courier New" w:eastAsia="Courier New" w:hAnsi="Courier New"/>
          <w:sz w:val="18"/>
          <w:szCs w:val="18"/>
          <w:color w:val="auto"/>
        </w:rPr>
        <w:t>58,622,863</w:t>
      </w:r>
    </w:p>
    <w:p>
      <w:pPr>
        <w:ind w:left="640"/>
        <w:spacing w:after="0"/>
        <w:tabs>
          <w:tab w:leader="none" w:pos="19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6"/>
          <w:szCs w:val="16"/>
          <w:color w:val="auto"/>
        </w:rPr>
        <w:t>-----------------------------------------------------------</w:t>
      </w:r>
    </w:p>
    <w:p>
      <w:pPr>
        <w:ind w:left="2740"/>
        <w:spacing w:after="0" w:line="237" w:lineRule="auto"/>
        <w:rPr>
          <w:sz w:val="20"/>
          <w:szCs w:val="20"/>
          <w:color w:val="auto"/>
        </w:rPr>
      </w:pPr>
      <w:r>
        <w:rPr>
          <w:rFonts w:ascii="Courier New" w:cs="Courier New" w:eastAsia="Courier New" w:hAnsi="Courier New"/>
          <w:sz w:val="18"/>
          <w:szCs w:val="18"/>
          <w:color w:val="auto"/>
        </w:rPr>
        <w:t>SHARED VOTING POWER</w:t>
      </w:r>
    </w:p>
    <w:p>
      <w:pPr>
        <w:ind w:left="320"/>
        <w:spacing w:after="0"/>
        <w:tabs>
          <w:tab w:leader="none" w:pos="220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6"/>
          <w:szCs w:val="16"/>
          <w:color w:val="auto"/>
        </w:rPr>
        <w:t>8</w:t>
      </w:r>
    </w:p>
    <w:p>
      <w:pPr>
        <w:spacing w:after="0" w:line="200" w:lineRule="exact"/>
        <w:rPr>
          <w:sz w:val="20"/>
          <w:szCs w:val="20"/>
          <w:color w:val="auto"/>
        </w:rPr>
      </w:pPr>
    </w:p>
    <w:p>
      <w:pPr>
        <w:ind w:left="540"/>
        <w:spacing w:after="0"/>
        <w:tabs>
          <w:tab w:leader="none" w:pos="346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6"/>
          <w:szCs w:val="16"/>
          <w:color w:val="auto"/>
        </w:rPr>
        <w:t>0</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ind w:left="740"/>
        <w:spacing w:after="0"/>
        <w:tabs>
          <w:tab w:leader="none" w:pos="2720" w:val="left"/>
        </w:tabs>
        <w:rPr>
          <w:sz w:val="20"/>
          <w:szCs w:val="20"/>
          <w:color w:val="auto"/>
        </w:rPr>
      </w:pPr>
      <w:r>
        <w:rPr>
          <w:rFonts w:ascii="Courier New" w:cs="Courier New" w:eastAsia="Courier New" w:hAnsi="Courier New"/>
          <w:sz w:val="18"/>
          <w:szCs w:val="18"/>
          <w:color w:val="auto"/>
        </w:rPr>
        <w:t>EACH</w:t>
      </w:r>
      <w:r>
        <w:rPr>
          <w:sz w:val="20"/>
          <w:szCs w:val="20"/>
          <w:color w:val="auto"/>
        </w:rPr>
        <w:tab/>
      </w:r>
      <w:r>
        <w:rPr>
          <w:rFonts w:ascii="Courier New" w:cs="Courier New" w:eastAsia="Courier New" w:hAnsi="Courier New"/>
          <w:sz w:val="16"/>
          <w:szCs w:val="16"/>
          <w:color w:val="auto"/>
        </w:rPr>
        <w:t>SOLE DISPOSITIVE POWER</w:t>
      </w:r>
    </w:p>
    <w:p>
      <w:pPr>
        <w:ind w:left="2220"/>
        <w:spacing w:after="0" w:line="237" w:lineRule="auto"/>
        <w:rPr>
          <w:sz w:val="20"/>
          <w:szCs w:val="20"/>
          <w:color w:val="auto"/>
        </w:rPr>
      </w:pPr>
      <w:r>
        <w:rPr>
          <w:rFonts w:ascii="Courier New" w:cs="Courier New" w:eastAsia="Courier New" w:hAnsi="Courier New"/>
          <w:sz w:val="18"/>
          <w:szCs w:val="18"/>
          <w:color w:val="auto"/>
        </w:rPr>
        <w:t>9</w:t>
      </w:r>
    </w:p>
    <w:p>
      <w:pPr>
        <w:ind w:left="420"/>
        <w:spacing w:after="0" w:line="238" w:lineRule="auto"/>
        <w:rPr>
          <w:sz w:val="20"/>
          <w:szCs w:val="20"/>
          <w:color w:val="auto"/>
        </w:rPr>
      </w:pPr>
      <w:r>
        <w:rPr>
          <w:rFonts w:ascii="Courier New" w:cs="Courier New" w:eastAsia="Courier New" w:hAnsi="Courier New"/>
          <w:sz w:val="18"/>
          <w:szCs w:val="18"/>
          <w:color w:val="auto"/>
        </w:rPr>
        <w:t>REPORTING</w:t>
      </w:r>
    </w:p>
    <w:p>
      <w:pPr>
        <w:ind w:left="3480"/>
        <w:spacing w:after="0"/>
        <w:rPr>
          <w:sz w:val="20"/>
          <w:szCs w:val="20"/>
          <w:color w:val="auto"/>
        </w:rPr>
      </w:pPr>
      <w:r>
        <w:rPr>
          <w:rFonts w:ascii="Courier New" w:cs="Courier New" w:eastAsia="Courier New" w:hAnsi="Courier New"/>
          <w:sz w:val="18"/>
          <w:szCs w:val="18"/>
          <w:color w:val="auto"/>
        </w:rPr>
        <w:t>58,622,863</w:t>
      </w:r>
    </w:p>
    <w:p>
      <w:pPr>
        <w:ind w:left="640"/>
        <w:spacing w:after="0"/>
        <w:tabs>
          <w:tab w:leader="none" w:pos="198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6"/>
          <w:szCs w:val="16"/>
          <w:color w:val="auto"/>
        </w:rPr>
        <w:t>-----------------------------------------------------------</w:t>
      </w:r>
    </w:p>
    <w:p>
      <w:pPr>
        <w:ind w:left="2740"/>
        <w:spacing w:after="0"/>
        <w:rPr>
          <w:sz w:val="20"/>
          <w:szCs w:val="20"/>
          <w:color w:val="auto"/>
        </w:rPr>
      </w:pPr>
      <w:r>
        <w:rPr>
          <w:rFonts w:ascii="Courier New" w:cs="Courier New" w:eastAsia="Courier New" w:hAnsi="Courier New"/>
          <w:sz w:val="18"/>
          <w:szCs w:val="18"/>
          <w:color w:val="auto"/>
        </w:rPr>
        <w:t>SHARED DISPOSITIVE POWER</w:t>
      </w:r>
    </w:p>
    <w:p>
      <w:pPr>
        <w:ind w:left="740"/>
        <w:spacing w:after="0" w:line="237" w:lineRule="auto"/>
        <w:tabs>
          <w:tab w:leader="none" w:pos="220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10</w:t>
      </w:r>
    </w:p>
    <w:p>
      <w:pPr>
        <w:ind w:left="3480"/>
        <w:spacing w:after="0"/>
        <w:rPr>
          <w:sz w:val="20"/>
          <w:szCs w:val="20"/>
          <w:color w:val="auto"/>
        </w:rPr>
      </w:pPr>
      <w:r>
        <w:rPr>
          <w:rFonts w:ascii="Courier New" w:cs="Courier New" w:eastAsia="Courier New" w:hAnsi="Courier New"/>
          <w:sz w:val="18"/>
          <w:szCs w:val="18"/>
          <w:color w:val="auto"/>
        </w:rPr>
        <w:t>0</w:t>
      </w:r>
    </w:p>
    <w:p>
      <w:pPr>
        <w:spacing w:after="0" w:line="3"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AGGREGATE AMOUNT BENEFICIALLY OWNED BY EACH REPORTING PERSON</w:t>
      </w:r>
    </w:p>
    <w:p>
      <w:pPr>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58,622,863</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BOX IF THE AGGREGATE AMOUNT IN ROW (11) EXCLUDES CERTAIN SHARES*</w:t>
      </w:r>
    </w:p>
    <w:p>
      <w:pPr>
        <w:spacing w:after="0"/>
        <w:rPr>
          <w:sz w:val="20"/>
          <w:szCs w:val="20"/>
          <w:color w:val="auto"/>
        </w:rPr>
      </w:pPr>
      <w:r>
        <w:rPr>
          <w:rFonts w:ascii="Courier New" w:cs="Courier New" w:eastAsia="Courier New" w:hAnsi="Courier New"/>
          <w:sz w:val="18"/>
          <w:szCs w:val="18"/>
          <w:color w:val="auto"/>
        </w:rPr>
        <w:t>12</w:t>
      </w:r>
    </w:p>
    <w:p>
      <w:pPr>
        <w:ind w:left="640"/>
        <w:spacing w:after="0" w:line="237" w:lineRule="auto"/>
        <w:rPr>
          <w:sz w:val="20"/>
          <w:szCs w:val="20"/>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PERCENT OF CLASS REPRESENTED BY AMOUNT IN ROW (11)</w:t>
      </w:r>
    </w:p>
    <w:p>
      <w:pPr>
        <w:spacing w:after="0"/>
        <w:rPr>
          <w:sz w:val="20"/>
          <w:szCs w:val="20"/>
          <w:color w:val="auto"/>
        </w:rPr>
      </w:pPr>
      <w:r>
        <w:rPr>
          <w:rFonts w:ascii="Courier New" w:cs="Courier New" w:eastAsia="Courier New" w:hAnsi="Courier New"/>
          <w:sz w:val="18"/>
          <w:szCs w:val="18"/>
          <w:color w:val="auto"/>
        </w:rPr>
        <w:t>13</w:t>
      </w:r>
    </w:p>
    <w:p>
      <w:pPr>
        <w:ind w:left="860"/>
        <w:spacing w:after="0" w:line="237" w:lineRule="auto"/>
        <w:rPr>
          <w:sz w:val="20"/>
          <w:szCs w:val="20"/>
          <w:color w:val="auto"/>
        </w:rPr>
      </w:pPr>
      <w:r>
        <w:rPr>
          <w:rFonts w:ascii="Courier New" w:cs="Courier New" w:eastAsia="Courier New" w:hAnsi="Courier New"/>
          <w:sz w:val="18"/>
          <w:szCs w:val="18"/>
          <w:color w:val="auto"/>
        </w:rPr>
        <w:t>60.7%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TYPE OF REPORTING PERSON*</w:t>
      </w:r>
    </w:p>
    <w:p>
      <w:pPr>
        <w:spacing w:after="0" w:line="238" w:lineRule="auto"/>
        <w:rPr>
          <w:sz w:val="20"/>
          <w:szCs w:val="20"/>
          <w:color w:val="auto"/>
        </w:rPr>
      </w:pPr>
      <w:r>
        <w:rPr>
          <w:rFonts w:ascii="Courier New" w:cs="Courier New" w:eastAsia="Courier New" w:hAnsi="Courier New"/>
          <w:sz w:val="18"/>
          <w:szCs w:val="18"/>
          <w:color w:val="auto"/>
        </w:rPr>
        <w:t>14</w:t>
      </w:r>
    </w:p>
    <w:p>
      <w:pPr>
        <w:ind w:left="640"/>
        <w:spacing w:after="0"/>
        <w:rPr>
          <w:sz w:val="20"/>
          <w:szCs w:val="20"/>
          <w:color w:val="auto"/>
        </w:rPr>
      </w:pPr>
      <w:r>
        <w:rPr>
          <w:rFonts w:ascii="Courier New" w:cs="Courier New" w:eastAsia="Courier New" w:hAnsi="Courier New"/>
          <w:sz w:val="18"/>
          <w:szCs w:val="18"/>
          <w:color w:val="auto"/>
        </w:rPr>
        <w:t>CO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23" w:right="1440" w:bottom="1440" w:gutter="0" w:footer="0" w:header="0"/>
          <w:type w:val="continuous"/>
        </w:sectPr>
      </w:pPr>
    </w:p>
    <w:bookmarkStart w:id="2" w:name="page3"/>
    <w:bookmarkEnd w:id="2"/>
    <w:p>
      <w:pPr>
        <w:ind w:left="6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3240"/>
        <w:spacing w:after="0"/>
        <w:rPr>
          <w:sz w:val="20"/>
          <w:szCs w:val="20"/>
          <w:color w:val="auto"/>
        </w:rPr>
      </w:pPr>
      <w:r>
        <w:rPr>
          <w:rFonts w:ascii="Courier New" w:cs="Courier New" w:eastAsia="Courier New" w:hAnsi="Courier New"/>
          <w:sz w:val="18"/>
          <w:szCs w:val="18"/>
          <w:color w:val="auto"/>
        </w:rPr>
        <w:t>PAGE 3 of 9 PAGES</w:t>
      </w:r>
    </w:p>
    <w:p>
      <w:pPr>
        <w:spacing w:after="0" w:line="4" w:lineRule="exact"/>
        <w:rPr>
          <w:sz w:val="20"/>
          <w:szCs w:val="20"/>
          <w:color w:val="auto"/>
        </w:rPr>
      </w:pPr>
    </w:p>
    <w:p>
      <w:pPr>
        <w:ind w:left="6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left="540" w:right="1779" w:hanging="532"/>
        <w:spacing w:after="0" w:line="268" w:lineRule="auto"/>
        <w:tabs>
          <w:tab w:leader="none" w:pos="5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title of the class of equity securities to which this statement relates is: common stock, par value $.01 per share (the "MEI Common Stock").</w:t>
      </w:r>
    </w:p>
    <w:p>
      <w:pPr>
        <w:ind w:left="540" w:right="2099" w:hanging="532"/>
        <w:spacing w:after="0" w:line="236"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and address of the principal executive offices of the issuer of such securities is: Micron Electronics, Inc. ("MEI"), 900 East Karcher Road, Nampa, Idaho 83687.</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1"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Micron Technology, Inc. ("Micron")</w:t>
      </w:r>
    </w:p>
    <w:p>
      <w:pPr>
        <w:spacing w:after="0" w:line="4"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8000 South Federal Way, Boise, Idaho 83716-9632.</w:t>
      </w:r>
    </w:p>
    <w:p>
      <w:pPr>
        <w:spacing w:after="0" w:line="5" w:lineRule="exact"/>
        <w:rPr>
          <w:rFonts w:ascii="Courier New" w:cs="Courier New" w:eastAsia="Courier New" w:hAnsi="Courier New"/>
          <w:sz w:val="18"/>
          <w:szCs w:val="18"/>
          <w:color w:val="auto"/>
        </w:rPr>
      </w:pPr>
    </w:p>
    <w:p>
      <w:pPr>
        <w:ind w:left="540" w:right="2319" w:hanging="532"/>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Business: Design, development, manufacture and marketing of semiconductor memory products and personal computer systems.</w:t>
      </w:r>
    </w:p>
    <w:p>
      <w:pPr>
        <w:spacing w:after="0" w:line="5" w:lineRule="exact"/>
        <w:rPr>
          <w:rFonts w:ascii="Courier New" w:cs="Courier New" w:eastAsia="Courier New" w:hAnsi="Courier New"/>
          <w:sz w:val="18"/>
          <w:szCs w:val="18"/>
          <w:color w:val="auto"/>
        </w:rPr>
      </w:pPr>
    </w:p>
    <w:p>
      <w:pPr>
        <w:ind w:left="540" w:right="1879" w:hanging="532"/>
        <w:spacing w:after="0" w:line="236"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Criminal Proceedings: During the last five years, neither Micron nor any executive officer or director of Micron has been convicted in any criminal proceeding.</w:t>
      </w:r>
    </w:p>
    <w:p>
      <w:pPr>
        <w:spacing w:after="0" w:line="6" w:lineRule="exact"/>
        <w:rPr>
          <w:rFonts w:ascii="Courier New" w:cs="Courier New" w:eastAsia="Courier New" w:hAnsi="Courier New"/>
          <w:sz w:val="18"/>
          <w:szCs w:val="18"/>
          <w:color w:val="auto"/>
        </w:rPr>
      </w:pPr>
    </w:p>
    <w:p>
      <w:pPr>
        <w:ind w:left="540" w:right="1879" w:hanging="532"/>
        <w:spacing w:after="0" w:line="237"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Civil Proceedings: During the last five years, neither Micron nor any executive officer or director of Micron has been party to any civil proceeding of a judicial or administrative body of competent jurisdiction as a result of which such person was or is subject to any judgment, decree or final order enjoining future violations of, or prohibiting or mandating activities subject to, Federal or State securities laws or finding any violation with respect to such laws.</w:t>
      </w:r>
    </w:p>
    <w:p>
      <w:pPr>
        <w:spacing w:after="0" w:line="4"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  Delaware.</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Attached hereto as Appendix A is information required by this Item 2 with respect to the executive officers and directors of Micron.</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On April 7, 1995, pursuant to an Agreement of Merger dated October 30, 1994, as amended (the "Merger Agreement"), Micron Computer, Inc., an Idaho corporation ("MCI"), and Micron Custom Manufacturing Services, Inc., an Idaho corporation ("MCMS"), merged (the "Merger") with and into ZEOS International, Ltd., a Minnesota corporation ("ZEOS"). In accordance with the Merger Agreement, at the effective time of the Merger all outstanding shares (other than dissenting shares) of Class A Common Stock of MCI, Class B Common Stock of MCI and Common Stock of MCMS were converted into shares of Common Stock of ZEOS and ZEOS's name was changed to "Micron Electronics, Inc." Micron was previously the parent corporation of MCI and MCMS. As a result of the Merger, Micron's shares of MCI and MCMS Common Stock were converted into an aggregate of 73,312,863 shares of MEI Common Stock, of which Micron has previously sold 12,430,000 shares.</w:t>
      </w:r>
    </w:p>
    <w:p>
      <w:pPr>
        <w:spacing w:after="0" w:line="39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On October 1, 1999, Articles of Incorporation were filed for the Micron Technology Foundation, Inc. (the "Foundation"). The Foundation was organized for charitable, educational and scientific purposes, including, for such purposes, the making of distributions to organizations that qualify as exempt organizations under section 501(c)(3) of the Internal Revenue Code, or the corresponding section of any future federal tax code.</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October 18, 1999, Micron donated 1,900,000 shares of MEI Common Stock to the Foundation and on March 14, 2000, Micron donated an additional 360,000 shares of MEI Common Stock to the Foundation, for a total of 2,260,000 shares (the "Donated Shares").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From October 28, 1999 to May 8, 2000, in ordinary, brokered transactions pursuant to Rule 144, the Foundation sold a total of 1,445,000 of the Donated Shares at an average price of $11.59 per share for total of $16,753,148.50 (before brokerage commissions).</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From time to time, the Foundation is expected to liquidate all or a portion of the Donated Shares through one or more sales pursuant to public or private offerings or otherwise in order to directly fund charitable activities and to build a diversified investment fund for future funding of charitable activities, depending upon the Foundation's</w:t>
      </w:r>
    </w:p>
    <w:p>
      <w:pPr>
        <w:sectPr>
          <w:pgSz w:w="11900" w:h="16838" w:orient="portrait"/>
          <w:cols w:equalWidth="0" w:num="1">
            <w:col w:w="10219"/>
          </w:cols>
          <w:pgMar w:left="240" w:top="723" w:right="1440" w:bottom="566" w:gutter="0" w:footer="0" w:header="0"/>
        </w:sectPr>
      </w:pPr>
    </w:p>
    <w:bookmarkStart w:id="3" w:name="page4"/>
    <w:bookmarkEnd w:id="3"/>
    <w:p>
      <w:pPr>
        <w:ind w:left="6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3240"/>
        <w:spacing w:after="0"/>
        <w:rPr>
          <w:sz w:val="20"/>
          <w:szCs w:val="20"/>
          <w:color w:val="auto"/>
        </w:rPr>
      </w:pPr>
      <w:r>
        <w:rPr>
          <w:rFonts w:ascii="Courier New" w:cs="Courier New" w:eastAsia="Courier New" w:hAnsi="Courier New"/>
          <w:sz w:val="18"/>
          <w:szCs w:val="18"/>
          <w:color w:val="auto"/>
        </w:rPr>
        <w:t>PAGE 4 of 9 PAGES</w:t>
      </w:r>
    </w:p>
    <w:p>
      <w:pPr>
        <w:spacing w:after="0" w:line="4" w:lineRule="exact"/>
        <w:rPr>
          <w:sz w:val="20"/>
          <w:szCs w:val="20"/>
          <w:color w:val="auto"/>
        </w:rPr>
      </w:pPr>
    </w:p>
    <w:p>
      <w:pPr>
        <w:ind w:left="622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evaluation of market conditions, market price, alternative investment opportunities, liquidity needs and other factors. The Foundation may determine to retain some portion of the Donated Shares as an investment.</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Micron presently holds its 58,622,863 shares of MEI Common Stock (the "Securities") as an investment. Depending upon Micron's evaluation of market conditions, market price, alternative investment opportunities, liquidity needs and other factors, Micron will from time to time explore opportunities for liquidating all or a portion of the Securities, through one or more sales pursuant to public or private offerings or otherwise. Micron may donate all or a portion of the Securities to the Foundation or other institutions. Micron may determine to retain some portion of the Securities as an investment.</w:t>
      </w: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MEI.</w:t>
      </w:r>
    </w:p>
    <w:p>
      <w:pPr>
        <w:spacing w:after="0" w:line="201"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w:t>
      </w:r>
    </w:p>
    <w:p>
      <w:pPr>
        <w:spacing w:after="0" w:line="206" w:lineRule="exact"/>
        <w:rPr>
          <w:rFonts w:ascii="Courier New" w:cs="Courier New" w:eastAsia="Courier New" w:hAnsi="Courier New"/>
          <w:sz w:val="18"/>
          <w:szCs w:val="18"/>
          <w:color w:val="auto"/>
        </w:rPr>
      </w:pPr>
    </w:p>
    <w:p>
      <w:pPr>
        <w:ind w:left="540" w:right="177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As of the date of this Amendment No. 2 to Schedule 13D, Micron Technology, Inc. beneficially owns 58,622,863 shares of MEI common stock. To the best of the knowledge of Micron no director or executive officer of Micron is the beneficial owner of any shares of MEI common Stock, except that Joel J. Kocher, Chairman, President and CEO of MEI, holds options exercisable within 60 days of the date of this Amendment No. 2 to Schedule 13D to purchase an aggregate of 320,000 shares of MEI Common Stock and Roderic W. Lewis, Micron's Vice President of Legal Affairs, General Counsel and Corporate Secretary, holds options exercisable within 60 days of the date of this Amendment No. 2 to Schedule 13D to purchase an aggregate of 49,000 shares of MEI Common Stock. Mr. Kocher also holds options to purchase an additional 100,000 shares of MEI Common Stock which will vest after completion of seven years of employment with MEI (January 13, 2005), but which are subject to immediate vesting if MEI achieves certain performance criteria. Micron disclaims beneficial ownership of the shares of MEI Common Stock held by Mr. Kocher and Mr. Lewis.</w:t>
      </w:r>
    </w:p>
    <w:p>
      <w:pPr>
        <w:spacing w:after="0" w:line="396" w:lineRule="exact"/>
        <w:rPr>
          <w:rFonts w:ascii="Courier New" w:cs="Courier New" w:eastAsia="Courier New" w:hAnsi="Courier New"/>
          <w:sz w:val="18"/>
          <w:szCs w:val="18"/>
          <w:color w:val="auto"/>
        </w:rPr>
      </w:pPr>
    </w:p>
    <w:p>
      <w:pPr>
        <w:ind w:left="540" w:right="177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Foundation is a nonprofit corporation with no members. It is managed by a self-electing board of directors. As of the date of this Amendment No. 2 to Schedule 13D, the directors of the Foundation are Steven R. Appleton, Kipp A. Bedard, D. Mark Durcan, Roderic W. Lewis and Wilbur G. Stover, Jr., all of whom are officers or directors of Micron. There is no agreement, formal or informal, between Micron and the Foundation to act as a group with respect to Micron Electronics, Inc. common stock. In addition, the Foundation's Articles of Incorporation and the Internal Revenue Code require that the Foundation only undertake charitable, educational and scientific activities, including, for such purposes, the making of distributions to organizations that qualify as exempt organizations under section 501(c)(3) of the Internal Revenue Code, or the corresponding section of any future federal tax code. The Articles of Incorporation of the Foundation and the Internal Revenue Code require that upon dissolution of the Foundation, the assets of the Foundation shall be distributed for one or more exempt purposes within the meaning of Section 501(c)(3) of the Internal Revenue Code, or corresponding section of any future Federal tax code, or shall be distributed to the Federal government, or to a state or local government, for a public purpose. Micron disclaims beneficial ownership of the shares of MEI Common Stock held by the Foundation.</w:t>
      </w:r>
    </w:p>
    <w:p>
      <w:pPr>
        <w:spacing w:after="0" w:line="394" w:lineRule="exact"/>
        <w:rPr>
          <w:rFonts w:ascii="Courier New" w:cs="Courier New" w:eastAsia="Courier New" w:hAnsi="Courier New"/>
          <w:sz w:val="18"/>
          <w:szCs w:val="18"/>
          <w:color w:val="auto"/>
        </w:rPr>
      </w:pPr>
    </w:p>
    <w:p>
      <w:pPr>
        <w:ind w:left="54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60.7% (based upon 96,559,455, the number of shares of MEI Common Stock Outstanding reported as of April 3, 2000 in MEI's Form 10-Q for the quarterly period ended March 2, 2000).</w:t>
      </w:r>
    </w:p>
    <w:p>
      <w:pPr>
        <w:spacing w:after="0" w:line="208" w:lineRule="exact"/>
        <w:rPr>
          <w:rFonts w:ascii="Courier New" w:cs="Courier New" w:eastAsia="Courier New" w:hAnsi="Courier New"/>
          <w:sz w:val="18"/>
          <w:szCs w:val="18"/>
          <w:color w:val="auto"/>
        </w:rPr>
      </w:pPr>
    </w:p>
    <w:p>
      <w:pPr>
        <w:jc w:val="both"/>
        <w:ind w:left="540" w:right="1999" w:hanging="532"/>
        <w:spacing w:after="0" w:line="236"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there is sole power to vote or to direct the vote, sole power to dispose or to direct the disposition, or shared power to dispose or to direct the disposition: 58,622,863.</w:t>
      </w:r>
    </w:p>
    <w:p>
      <w:pPr>
        <w:spacing w:after="0" w:line="208" w:lineRule="exact"/>
        <w:rPr>
          <w:rFonts w:ascii="Courier New" w:cs="Courier New" w:eastAsia="Courier New" w:hAnsi="Courier New"/>
          <w:sz w:val="18"/>
          <w:szCs w:val="18"/>
          <w:color w:val="auto"/>
        </w:rPr>
      </w:pPr>
    </w:p>
    <w:p>
      <w:pPr>
        <w:ind w:left="540" w:right="1999" w:hanging="532"/>
        <w:spacing w:after="0" w:line="237"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the donation of the Donated Shares to the Foundation described herein, Micron has not engaged in any transactions involving MEI Common Stock during the sixty day period before the date of this Amendment No. 2 to Schedule 13D.</w:t>
      </w:r>
    </w:p>
    <w:p>
      <w:pPr>
        <w:spacing w:after="0" w:line="207" w:lineRule="exact"/>
        <w:rPr>
          <w:rFonts w:ascii="Courier New" w:cs="Courier New" w:eastAsia="Courier New" w:hAnsi="Courier New"/>
          <w:sz w:val="18"/>
          <w:szCs w:val="18"/>
          <w:color w:val="auto"/>
        </w:rPr>
      </w:pPr>
    </w:p>
    <w:p>
      <w:pPr>
        <w:ind w:left="540" w:right="1779" w:hanging="532"/>
        <w:spacing w:after="0" w:line="290" w:lineRule="auto"/>
        <w:tabs>
          <w:tab w:leader="none" w:pos="5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other person has the right to receive or the power to direct the receipt of dividends from, or the proceeds from the sale of, the Securities.</w:t>
      </w:r>
    </w:p>
    <w:p>
      <w:pPr>
        <w:spacing w:after="0" w:line="164"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723" w:right="1440" w:bottom="159" w:gutter="0" w:footer="0" w:header="0"/>
        </w:sectPr>
      </w:pPr>
    </w:p>
    <w:bookmarkStart w:id="4" w:name="page5"/>
    <w:bookmarkEnd w:id="4"/>
    <w:p>
      <w:pPr>
        <w:ind w:left="6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3240"/>
        <w:spacing w:after="0"/>
        <w:rPr>
          <w:sz w:val="20"/>
          <w:szCs w:val="20"/>
          <w:color w:val="auto"/>
        </w:rPr>
      </w:pPr>
      <w:r>
        <w:rPr>
          <w:rFonts w:ascii="Courier New" w:cs="Courier New" w:eastAsia="Courier New" w:hAnsi="Courier New"/>
          <w:sz w:val="18"/>
          <w:szCs w:val="18"/>
          <w:color w:val="auto"/>
        </w:rPr>
        <w:t>PAGE 5 of 9 PAGES</w:t>
      </w:r>
    </w:p>
    <w:p>
      <w:pPr>
        <w:spacing w:after="0" w:line="4" w:lineRule="exact"/>
        <w:rPr>
          <w:sz w:val="20"/>
          <w:szCs w:val="20"/>
          <w:color w:val="auto"/>
        </w:rPr>
      </w:pPr>
    </w:p>
    <w:p>
      <w:pPr>
        <w:ind w:left="6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MEI.</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723" w:right="1440" w:bottom="1440" w:gutter="0" w:footer="0" w:header="0"/>
        </w:sectPr>
      </w:pPr>
    </w:p>
    <w:bookmarkStart w:id="5" w:name="page6"/>
    <w:bookmarkEnd w:id="5"/>
    <w:p>
      <w:pPr>
        <w:ind w:left="6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3240"/>
        <w:spacing w:after="0"/>
        <w:rPr>
          <w:sz w:val="20"/>
          <w:szCs w:val="20"/>
          <w:color w:val="auto"/>
        </w:rPr>
      </w:pPr>
      <w:r>
        <w:rPr>
          <w:rFonts w:ascii="Courier New" w:cs="Courier New" w:eastAsia="Courier New" w:hAnsi="Courier New"/>
          <w:sz w:val="18"/>
          <w:szCs w:val="18"/>
          <w:color w:val="auto"/>
        </w:rPr>
        <w:t>PAGE 6 of 9 PAGES</w:t>
      </w:r>
    </w:p>
    <w:p>
      <w:pPr>
        <w:spacing w:after="0" w:line="4" w:lineRule="exact"/>
        <w:rPr>
          <w:sz w:val="20"/>
          <w:szCs w:val="20"/>
          <w:color w:val="auto"/>
        </w:rPr>
      </w:pPr>
    </w:p>
    <w:p>
      <w:pPr>
        <w:ind w:left="62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12, 2000</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 W.G. Stover, Jr.</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6"/>
          <w:szCs w:val="16"/>
          <w:color w:val="auto"/>
        </w:rPr>
        <w:t>W.G. Stover Jr./Vice President of Finance and CFO</w:t>
      </w:r>
    </w:p>
    <w:p>
      <w:pPr>
        <w:sectPr>
          <w:pgSz w:w="11900" w:h="16838" w:orient="portrait"/>
          <w:cols w:equalWidth="0" w:num="1">
            <w:col w:w="10219"/>
          </w:cols>
          <w:pgMar w:left="240" w:top="723" w:right="1440" w:bottom="1440" w:gutter="0" w:footer="0" w:header="0"/>
        </w:sectPr>
      </w:pPr>
    </w:p>
    <w:bookmarkStart w:id="6" w:name="page7"/>
    <w:bookmarkEnd w:id="6"/>
    <w:p>
      <w:pPr>
        <w:ind w:left="6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3240"/>
        <w:spacing w:after="0"/>
        <w:rPr>
          <w:sz w:val="20"/>
          <w:szCs w:val="20"/>
          <w:color w:val="auto"/>
        </w:rPr>
      </w:pPr>
      <w:r>
        <w:rPr>
          <w:rFonts w:ascii="Courier New" w:cs="Courier New" w:eastAsia="Courier New" w:hAnsi="Courier New"/>
          <w:sz w:val="18"/>
          <w:szCs w:val="18"/>
          <w:color w:val="auto"/>
        </w:rPr>
        <w:t>PAGE 7 of 9 PAGES</w:t>
      </w:r>
    </w:p>
    <w:p>
      <w:pPr>
        <w:spacing w:after="0" w:line="4" w:lineRule="exact"/>
        <w:rPr>
          <w:sz w:val="20"/>
          <w:szCs w:val="20"/>
          <w:color w:val="auto"/>
        </w:rPr>
      </w:pPr>
    </w:p>
    <w:p>
      <w:pPr>
        <w:ind w:left="62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Appendix A</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DIRECTORS</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The following is a list of all members of the Board of Directors of Micron Technology, Inc. All directors are United States citizens.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54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Steven R. Appleton</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Business Address:</w:t>
            </w:r>
          </w:p>
        </w:tc>
        <w:tc>
          <w:tcPr>
            <w:tcW w:w="54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8000 South Federal Way</w:t>
            </w:r>
          </w:p>
        </w:tc>
      </w:tr>
      <w:tr>
        <w:trPr>
          <w:trHeight w:val="203"/>
        </w:trPr>
        <w:tc>
          <w:tcPr>
            <w:tcW w:w="2900" w:type="dxa"/>
            <w:vAlign w:val="bottom"/>
          </w:tcPr>
          <w:p>
            <w:pPr>
              <w:spacing w:after="0"/>
              <w:rPr>
                <w:sz w:val="17"/>
                <w:szCs w:val="17"/>
                <w:color w:val="auto"/>
              </w:rPr>
            </w:pP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Boise, ID</w:t>
            </w:r>
          </w:p>
        </w:tc>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83716-9632</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Principal Occupation:</w:t>
            </w:r>
          </w:p>
        </w:tc>
        <w:tc>
          <w:tcPr>
            <w:tcW w:w="544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7"/>
              </w:rPr>
              <w:t>Chairman, Chief Executive Officer and President of</w:t>
            </w:r>
          </w:p>
        </w:tc>
      </w:tr>
      <w:tr>
        <w:trPr>
          <w:trHeight w:val="203"/>
        </w:trPr>
        <w:tc>
          <w:tcPr>
            <w:tcW w:w="2900" w:type="dxa"/>
            <w:vAlign w:val="bottom"/>
          </w:tcPr>
          <w:p>
            <w:pPr>
              <w:spacing w:after="0"/>
              <w:rPr>
                <w:sz w:val="17"/>
                <w:szCs w:val="17"/>
                <w:color w:val="auto"/>
              </w:rPr>
            </w:pPr>
          </w:p>
        </w:tc>
        <w:tc>
          <w:tcPr>
            <w:tcW w:w="54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Micron Technology, Inc.</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Name, principal business</w:t>
            </w:r>
          </w:p>
        </w:tc>
        <w:tc>
          <w:tcPr>
            <w:tcW w:w="54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Micron Technology, Inc., a manufacturer of</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and address of corporation</w:t>
            </w:r>
          </w:p>
        </w:tc>
        <w:tc>
          <w:tcPr>
            <w:tcW w:w="54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semiconductor</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memory products or other</w:t>
            </w:r>
          </w:p>
        </w:tc>
        <w:tc>
          <w:tcPr>
            <w:tcW w:w="54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8000 South Federal Way</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organization on</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Boise, ID</w:t>
            </w:r>
          </w:p>
        </w:tc>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83716-9632</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employment is</w:t>
            </w:r>
          </w:p>
        </w:tc>
        <w:tc>
          <w:tcPr>
            <w:tcW w:w="1320" w:type="dxa"/>
            <w:vAlign w:val="bottom"/>
          </w:tcPr>
          <w:p>
            <w:pPr>
              <w:spacing w:after="0"/>
              <w:rPr>
                <w:sz w:val="17"/>
                <w:szCs w:val="17"/>
                <w:color w:val="auto"/>
              </w:rPr>
            </w:pPr>
          </w:p>
        </w:tc>
        <w:tc>
          <w:tcPr>
            <w:tcW w:w="412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conducted:</w:t>
            </w:r>
          </w:p>
        </w:tc>
        <w:tc>
          <w:tcPr>
            <w:tcW w:w="1320" w:type="dxa"/>
            <w:vAlign w:val="bottom"/>
          </w:tcPr>
          <w:p>
            <w:pPr>
              <w:spacing w:after="0"/>
              <w:rPr>
                <w:sz w:val="17"/>
                <w:szCs w:val="17"/>
                <w:color w:val="auto"/>
              </w:rPr>
            </w:pPr>
          </w:p>
        </w:tc>
        <w:tc>
          <w:tcPr>
            <w:tcW w:w="4120" w:type="dxa"/>
            <w:vAlign w:val="bottom"/>
          </w:tcPr>
          <w:p>
            <w:pPr>
              <w:spacing w:after="0"/>
              <w:rPr>
                <w:sz w:val="17"/>
                <w:szCs w:val="17"/>
                <w:color w:val="auto"/>
              </w:rPr>
            </w:pP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54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James W. Bagley</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Business Address:</w:t>
            </w:r>
          </w:p>
        </w:tc>
        <w:tc>
          <w:tcPr>
            <w:tcW w:w="54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4650 Cushing Parkway</w:t>
            </w:r>
          </w:p>
        </w:tc>
      </w:tr>
      <w:tr>
        <w:trPr>
          <w:trHeight w:val="203"/>
        </w:trPr>
        <w:tc>
          <w:tcPr>
            <w:tcW w:w="2900" w:type="dxa"/>
            <w:vAlign w:val="bottom"/>
          </w:tcPr>
          <w:p>
            <w:pPr>
              <w:spacing w:after="0"/>
              <w:rPr>
                <w:sz w:val="17"/>
                <w:szCs w:val="17"/>
                <w:color w:val="auto"/>
              </w:rPr>
            </w:pP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Fremont, CA</w:t>
            </w:r>
          </w:p>
        </w:tc>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94538</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Principal Occupation:</w:t>
            </w:r>
          </w:p>
        </w:tc>
        <w:tc>
          <w:tcPr>
            <w:tcW w:w="54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Chairman and Chief Executive Officer of Lam</w:t>
            </w:r>
          </w:p>
        </w:tc>
      </w:tr>
      <w:tr>
        <w:trPr>
          <w:trHeight w:val="203"/>
        </w:trPr>
        <w:tc>
          <w:tcPr>
            <w:tcW w:w="2900" w:type="dxa"/>
            <w:vAlign w:val="bottom"/>
          </w:tcPr>
          <w:p>
            <w:pPr>
              <w:spacing w:after="0"/>
              <w:rPr>
                <w:sz w:val="17"/>
                <w:szCs w:val="17"/>
                <w:color w:val="auto"/>
              </w:rPr>
            </w:pPr>
          </w:p>
        </w:tc>
        <w:tc>
          <w:tcPr>
            <w:tcW w:w="54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Research Corporation</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Name, principal business</w:t>
            </w:r>
          </w:p>
        </w:tc>
        <w:tc>
          <w:tcPr>
            <w:tcW w:w="54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Lam Research Corporation, a manufacturer of</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and address of corporation</w:t>
            </w:r>
          </w:p>
        </w:tc>
        <w:tc>
          <w:tcPr>
            <w:tcW w:w="54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semiconductor processing equipment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or other organization on</w:t>
            </w:r>
          </w:p>
        </w:tc>
        <w:tc>
          <w:tcPr>
            <w:tcW w:w="54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4650 Cushing Parkway</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employment is</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Fremont, CA</w:t>
            </w:r>
          </w:p>
        </w:tc>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94538</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conducted:</w:t>
            </w:r>
          </w:p>
        </w:tc>
        <w:tc>
          <w:tcPr>
            <w:tcW w:w="1320" w:type="dxa"/>
            <w:vAlign w:val="bottom"/>
          </w:tcPr>
          <w:p>
            <w:pPr>
              <w:spacing w:after="0"/>
              <w:rPr>
                <w:sz w:val="17"/>
                <w:szCs w:val="17"/>
                <w:color w:val="auto"/>
              </w:rPr>
            </w:pPr>
          </w:p>
        </w:tc>
        <w:tc>
          <w:tcPr>
            <w:tcW w:w="4120" w:type="dxa"/>
            <w:vAlign w:val="bottom"/>
          </w:tcPr>
          <w:p>
            <w:pPr>
              <w:spacing w:after="0"/>
              <w:rPr>
                <w:sz w:val="17"/>
                <w:szCs w:val="17"/>
                <w:color w:val="auto"/>
              </w:rPr>
            </w:pP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54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Robert A. Lothrop</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Business Address:</w:t>
            </w:r>
          </w:p>
        </w:tc>
        <w:tc>
          <w:tcPr>
            <w:tcW w:w="54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3308 Catalina</w:t>
            </w:r>
          </w:p>
        </w:tc>
      </w:tr>
      <w:tr>
        <w:trPr>
          <w:trHeight w:val="203"/>
        </w:trPr>
        <w:tc>
          <w:tcPr>
            <w:tcW w:w="2900" w:type="dxa"/>
            <w:vAlign w:val="bottom"/>
          </w:tcPr>
          <w:p>
            <w:pPr>
              <w:spacing w:after="0"/>
              <w:rPr>
                <w:sz w:val="17"/>
                <w:szCs w:val="17"/>
                <w:color w:val="auto"/>
              </w:rPr>
            </w:pP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Boise, ID</w:t>
            </w:r>
          </w:p>
        </w:tc>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83705</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Principal Occupation:</w:t>
            </w:r>
          </w:p>
        </w:tc>
        <w:tc>
          <w:tcPr>
            <w:tcW w:w="54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Retired, former Senior Vice President of</w:t>
            </w:r>
          </w:p>
        </w:tc>
      </w:tr>
      <w:tr>
        <w:trPr>
          <w:trHeight w:val="203"/>
        </w:trPr>
        <w:tc>
          <w:tcPr>
            <w:tcW w:w="2900" w:type="dxa"/>
            <w:vAlign w:val="bottom"/>
          </w:tcPr>
          <w:p>
            <w:pPr>
              <w:spacing w:after="0"/>
              <w:rPr>
                <w:sz w:val="17"/>
                <w:szCs w:val="17"/>
                <w:color w:val="auto"/>
              </w:rPr>
            </w:pPr>
          </w:p>
        </w:tc>
        <w:tc>
          <w:tcPr>
            <w:tcW w:w="54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J.R. Simplot Company</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Name, principal business</w:t>
            </w:r>
          </w:p>
        </w:tc>
        <w:tc>
          <w:tcPr>
            <w:tcW w:w="132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and address of corporation</w:t>
            </w:r>
          </w:p>
        </w:tc>
        <w:tc>
          <w:tcPr>
            <w:tcW w:w="1320" w:type="dxa"/>
            <w:vAlign w:val="bottom"/>
          </w:tcPr>
          <w:p>
            <w:pPr>
              <w:spacing w:after="0"/>
              <w:rPr>
                <w:sz w:val="17"/>
                <w:szCs w:val="17"/>
                <w:color w:val="auto"/>
              </w:rPr>
            </w:pPr>
          </w:p>
        </w:tc>
        <w:tc>
          <w:tcPr>
            <w:tcW w:w="412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or other organization on</w:t>
            </w:r>
          </w:p>
        </w:tc>
        <w:tc>
          <w:tcPr>
            <w:tcW w:w="1320" w:type="dxa"/>
            <w:vAlign w:val="bottom"/>
          </w:tcPr>
          <w:p>
            <w:pPr>
              <w:spacing w:after="0"/>
              <w:rPr>
                <w:sz w:val="17"/>
                <w:szCs w:val="17"/>
                <w:color w:val="auto"/>
              </w:rPr>
            </w:pPr>
          </w:p>
        </w:tc>
        <w:tc>
          <w:tcPr>
            <w:tcW w:w="412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employment is</w:t>
            </w:r>
          </w:p>
        </w:tc>
        <w:tc>
          <w:tcPr>
            <w:tcW w:w="1320" w:type="dxa"/>
            <w:vAlign w:val="bottom"/>
          </w:tcPr>
          <w:p>
            <w:pPr>
              <w:spacing w:after="0"/>
              <w:rPr>
                <w:sz w:val="17"/>
                <w:szCs w:val="17"/>
                <w:color w:val="auto"/>
              </w:rPr>
            </w:pPr>
          </w:p>
        </w:tc>
        <w:tc>
          <w:tcPr>
            <w:tcW w:w="412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conducted:</w:t>
            </w:r>
          </w:p>
        </w:tc>
        <w:tc>
          <w:tcPr>
            <w:tcW w:w="1320" w:type="dxa"/>
            <w:vAlign w:val="bottom"/>
          </w:tcPr>
          <w:p>
            <w:pPr>
              <w:spacing w:after="0"/>
              <w:rPr>
                <w:sz w:val="17"/>
                <w:szCs w:val="17"/>
                <w:color w:val="auto"/>
              </w:rPr>
            </w:pPr>
          </w:p>
        </w:tc>
        <w:tc>
          <w:tcPr>
            <w:tcW w:w="4120" w:type="dxa"/>
            <w:vAlign w:val="bottom"/>
          </w:tcPr>
          <w:p>
            <w:pPr>
              <w:spacing w:after="0"/>
              <w:rPr>
                <w:sz w:val="17"/>
                <w:szCs w:val="17"/>
                <w:color w:val="auto"/>
              </w:rPr>
            </w:pP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54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Thomas T. Nicholson</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Business Address:</w:t>
            </w:r>
          </w:p>
        </w:tc>
        <w:tc>
          <w:tcPr>
            <w:tcW w:w="54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1015 Olive Way</w:t>
            </w:r>
          </w:p>
        </w:tc>
      </w:tr>
      <w:tr>
        <w:trPr>
          <w:trHeight w:val="203"/>
        </w:trPr>
        <w:tc>
          <w:tcPr>
            <w:tcW w:w="2900" w:type="dxa"/>
            <w:vAlign w:val="bottom"/>
          </w:tcPr>
          <w:p>
            <w:pPr>
              <w:spacing w:after="0"/>
              <w:rPr>
                <w:sz w:val="17"/>
                <w:szCs w:val="17"/>
                <w:color w:val="auto"/>
              </w:rPr>
            </w:pP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Seattle, WA</w:t>
            </w:r>
          </w:p>
        </w:tc>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98101-1894</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Principal Occupation:</w:t>
            </w:r>
          </w:p>
        </w:tc>
        <w:tc>
          <w:tcPr>
            <w:tcW w:w="54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Vice President and member of the Board of</w:t>
            </w:r>
          </w:p>
        </w:tc>
      </w:tr>
      <w:tr>
        <w:trPr>
          <w:trHeight w:val="203"/>
        </w:trPr>
        <w:tc>
          <w:tcPr>
            <w:tcW w:w="2900" w:type="dxa"/>
            <w:vAlign w:val="bottom"/>
          </w:tcPr>
          <w:p>
            <w:pPr>
              <w:spacing w:after="0"/>
              <w:rPr>
                <w:sz w:val="17"/>
                <w:szCs w:val="17"/>
                <w:color w:val="auto"/>
              </w:rPr>
            </w:pPr>
          </w:p>
        </w:tc>
        <w:tc>
          <w:tcPr>
            <w:tcW w:w="54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Directors of Honda of Seattle</w:t>
            </w:r>
          </w:p>
        </w:tc>
      </w:tr>
    </w:tbl>
    <w:p>
      <w:pPr>
        <w:sectPr>
          <w:pgSz w:w="11900" w:h="16838" w:orient="portrait"/>
          <w:cols w:equalWidth="0" w:num="1">
            <w:col w:w="10219"/>
          </w:cols>
          <w:pgMar w:left="240" w:top="723" w:right="1440"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37" w:lineRule="auto"/>
        <w:rPr>
          <w:sz w:val="20"/>
          <w:szCs w:val="20"/>
          <w:color w:val="auto"/>
        </w:rPr>
      </w:pPr>
      <w:r>
        <w:rPr>
          <w:rFonts w:ascii="Courier New" w:cs="Courier New" w:eastAsia="Courier New" w:hAnsi="Courier New"/>
          <w:sz w:val="18"/>
          <w:szCs w:val="18"/>
          <w:color w:val="auto"/>
        </w:rPr>
        <w:t>Name, principal business and address of corporation or other organization on which employment is conducted: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Address: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Occupation:</w:t>
      </w:r>
    </w:p>
    <w:p>
      <w:pPr>
        <w:spacing w:after="0" w:line="200" w:lineRule="exact"/>
        <w:rPr>
          <w:sz w:val="20"/>
          <w:szCs w:val="20"/>
          <w:color w:val="auto"/>
        </w:rPr>
      </w:pPr>
    </w:p>
    <w:p>
      <w:pPr>
        <w:spacing w:after="0" w:line="209" w:lineRule="exact"/>
        <w:rPr>
          <w:sz w:val="20"/>
          <w:szCs w:val="20"/>
          <w:color w:val="auto"/>
        </w:rPr>
      </w:pPr>
    </w:p>
    <w:p>
      <w:pPr>
        <w:spacing w:after="0" w:line="237" w:lineRule="auto"/>
        <w:rPr>
          <w:sz w:val="20"/>
          <w:szCs w:val="20"/>
          <w:color w:val="auto"/>
        </w:rPr>
      </w:pPr>
      <w:r>
        <w:rPr>
          <w:rFonts w:ascii="Courier New" w:cs="Courier New" w:eastAsia="Courier New" w:hAnsi="Courier New"/>
          <w:sz w:val="18"/>
          <w:szCs w:val="18"/>
          <w:color w:val="auto"/>
        </w:rPr>
        <w:t>Name, principal business and address of corporation or other organization on which employment is conducted: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Address: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Occupation:</w:t>
      </w:r>
    </w:p>
    <w:p>
      <w:pPr>
        <w:spacing w:after="0" w:line="207" w:lineRule="exact"/>
        <w:rPr>
          <w:sz w:val="20"/>
          <w:szCs w:val="20"/>
          <w:color w:val="auto"/>
        </w:rPr>
      </w:pPr>
    </w:p>
    <w:p>
      <w:pPr>
        <w:spacing w:after="0" w:line="237" w:lineRule="auto"/>
        <w:rPr>
          <w:sz w:val="20"/>
          <w:szCs w:val="20"/>
          <w:color w:val="auto"/>
        </w:rPr>
      </w:pPr>
      <w:r>
        <w:rPr>
          <w:rFonts w:ascii="Courier New" w:cs="Courier New" w:eastAsia="Courier New" w:hAnsi="Courier New"/>
          <w:sz w:val="18"/>
          <w:szCs w:val="18"/>
          <w:color w:val="auto"/>
        </w:rPr>
        <w:t>Name, principal business and address of corporation or other organization on which employment is conducted: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Address: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Occupation:</w:t>
      </w:r>
    </w:p>
    <w:p>
      <w:pPr>
        <w:spacing w:after="0" w:line="200" w:lineRule="exact"/>
        <w:rPr>
          <w:sz w:val="20"/>
          <w:szCs w:val="20"/>
          <w:color w:val="auto"/>
        </w:rPr>
      </w:pPr>
    </w:p>
    <w:p>
      <w:pPr>
        <w:spacing w:after="0" w:line="209" w:lineRule="exact"/>
        <w:rPr>
          <w:sz w:val="20"/>
          <w:szCs w:val="20"/>
          <w:color w:val="auto"/>
        </w:rPr>
      </w:pPr>
    </w:p>
    <w:p>
      <w:pPr>
        <w:spacing w:after="0" w:line="237" w:lineRule="auto"/>
        <w:rPr>
          <w:sz w:val="20"/>
          <w:szCs w:val="20"/>
          <w:color w:val="auto"/>
        </w:rPr>
      </w:pPr>
      <w:r>
        <w:rPr>
          <w:rFonts w:ascii="Courier New" w:cs="Courier New" w:eastAsia="Courier New" w:hAnsi="Courier New"/>
          <w:sz w:val="18"/>
          <w:szCs w:val="18"/>
          <w:color w:val="auto"/>
        </w:rPr>
        <w:t>Name, principal business and address of corporation or other organization on which employment is conducted:</w:t>
      </w:r>
    </w:p>
    <w:p>
      <w:pPr>
        <w:spacing w:after="0" w:line="20" w:lineRule="exact"/>
        <w:rPr>
          <w:sz w:val="20"/>
          <w:szCs w:val="20"/>
          <w:color w:val="auto"/>
        </w:rPr>
      </w:pPr>
      <w:r>
        <w:rPr>
          <w:sz w:val="20"/>
          <w:szCs w:val="20"/>
          <w:color w:val="auto"/>
        </w:rPr>
        <w:br w:type="column"/>
      </w:r>
    </w:p>
    <w:p>
      <w:pPr>
        <w:ind w:left="3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1380"/>
        <w:spacing w:after="0"/>
        <w:rPr>
          <w:sz w:val="20"/>
          <w:szCs w:val="20"/>
          <w:color w:val="auto"/>
        </w:rPr>
      </w:pPr>
      <w:r>
        <w:rPr>
          <w:rFonts w:ascii="Courier New" w:cs="Courier New" w:eastAsia="Courier New" w:hAnsi="Courier New"/>
          <w:sz w:val="18"/>
          <w:szCs w:val="18"/>
          <w:color w:val="auto"/>
        </w:rPr>
        <w:t>PAGE 8 of 9 PAGES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Honda of Seattle, a car dealership</w:t>
      </w:r>
    </w:p>
    <w:p>
      <w:pPr>
        <w:spacing w:after="0" w:line="238" w:lineRule="auto"/>
        <w:rPr>
          <w:sz w:val="20"/>
          <w:szCs w:val="20"/>
          <w:color w:val="auto"/>
        </w:rPr>
      </w:pPr>
      <w:r>
        <w:rPr>
          <w:rFonts w:ascii="Courier New" w:cs="Courier New" w:eastAsia="Courier New" w:hAnsi="Courier New"/>
          <w:sz w:val="18"/>
          <w:szCs w:val="18"/>
          <w:color w:val="auto"/>
        </w:rPr>
        <w:t>1015 Olive Way</w:t>
      </w:r>
    </w:p>
    <w:p>
      <w:pPr>
        <w:spacing w:after="0"/>
        <w:tabs>
          <w:tab w:leader="none" w:pos="1360" w:val="left"/>
        </w:tabs>
        <w:rPr>
          <w:sz w:val="20"/>
          <w:szCs w:val="20"/>
          <w:color w:val="auto"/>
        </w:rPr>
      </w:pPr>
      <w:r>
        <w:rPr>
          <w:rFonts w:ascii="Courier New" w:cs="Courier New" w:eastAsia="Courier New" w:hAnsi="Courier New"/>
          <w:sz w:val="18"/>
          <w:szCs w:val="18"/>
          <w:color w:val="auto"/>
        </w:rPr>
        <w:t>Seattle, WA</w:t>
      </w:r>
      <w:r>
        <w:rPr>
          <w:sz w:val="20"/>
          <w:szCs w:val="20"/>
          <w:color w:val="auto"/>
        </w:rPr>
        <w:tab/>
      </w:r>
      <w:r>
        <w:rPr>
          <w:rFonts w:ascii="Courier New" w:cs="Courier New" w:eastAsia="Courier New" w:hAnsi="Courier New"/>
          <w:sz w:val="16"/>
          <w:szCs w:val="16"/>
          <w:color w:val="auto"/>
        </w:rPr>
        <w:t>98101-1894</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Don J. Simplot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 Box 27</w:t>
      </w:r>
    </w:p>
    <w:p>
      <w:pPr>
        <w:spacing w:after="0"/>
        <w:tabs>
          <w:tab w:leader="none" w:pos="1140" w:val="left"/>
        </w:tabs>
        <w:rPr>
          <w:sz w:val="20"/>
          <w:szCs w:val="20"/>
          <w:color w:val="auto"/>
        </w:rPr>
      </w:pPr>
      <w:r>
        <w:rPr>
          <w:rFonts w:ascii="Courier New" w:cs="Courier New" w:eastAsia="Courier New" w:hAnsi="Courier New"/>
          <w:sz w:val="18"/>
          <w:szCs w:val="18"/>
          <w:color w:val="auto"/>
        </w:rPr>
        <w:t>Boise, ID</w:t>
      </w:r>
      <w:r>
        <w:rPr>
          <w:sz w:val="20"/>
          <w:szCs w:val="20"/>
          <w:color w:val="auto"/>
        </w:rPr>
        <w:tab/>
      </w:r>
      <w:r>
        <w:rPr>
          <w:rFonts w:ascii="Courier New" w:cs="Courier New" w:eastAsia="Courier New" w:hAnsi="Courier New"/>
          <w:sz w:val="16"/>
          <w:szCs w:val="16"/>
          <w:color w:val="auto"/>
        </w:rPr>
        <w:t>83707-0027</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Corporate Vice President and member of the Office of the Chairman of J. R. Simplot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 R. Simplot Company, an agribusiness</w:t>
      </w:r>
    </w:p>
    <w:p>
      <w:pPr>
        <w:spacing w:after="0" w:line="238" w:lineRule="auto"/>
        <w:rPr>
          <w:sz w:val="20"/>
          <w:szCs w:val="20"/>
          <w:color w:val="auto"/>
        </w:rPr>
      </w:pPr>
      <w:r>
        <w:rPr>
          <w:rFonts w:ascii="Courier New" w:cs="Courier New" w:eastAsia="Courier New" w:hAnsi="Courier New"/>
          <w:sz w:val="18"/>
          <w:szCs w:val="18"/>
          <w:color w:val="auto"/>
        </w:rPr>
        <w:t>P.O. Box 27</w:t>
      </w:r>
    </w:p>
    <w:p>
      <w:pPr>
        <w:spacing w:after="0"/>
        <w:tabs>
          <w:tab w:leader="none" w:pos="1140" w:val="left"/>
        </w:tabs>
        <w:rPr>
          <w:sz w:val="20"/>
          <w:szCs w:val="20"/>
          <w:color w:val="auto"/>
        </w:rPr>
      </w:pPr>
      <w:r>
        <w:rPr>
          <w:rFonts w:ascii="Courier New" w:cs="Courier New" w:eastAsia="Courier New" w:hAnsi="Courier New"/>
          <w:sz w:val="18"/>
          <w:szCs w:val="18"/>
          <w:color w:val="auto"/>
        </w:rPr>
        <w:t>Boise, ID</w:t>
      </w:r>
      <w:r>
        <w:rPr>
          <w:sz w:val="20"/>
          <w:szCs w:val="20"/>
          <w:color w:val="auto"/>
        </w:rPr>
        <w:tab/>
      </w:r>
      <w:r>
        <w:rPr>
          <w:rFonts w:ascii="Courier New" w:cs="Courier New" w:eastAsia="Courier New" w:hAnsi="Courier New"/>
          <w:sz w:val="16"/>
          <w:szCs w:val="16"/>
          <w:color w:val="auto"/>
        </w:rPr>
        <w:t>83707-0027</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Gordon C. Smith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42874 Old Wingville Road</w:t>
      </w:r>
    </w:p>
    <w:p>
      <w:pPr>
        <w:spacing w:after="0" w:line="238" w:lineRule="auto"/>
        <w:tabs>
          <w:tab w:leader="none" w:pos="1660" w:val="left"/>
        </w:tabs>
        <w:rPr>
          <w:sz w:val="20"/>
          <w:szCs w:val="20"/>
          <w:color w:val="auto"/>
        </w:rPr>
      </w:pPr>
      <w:r>
        <w:rPr>
          <w:rFonts w:ascii="Courier New" w:cs="Courier New" w:eastAsia="Courier New" w:hAnsi="Courier New"/>
          <w:sz w:val="18"/>
          <w:szCs w:val="18"/>
          <w:color w:val="auto"/>
        </w:rPr>
        <w:t>Baker City, OR</w:t>
        <w:tab/>
        <w:t>97814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 of Wesmar, Inc.</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Wesmar, Inc., a franchise of Wendy's Restaurants 42874 Old Wingville Road Baker City, OR 97814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William P. Weber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3921 Euclid Avenue</w:t>
      </w:r>
    </w:p>
    <w:p>
      <w:pPr>
        <w:spacing w:after="0" w:line="238" w:lineRule="auto"/>
        <w:tabs>
          <w:tab w:leader="none" w:pos="1240" w:val="left"/>
        </w:tabs>
        <w:rPr>
          <w:sz w:val="20"/>
          <w:szCs w:val="20"/>
          <w:color w:val="auto"/>
        </w:rPr>
      </w:pPr>
      <w:r>
        <w:rPr>
          <w:rFonts w:ascii="Courier New" w:cs="Courier New" w:eastAsia="Courier New" w:hAnsi="Courier New"/>
          <w:sz w:val="18"/>
          <w:szCs w:val="18"/>
          <w:color w:val="auto"/>
        </w:rPr>
        <w:t>Dallas, TX</w:t>
        <w:tab/>
        <w:t>75205</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Retired, former Vice Chairman of Texas Instruments Incorporated</w:t>
      </w:r>
    </w:p>
    <w:p>
      <w:pPr>
        <w:sectPr>
          <w:pgSz w:w="11900" w:h="16838" w:orient="portrait"/>
          <w:cols w:equalWidth="0" w:num="2">
            <w:col w:w="2740" w:space="320"/>
            <w:col w:w="7159"/>
          </w:cols>
          <w:pgMar w:left="240" w:top="723" w:right="1440" w:bottom="1440" w:gutter="0" w:footer="0" w:header="0"/>
        </w:sectPr>
      </w:pPr>
    </w:p>
    <w:bookmarkStart w:id="8" w:name="page9"/>
    <w:bookmarkEnd w:id="8"/>
    <w:p>
      <w:pPr>
        <w:ind w:left="6220"/>
        <w:spacing w:after="0"/>
        <w:rPr>
          <w:sz w:val="20"/>
          <w:szCs w:val="20"/>
          <w:color w:val="auto"/>
        </w:rPr>
      </w:pPr>
      <w:r>
        <w:rPr>
          <w:rFonts w:ascii="Courier New" w:cs="Courier New" w:eastAsia="Courier New" w:hAnsi="Courier New"/>
          <w:sz w:val="18"/>
          <w:szCs w:val="18"/>
          <w:color w:val="auto"/>
        </w:rPr>
        <w:t>---------------------</w:t>
      </w:r>
    </w:p>
    <w:p>
      <w:pPr>
        <w:jc w:val="center"/>
        <w:ind w:left="3240"/>
        <w:spacing w:after="0" w:line="238" w:lineRule="auto"/>
        <w:rPr>
          <w:sz w:val="20"/>
          <w:szCs w:val="20"/>
          <w:color w:val="auto"/>
        </w:rPr>
      </w:pPr>
      <w:r>
        <w:rPr>
          <w:rFonts w:ascii="Courier New" w:cs="Courier New" w:eastAsia="Courier New" w:hAnsi="Courier New"/>
          <w:sz w:val="18"/>
          <w:szCs w:val="18"/>
          <w:color w:val="auto"/>
        </w:rPr>
        <w:t>PAGE 9 of 9 PAGES</w:t>
      </w:r>
    </w:p>
    <w:p>
      <w:pPr>
        <w:ind w:left="62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EXECUTIVE OFFICERS OF THE REGISTRANT</w:t>
      </w:r>
    </w:p>
    <w:p>
      <w:pPr>
        <w:spacing w:after="0" w:line="207" w:lineRule="exact"/>
        <w:rPr>
          <w:sz w:val="20"/>
          <w:szCs w:val="20"/>
          <w:color w:val="auto"/>
        </w:rPr>
      </w:pPr>
    </w:p>
    <w:p>
      <w:pPr>
        <w:ind w:right="2000" w:firstLine="527"/>
        <w:spacing w:after="0" w:line="237" w:lineRule="auto"/>
        <w:rPr>
          <w:sz w:val="20"/>
          <w:szCs w:val="20"/>
          <w:color w:val="auto"/>
        </w:rPr>
      </w:pPr>
      <w:r>
        <w:rPr>
          <w:rFonts w:ascii="Courier New" w:cs="Courier New" w:eastAsia="Courier New" w:hAnsi="Courier New"/>
          <w:sz w:val="18"/>
          <w:szCs w:val="18"/>
          <w:color w:val="auto"/>
        </w:rPr>
        <w:t>The following is a list of all executive officers of the Micron Technology, Inc., excluding executive officers who are also directors, information about which is listed in the director portion of this Appendix A. Unless otherwise indicated, each officer's business address is 8000 South Federal Way, Boise, ID 83716-9632, which address is Micron's business address. All executive officers are United States citizens.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2640" w:type="dxa"/>
            <w:vAlign w:val="bottom"/>
          </w:tcPr>
          <w:p>
            <w:pPr>
              <w:ind w:left="160"/>
              <w:spacing w:after="0"/>
              <w:rPr>
                <w:sz w:val="20"/>
                <w:szCs w:val="20"/>
                <w:color w:val="auto"/>
              </w:rPr>
            </w:pPr>
            <w:r>
              <w:rPr>
                <w:rFonts w:ascii="Courier New" w:cs="Courier New" w:eastAsia="Courier New" w:hAnsi="Courier New"/>
                <w:sz w:val="18"/>
                <w:szCs w:val="18"/>
                <w:color w:val="auto"/>
              </w:rPr>
              <w:t>Position</w:t>
            </w:r>
          </w:p>
        </w:tc>
        <w:tc>
          <w:tcPr>
            <w:tcW w:w="46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8060" w:type="dxa"/>
            <w:vAlign w:val="bottom"/>
            <w:gridSpan w:val="3"/>
          </w:tcPr>
          <w:p>
            <w:pPr>
              <w:ind w:left="36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380" w:type="dxa"/>
            <w:vAlign w:val="bottom"/>
          </w:tcPr>
          <w:p>
            <w:pPr>
              <w:spacing w:after="0"/>
              <w:rPr>
                <w:sz w:val="20"/>
                <w:szCs w:val="20"/>
                <w:color w:val="auto"/>
              </w:rPr>
            </w:pPr>
            <w:r>
              <w:rPr>
                <w:rFonts w:ascii="Courier New" w:cs="Courier New" w:eastAsia="Courier New" w:hAnsi="Courier New"/>
                <w:sz w:val="18"/>
                <w:szCs w:val="18"/>
                <w:color w:val="auto"/>
              </w:rPr>
              <w:t>Kipp A. Bedard</w:t>
            </w:r>
          </w:p>
        </w:tc>
        <w:tc>
          <w:tcPr>
            <w:tcW w:w="31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Vice President of Corporate</w:t>
            </w:r>
          </w:p>
        </w:tc>
        <w:tc>
          <w:tcPr>
            <w:tcW w:w="4960" w:type="dxa"/>
            <w:vAlign w:val="bottom"/>
          </w:tcPr>
          <w:p>
            <w:pPr>
              <w:spacing w:after="0"/>
              <w:rPr>
                <w:sz w:val="20"/>
                <w:szCs w:val="20"/>
                <w:color w:val="auto"/>
              </w:rPr>
            </w:pPr>
            <w:r>
              <w:rPr>
                <w:rFonts w:ascii="Courier New" w:cs="Courier New" w:eastAsia="Courier New" w:hAnsi="Courier New"/>
                <w:sz w:val="18"/>
                <w:szCs w:val="18"/>
                <w:color w:val="auto"/>
              </w:rPr>
              <w:t>Affairs</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Robert M. Donnelly</w:t>
            </w:r>
          </w:p>
        </w:tc>
        <w:tc>
          <w:tcPr>
            <w:tcW w:w="806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Vice President of Memory Products</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D. Mark Durcan</w:t>
            </w:r>
          </w:p>
        </w:tc>
        <w:tc>
          <w:tcPr>
            <w:tcW w:w="2640" w:type="dxa"/>
            <w:vAlign w:val="bottom"/>
          </w:tcPr>
          <w:p>
            <w:pPr>
              <w:ind w:left="160"/>
              <w:spacing w:after="0"/>
              <w:rPr>
                <w:sz w:val="20"/>
                <w:szCs w:val="20"/>
                <w:color w:val="auto"/>
              </w:rPr>
            </w:pPr>
            <w:r>
              <w:rPr>
                <w:rFonts w:ascii="Courier New" w:cs="Courier New" w:eastAsia="Courier New" w:hAnsi="Courier New"/>
                <w:sz w:val="18"/>
                <w:szCs w:val="18"/>
                <w:color w:val="auto"/>
                <w:w w:val="99"/>
              </w:rPr>
              <w:t>Chief Technical Officer</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rPr>
              <w:t>and</w:t>
            </w:r>
          </w:p>
        </w:tc>
        <w:tc>
          <w:tcPr>
            <w:tcW w:w="4960" w:type="dxa"/>
            <w:vAlign w:val="bottom"/>
          </w:tcPr>
          <w:p>
            <w:pPr>
              <w:spacing w:after="0"/>
              <w:rPr>
                <w:sz w:val="20"/>
                <w:szCs w:val="20"/>
                <w:color w:val="auto"/>
              </w:rPr>
            </w:pPr>
            <w:r>
              <w:rPr>
                <w:rFonts w:ascii="Courier New" w:cs="Courier New" w:eastAsia="Courier New" w:hAnsi="Courier New"/>
                <w:sz w:val="18"/>
                <w:szCs w:val="18"/>
                <w:color w:val="auto"/>
              </w:rPr>
              <w:t>Vice President of Research &amp; Development</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Jay L. Hawkins</w:t>
            </w:r>
          </w:p>
        </w:tc>
        <w:tc>
          <w:tcPr>
            <w:tcW w:w="310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6"/>
              </w:rPr>
              <w:t>Vice President of Operations</w:t>
            </w:r>
          </w:p>
        </w:tc>
        <w:tc>
          <w:tcPr>
            <w:tcW w:w="4960" w:type="dxa"/>
            <w:vAlign w:val="bottom"/>
          </w:tcPr>
          <w:p>
            <w:pPr>
              <w:spacing w:after="0"/>
              <w:rPr>
                <w:sz w:val="24"/>
                <w:szCs w:val="24"/>
                <w:color w:val="auto"/>
              </w:rPr>
            </w:pP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Joel J. Kocher</w:t>
            </w:r>
          </w:p>
        </w:tc>
        <w:tc>
          <w:tcPr>
            <w:tcW w:w="8060" w:type="dxa"/>
            <w:vAlign w:val="bottom"/>
            <w:gridSpan w:val="3"/>
          </w:tcPr>
          <w:p>
            <w:pPr>
              <w:ind w:left="160"/>
              <w:spacing w:after="0"/>
              <w:rPr>
                <w:sz w:val="20"/>
                <w:szCs w:val="20"/>
                <w:color w:val="auto"/>
              </w:rPr>
            </w:pPr>
            <w:r>
              <w:rPr>
                <w:rFonts w:ascii="Courier New" w:cs="Courier New" w:eastAsia="Courier New" w:hAnsi="Courier New"/>
                <w:sz w:val="18"/>
                <w:szCs w:val="18"/>
                <w:color w:val="auto"/>
                <w:w w:val="97"/>
              </w:rPr>
              <w:t>Chairman, Chief Executive Officer and President of Micron Electronics, Inc.</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Roderic W. Lewis</w:t>
            </w:r>
          </w:p>
        </w:tc>
        <w:tc>
          <w:tcPr>
            <w:tcW w:w="2640" w:type="dxa"/>
            <w:vAlign w:val="bottom"/>
          </w:tcPr>
          <w:p>
            <w:pPr>
              <w:ind w:left="160"/>
              <w:spacing w:after="0"/>
              <w:rPr>
                <w:sz w:val="20"/>
                <w:szCs w:val="20"/>
                <w:color w:val="auto"/>
              </w:rPr>
            </w:pPr>
            <w:r>
              <w:rPr>
                <w:rFonts w:ascii="Courier New" w:cs="Courier New" w:eastAsia="Courier New" w:hAnsi="Courier New"/>
                <w:sz w:val="18"/>
                <w:szCs w:val="18"/>
                <w:color w:val="auto"/>
                <w:w w:val="99"/>
              </w:rPr>
              <w:t>Vice President of Legal</w:t>
            </w:r>
          </w:p>
        </w:tc>
        <w:tc>
          <w:tcPr>
            <w:tcW w:w="542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Affairs, General Counsel and Corporate   Secretary</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Michael W. Sadler</w:t>
            </w:r>
          </w:p>
        </w:tc>
        <w:tc>
          <w:tcPr>
            <w:tcW w:w="2640" w:type="dxa"/>
            <w:vAlign w:val="bottom"/>
          </w:tcPr>
          <w:p>
            <w:pPr>
              <w:ind w:left="160"/>
              <w:spacing w:after="0"/>
              <w:rPr>
                <w:sz w:val="20"/>
                <w:szCs w:val="20"/>
                <w:color w:val="auto"/>
              </w:rPr>
            </w:pPr>
            <w:r>
              <w:rPr>
                <w:rFonts w:ascii="Courier New" w:cs="Courier New" w:eastAsia="Courier New" w:hAnsi="Courier New"/>
                <w:sz w:val="18"/>
                <w:szCs w:val="18"/>
                <w:color w:val="auto"/>
                <w:w w:val="99"/>
              </w:rPr>
              <w:t>Vice President of Sales</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rPr>
              <w:t>and</w:t>
            </w:r>
          </w:p>
        </w:tc>
        <w:tc>
          <w:tcPr>
            <w:tcW w:w="4960" w:type="dxa"/>
            <w:vAlign w:val="bottom"/>
          </w:tcPr>
          <w:p>
            <w:pPr>
              <w:spacing w:after="0"/>
              <w:rPr>
                <w:sz w:val="20"/>
                <w:szCs w:val="20"/>
                <w:color w:val="auto"/>
              </w:rPr>
            </w:pPr>
            <w:r>
              <w:rPr>
                <w:rFonts w:ascii="Courier New" w:cs="Courier New" w:eastAsia="Courier New" w:hAnsi="Courier New"/>
                <w:sz w:val="18"/>
                <w:szCs w:val="18"/>
                <w:color w:val="auto"/>
              </w:rPr>
              <w:t>Marketing</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Wilbur G. Stover, Jr.</w:t>
            </w:r>
          </w:p>
        </w:tc>
        <w:tc>
          <w:tcPr>
            <w:tcW w:w="2640" w:type="dxa"/>
            <w:vAlign w:val="bottom"/>
          </w:tcPr>
          <w:p>
            <w:pPr>
              <w:ind w:left="160"/>
              <w:spacing w:after="0"/>
              <w:rPr>
                <w:sz w:val="20"/>
                <w:szCs w:val="20"/>
                <w:color w:val="auto"/>
              </w:rPr>
            </w:pPr>
            <w:r>
              <w:rPr>
                <w:rFonts w:ascii="Courier New" w:cs="Courier New" w:eastAsia="Courier New" w:hAnsi="Courier New"/>
                <w:sz w:val="18"/>
                <w:szCs w:val="18"/>
                <w:color w:val="auto"/>
                <w:w w:val="99"/>
              </w:rPr>
              <w:t>Chief Financial Officer</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rPr>
              <w:t>and</w:t>
            </w:r>
          </w:p>
        </w:tc>
        <w:tc>
          <w:tcPr>
            <w:tcW w:w="4960" w:type="dxa"/>
            <w:vAlign w:val="bottom"/>
          </w:tcPr>
          <w:p>
            <w:pPr>
              <w:spacing w:after="0"/>
              <w:rPr>
                <w:sz w:val="20"/>
                <w:szCs w:val="20"/>
                <w:color w:val="auto"/>
              </w:rPr>
            </w:pPr>
            <w:r>
              <w:rPr>
                <w:rFonts w:ascii="Courier New" w:cs="Courier New" w:eastAsia="Courier New" w:hAnsi="Courier New"/>
                <w:sz w:val="18"/>
                <w:szCs w:val="18"/>
                <w:color w:val="auto"/>
              </w:rPr>
              <w:t>Vice President of Finance</w:t>
            </w:r>
          </w:p>
        </w:tc>
      </w:tr>
    </w:tbl>
    <w:p>
      <w:pPr>
        <w:spacing w:after="0" w:line="1" w:lineRule="exact"/>
        <w:rPr>
          <w:sz w:val="20"/>
          <w:szCs w:val="20"/>
          <w:color w:val="auto"/>
        </w:rPr>
      </w:pPr>
    </w:p>
    <w:sectPr>
      <w:pgSz w:w="11900" w:h="16838" w:orient="portrait"/>
      <w:cols w:equalWidth="0" w:num="1">
        <w:col w:w="10440"/>
      </w:cols>
      <w:pgMar w:left="240" w:top="71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lvl w:ilvl="1">
      <w:lvlJc w:val="left"/>
      <w:lvlText w:val="%2"/>
      <w:numFmt w:val="decimal"/>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2019-12-13T18:47:50Z</dcterms:created>
  <dcterms:modified xsi:type="dcterms:W3CDTF">2019-12-13T18:47:50Z</dcterms:modified>
</cp:coreProperties>
</file>