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20,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On June 20, 2018, we announced the financial results for our third quarter of fiscal year 2018 ended May 31, 2018. The full text of the press release issued in connection with the announcement is attached as Exhibit 99.1 to this Current Report on Form 8-K.</w:t>
      </w:r>
    </w:p>
    <w:p>
      <w:pPr>
        <w:spacing w:after="0" w:line="170"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(the "Securities Act"), or the Exchange Act, except as shall be expressly set forth by specific reference in such filing or document.</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5"/>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5"/>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r>
      <w:tr>
        <w:trPr>
          <w:trHeight w:val="196"/>
        </w:trPr>
        <w:tc>
          <w:tcPr>
            <w:tcW w:w="1020" w:type="dxa"/>
            <w:vAlign w:val="bottom"/>
          </w:tcPr>
          <w:p>
            <w:pPr>
              <w:jc w:val="right"/>
              <w:ind w:right="70"/>
              <w:spacing w:after="0" w:line="196" w:lineRule="exact"/>
              <w:rPr>
                <w:sz w:val="20"/>
                <w:szCs w:val="20"/>
                <w:color w:val="auto"/>
              </w:rPr>
            </w:pPr>
            <w:r>
              <w:rPr>
                <w:rFonts w:ascii="Arial" w:cs="Arial" w:eastAsia="Arial" w:hAnsi="Arial"/>
                <w:sz w:val="18"/>
                <w:szCs w:val="18"/>
                <w:color w:val="auto"/>
              </w:rPr>
              <w:t>99.1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tcBorders>
              <w:bottom w:val="single" w:sz="8" w:color="0000FF"/>
            </w:tcBorders>
          </w:tcPr>
          <w:p>
            <w:pPr>
              <w:spacing w:after="0" w:line="196" w:lineRule="exact"/>
              <w:rPr>
                <w:rFonts w:ascii="Arial" w:cs="Arial" w:eastAsia="Arial" w:hAnsi="Arial"/>
                <w:sz w:val="18"/>
                <w:szCs w:val="18"/>
                <w:color w:val="0000FF"/>
                <w:w w:val="86"/>
              </w:rPr>
            </w:pPr>
            <w:hyperlink w:anchor="page4">
              <w:r>
                <w:rPr>
                  <w:rFonts w:ascii="Arial" w:cs="Arial" w:eastAsia="Arial" w:hAnsi="Arial"/>
                  <w:sz w:val="18"/>
                  <w:szCs w:val="18"/>
                  <w:color w:val="0000FF"/>
                  <w:w w:val="86"/>
                </w:rPr>
                <w:t>Press Release issued on June 20, 2018</w:t>
              </w:r>
            </w:hyperlink>
          </w:p>
        </w:tc>
        <w:tc>
          <w:tcPr>
            <w:tcW w:w="7020" w:type="dxa"/>
            <w:vAlign w:val="bottom"/>
          </w:tcPr>
          <w:p>
            <w:pPr>
              <w:spacing w:after="0"/>
              <w:rPr>
                <w:sz w:val="17"/>
                <w:szCs w:val="17"/>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160" w:type="dxa"/>
            <w:vAlign w:val="bottom"/>
            <w:gridSpan w:val="2"/>
          </w:tcPr>
          <w:p>
            <w:pPr>
              <w:ind w:left="18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80"/>
              <w:spacing w:after="0"/>
              <w:rPr>
                <w:sz w:val="20"/>
                <w:szCs w:val="20"/>
                <w:color w:val="auto"/>
              </w:rPr>
            </w:pPr>
            <w:r>
              <w:rPr>
                <w:rFonts w:ascii="Arial" w:cs="Arial" w:eastAsia="Arial" w:hAnsi="Arial"/>
                <w:sz w:val="18"/>
                <w:szCs w:val="18"/>
                <w:color w:val="auto"/>
              </w:rPr>
              <w:t>June 20, 2018</w:t>
            </w:r>
          </w:p>
        </w:tc>
        <w:tc>
          <w:tcPr>
            <w:tcW w:w="2820" w:type="dxa"/>
            <w:vAlign w:val="bottom"/>
          </w:tcPr>
          <w:p>
            <w:pPr>
              <w:ind w:left="18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20" w:type="dxa"/>
            <w:vAlign w:val="bottom"/>
            <w:vMerge w:val="restart"/>
          </w:tcPr>
          <w:p>
            <w:pPr>
              <w:ind w:left="18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8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820" w:type="dxa"/>
            <w:vAlign w:val="bottom"/>
          </w:tcPr>
          <w:p>
            <w:pPr>
              <w:ind w:left="18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60"/>
          </w:cols>
          <w:pgMar w:left="240" w:top="796"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580" w:type="dxa"/>
            <w:vAlign w:val="bottom"/>
            <w:gridSpan w:val="3"/>
          </w:tcPr>
          <w:p>
            <w:pPr>
              <w:spacing w:after="0"/>
              <w:rPr>
                <w:sz w:val="20"/>
                <w:szCs w:val="20"/>
                <w:color w:val="auto"/>
              </w:rPr>
            </w:pPr>
            <w:r>
              <w:rPr>
                <w:rFonts w:ascii="Arial" w:cs="Arial" w:eastAsia="Arial" w:hAnsi="Arial"/>
                <w:sz w:val="22"/>
                <w:szCs w:val="22"/>
                <w:b w:val="1"/>
                <w:bCs w:val="1"/>
                <w:color w:val="auto"/>
              </w:rPr>
              <w:t>FOR IMMEDIATE RELEASE</w:t>
            </w:r>
          </w:p>
        </w:tc>
        <w:tc>
          <w:tcPr>
            <w:tcW w:w="2020" w:type="dxa"/>
            <w:vAlign w:val="bottom"/>
          </w:tcPr>
          <w:p>
            <w:pPr>
              <w:spacing w:after="0"/>
              <w:rPr>
                <w:sz w:val="24"/>
                <w:szCs w:val="24"/>
                <w:color w:val="auto"/>
              </w:rPr>
            </w:pPr>
          </w:p>
        </w:tc>
      </w:tr>
      <w:tr>
        <w:trPr>
          <w:trHeight w:val="638"/>
        </w:trPr>
        <w:tc>
          <w:tcPr>
            <w:tcW w:w="3580" w:type="dxa"/>
            <w:vAlign w:val="bottom"/>
            <w:gridSpan w:val="3"/>
          </w:tcPr>
          <w:p>
            <w:pPr>
              <w:ind w:left="40"/>
              <w:spacing w:after="0"/>
              <w:rPr>
                <w:sz w:val="20"/>
                <w:szCs w:val="20"/>
                <w:color w:val="auto"/>
              </w:rPr>
            </w:pPr>
            <w:r>
              <w:rPr>
                <w:rFonts w:ascii="Arial" w:cs="Arial" w:eastAsia="Arial" w:hAnsi="Arial"/>
                <w:sz w:val="22"/>
                <w:szCs w:val="22"/>
                <w:color w:val="auto"/>
                <w:w w:val="86"/>
              </w:rPr>
              <w:t>Contacts:Shanye Hudson</w:t>
            </w:r>
          </w:p>
        </w:tc>
        <w:tc>
          <w:tcPr>
            <w:tcW w:w="2020" w:type="dxa"/>
            <w:vAlign w:val="bottom"/>
          </w:tcPr>
          <w:p>
            <w:pPr>
              <w:spacing w:after="0"/>
              <w:rPr>
                <w:sz w:val="20"/>
                <w:szCs w:val="20"/>
                <w:color w:val="auto"/>
              </w:rPr>
            </w:pPr>
            <w:r>
              <w:rPr>
                <w:rFonts w:ascii="Arial" w:cs="Arial" w:eastAsia="Arial" w:hAnsi="Arial"/>
                <w:sz w:val="22"/>
                <w:szCs w:val="22"/>
                <w:color w:val="auto"/>
              </w:rPr>
              <w:t>David Oro</w:t>
            </w:r>
          </w:p>
        </w:tc>
      </w:tr>
      <w:tr>
        <w:trPr>
          <w:trHeight w:val="297"/>
        </w:trPr>
        <w:tc>
          <w:tcPr>
            <w:tcW w:w="126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22"/>
                <w:szCs w:val="22"/>
                <w:color w:val="auto"/>
              </w:rPr>
              <w:t>Investor Relations</w:t>
            </w:r>
          </w:p>
        </w:tc>
        <w:tc>
          <w:tcPr>
            <w:tcW w:w="2020" w:type="dxa"/>
            <w:vAlign w:val="bottom"/>
          </w:tcPr>
          <w:p>
            <w:pPr>
              <w:spacing w:after="0"/>
              <w:rPr>
                <w:sz w:val="20"/>
                <w:szCs w:val="20"/>
                <w:color w:val="auto"/>
              </w:rPr>
            </w:pPr>
            <w:r>
              <w:rPr>
                <w:rFonts w:ascii="Arial" w:cs="Arial" w:eastAsia="Arial" w:hAnsi="Arial"/>
                <w:sz w:val="22"/>
                <w:szCs w:val="22"/>
                <w:color w:val="auto"/>
              </w:rPr>
              <w:t>Media Relations</w:t>
            </w:r>
          </w:p>
        </w:tc>
      </w:tr>
      <w:tr>
        <w:trPr>
          <w:trHeight w:val="247"/>
        </w:trPr>
        <w:tc>
          <w:tcPr>
            <w:tcW w:w="1260" w:type="dxa"/>
            <w:vAlign w:val="bottom"/>
          </w:tcPr>
          <w:p>
            <w:pPr>
              <w:spacing w:after="0"/>
              <w:rPr>
                <w:sz w:val="21"/>
                <w:szCs w:val="21"/>
                <w:color w:val="auto"/>
              </w:rPr>
            </w:pPr>
          </w:p>
        </w:tc>
        <w:tc>
          <w:tcPr>
            <w:tcW w:w="194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87"/>
              </w:rPr>
              <w:t>shudson@micron.com</w:t>
            </w:r>
          </w:p>
        </w:tc>
        <w:tc>
          <w:tcPr>
            <w:tcW w:w="380" w:type="dxa"/>
            <w:vAlign w:val="bottom"/>
          </w:tcPr>
          <w:p>
            <w:pPr>
              <w:spacing w:after="0"/>
              <w:rPr>
                <w:sz w:val="21"/>
                <w:szCs w:val="21"/>
                <w:color w:val="auto"/>
              </w:rPr>
            </w:pPr>
          </w:p>
        </w:tc>
        <w:tc>
          <w:tcPr>
            <w:tcW w:w="2020" w:type="dxa"/>
            <w:vAlign w:val="bottom"/>
            <w:tcBorders>
              <w:bottom w:val="single" w:sz="8" w:color="0000FF"/>
            </w:tcBorders>
          </w:tcPr>
          <w:p>
            <w:pPr>
              <w:spacing w:after="0" w:line="246" w:lineRule="exact"/>
              <w:rPr>
                <w:sz w:val="20"/>
                <w:szCs w:val="20"/>
                <w:color w:val="auto"/>
              </w:rPr>
            </w:pPr>
            <w:r>
              <w:rPr>
                <w:rFonts w:ascii="Arial" w:cs="Arial" w:eastAsia="Arial" w:hAnsi="Arial"/>
                <w:sz w:val="22"/>
                <w:szCs w:val="22"/>
                <w:color w:val="0000FF"/>
                <w:w w:val="90"/>
              </w:rPr>
              <w:t>davidoro@micron.com</w:t>
            </w:r>
          </w:p>
        </w:tc>
      </w:tr>
      <w:tr>
        <w:trPr>
          <w:trHeight w:val="328"/>
        </w:trPr>
        <w:tc>
          <w:tcPr>
            <w:tcW w:w="3200" w:type="dxa"/>
            <w:vAlign w:val="bottom"/>
            <w:gridSpan w:val="2"/>
          </w:tcPr>
          <w:p>
            <w:pPr>
              <w:ind w:left="1260"/>
              <w:spacing w:after="0"/>
              <w:rPr>
                <w:sz w:val="20"/>
                <w:szCs w:val="20"/>
                <w:color w:val="auto"/>
              </w:rPr>
            </w:pPr>
            <w:r>
              <w:rPr>
                <w:rFonts w:ascii="Arial" w:cs="Arial" w:eastAsia="Arial" w:hAnsi="Arial"/>
                <w:sz w:val="22"/>
                <w:szCs w:val="22"/>
                <w:color w:val="auto"/>
              </w:rPr>
              <w:t>(208) 492-1205</w:t>
            </w:r>
          </w:p>
        </w:tc>
        <w:tc>
          <w:tcPr>
            <w:tcW w:w="380" w:type="dxa"/>
            <w:vAlign w:val="bottom"/>
          </w:tcPr>
          <w:p>
            <w:pPr>
              <w:spacing w:after="0"/>
              <w:rPr>
                <w:sz w:val="24"/>
                <w:szCs w:val="24"/>
                <w:color w:val="auto"/>
              </w:rPr>
            </w:pPr>
          </w:p>
        </w:tc>
        <w:tc>
          <w:tcPr>
            <w:tcW w:w="2020" w:type="dxa"/>
            <w:vAlign w:val="bottom"/>
          </w:tcPr>
          <w:p>
            <w:pPr>
              <w:spacing w:after="0"/>
              <w:rPr>
                <w:sz w:val="20"/>
                <w:szCs w:val="20"/>
                <w:color w:val="auto"/>
              </w:rPr>
            </w:pPr>
            <w:r>
              <w:rPr>
                <w:rFonts w:ascii="Arial" w:cs="Arial" w:eastAsia="Arial" w:hAnsi="Arial"/>
                <w:sz w:val="22"/>
                <w:szCs w:val="22"/>
                <w:color w:val="auto"/>
              </w:rPr>
              <w:t>(707) 558-8585</w:t>
            </w: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THIRD QUARTER OF FISCAL 2018</w:t>
      </w:r>
    </w:p>
    <w:p>
      <w:pPr>
        <w:spacing w:after="0" w:line="242" w:lineRule="exact"/>
        <w:rPr>
          <w:sz w:val="20"/>
          <w:szCs w:val="20"/>
          <w:color w:val="auto"/>
        </w:rPr>
      </w:pPr>
    </w:p>
    <w:p>
      <w:pPr>
        <w:ind w:left="3540"/>
        <w:spacing w:after="0"/>
        <w:rPr>
          <w:sz w:val="20"/>
          <w:szCs w:val="20"/>
          <w:color w:val="auto"/>
        </w:rPr>
      </w:pPr>
      <w:r>
        <w:rPr>
          <w:rFonts w:ascii="Arial" w:cs="Arial" w:eastAsia="Arial" w:hAnsi="Arial"/>
          <w:sz w:val="22"/>
          <w:szCs w:val="22"/>
          <w:i w:val="1"/>
          <w:iCs w:val="1"/>
          <w:color w:val="auto"/>
        </w:rPr>
        <w:t>Strong execution and broad secular demand led to</w:t>
      </w:r>
    </w:p>
    <w:p>
      <w:pPr>
        <w:spacing w:after="0" w:line="22" w:lineRule="exact"/>
        <w:rPr>
          <w:sz w:val="20"/>
          <w:szCs w:val="20"/>
          <w:color w:val="auto"/>
        </w:rPr>
      </w:pPr>
    </w:p>
    <w:p>
      <w:pPr>
        <w:ind w:left="3480"/>
        <w:spacing w:after="0"/>
        <w:rPr>
          <w:sz w:val="20"/>
          <w:szCs w:val="20"/>
          <w:color w:val="auto"/>
        </w:rPr>
      </w:pPr>
      <w:r>
        <w:rPr>
          <w:rFonts w:ascii="Arial" w:cs="Arial" w:eastAsia="Arial" w:hAnsi="Arial"/>
          <w:sz w:val="22"/>
          <w:szCs w:val="22"/>
          <w:i w:val="1"/>
          <w:iCs w:val="1"/>
          <w:color w:val="auto"/>
        </w:rPr>
        <w:t>another record quarter for revenue and profitability</w:t>
      </w:r>
    </w:p>
    <w:p>
      <w:pPr>
        <w:spacing w:after="0" w:line="236" w:lineRule="exact"/>
        <w:rPr>
          <w:sz w:val="20"/>
          <w:szCs w:val="20"/>
          <w:color w:val="auto"/>
        </w:rPr>
      </w:pPr>
    </w:p>
    <w:p>
      <w:pPr>
        <w:ind w:right="140" w:firstLine="324"/>
        <w:spacing w:after="0" w:line="269" w:lineRule="auto"/>
        <w:rPr>
          <w:sz w:val="20"/>
          <w:szCs w:val="20"/>
          <w:color w:val="auto"/>
        </w:rPr>
      </w:pPr>
      <w:r>
        <w:rPr>
          <w:rFonts w:ascii="Arial" w:cs="Arial" w:eastAsia="Arial" w:hAnsi="Arial"/>
          <w:sz w:val="22"/>
          <w:szCs w:val="22"/>
          <w:b w:val="1"/>
          <w:bCs w:val="1"/>
          <w:color w:val="auto"/>
        </w:rPr>
        <w:t xml:space="preserve">BOISE, Idaho, </w:t>
      </w:r>
      <w:r>
        <w:rPr>
          <w:rFonts w:ascii="Arial" w:cs="Arial" w:eastAsia="Arial" w:hAnsi="Arial"/>
          <w:sz w:val="22"/>
          <w:szCs w:val="22"/>
          <w:color w:val="auto"/>
        </w:rPr>
        <w:t>June 20, 2018 – Micron Technology, Inc., (NASDAQ: MU) today announced results of operations for its third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fiscal 2018, which ended May 31, 2018.</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Fiscal Q3 2018 Highlights</w:t>
      </w:r>
    </w:p>
    <w:p>
      <w:pPr>
        <w:spacing w:after="0" w:line="28" w:lineRule="exact"/>
        <w:rPr>
          <w:sz w:val="20"/>
          <w:szCs w:val="20"/>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Revenues of $7.80 billion, up 40 percent compared with the same period last year</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GAAP net income of $3.82 billion, or $3.10 per diluted share</w:t>
      </w:r>
    </w:p>
    <w:p>
      <w:pPr>
        <w:spacing w:after="0" w:line="3" w:lineRule="exact"/>
        <w:rPr>
          <w:rFonts w:ascii="Arial" w:cs="Arial" w:eastAsia="Arial" w:hAnsi="Arial"/>
          <w:sz w:val="22"/>
          <w:szCs w:val="22"/>
          <w:color w:val="auto"/>
        </w:rPr>
      </w:pPr>
    </w:p>
    <w:p>
      <w:pPr>
        <w:ind w:left="1380" w:hanging="400"/>
        <w:spacing w:after="0"/>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Non-GAAP net income of $3.90 billion, or $3.15 per diluted share</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Operating cash flow of $4.26 billion, compared with $2.41 billion for the same period last year</w:t>
      </w:r>
    </w:p>
    <w:p>
      <w:pPr>
        <w:spacing w:after="0" w:line="3" w:lineRule="exact"/>
        <w:rPr>
          <w:rFonts w:ascii="Arial" w:cs="Arial" w:eastAsia="Arial" w:hAnsi="Arial"/>
          <w:sz w:val="22"/>
          <w:szCs w:val="22"/>
          <w:color w:val="auto"/>
        </w:rPr>
      </w:pPr>
    </w:p>
    <w:p>
      <w:pPr>
        <w:ind w:left="1300" w:hanging="320"/>
        <w:spacing w:after="0"/>
        <w:tabs>
          <w:tab w:leader="none" w:pos="1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Ended the quarter with a net cash positive position</w:t>
      </w:r>
    </w:p>
    <w:p>
      <w:pPr>
        <w:spacing w:after="0" w:line="242" w:lineRule="exact"/>
        <w:rPr>
          <w:sz w:val="20"/>
          <w:szCs w:val="20"/>
          <w:color w:val="auto"/>
        </w:rPr>
      </w:pPr>
    </w:p>
    <w:p>
      <w:pPr>
        <w:ind w:right="100" w:firstLine="324"/>
        <w:spacing w:after="0" w:line="297" w:lineRule="auto"/>
        <w:rPr>
          <w:sz w:val="20"/>
          <w:szCs w:val="20"/>
          <w:color w:val="auto"/>
        </w:rPr>
      </w:pPr>
      <w:r>
        <w:rPr>
          <w:rFonts w:ascii="Arial" w:cs="Arial" w:eastAsia="Arial" w:hAnsi="Arial"/>
          <w:sz w:val="19"/>
          <w:szCs w:val="19"/>
          <w:color w:val="auto"/>
        </w:rPr>
        <w:t>"Micron delivered record results in financial performance for the third fiscal quarter, supported by strong execution and ongoing secular demand trends," said Micron President and CEO Sanjay Mehrotra. "We strengthened our competitive position and grew our revenue across virtually all of our high-value product segments. We set new records for revenue in SSDs, Mobile Managed NAND and Automotive solutions along with Cloud/Enterprise and Graphics DRAM Memory. We see ongoing momentum and healthy industry fundamentals in the fourth quarter to close out an exceptionally strong fiscal 2018."</w:t>
      </w:r>
    </w:p>
    <w:p>
      <w:pPr>
        <w:spacing w:after="0" w:line="330"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auto"/>
        </w:rPr>
        <w:t>Quarterly Financial Results</w:t>
      </w:r>
    </w:p>
    <w:p>
      <w:pPr>
        <w:spacing w:after="0" w:line="28" w:lineRule="exact"/>
        <w:rPr>
          <w:sz w:val="20"/>
          <w:szCs w:val="20"/>
          <w:color w:val="auto"/>
        </w:rPr>
      </w:pPr>
    </w:p>
    <w:tbl>
      <w:tblPr>
        <w:tblLayout w:type="fixed"/>
        <w:tblInd w:w="1130" w:type="dxa"/>
        <w:tblCellMar>
          <w:top w:w="0" w:type="dxa"/>
          <w:left w:w="0" w:type="dxa"/>
          <w:bottom w:w="0" w:type="dxa"/>
          <w:right w:w="0" w:type="dxa"/>
        </w:tblCellMar>
      </w:tblPr>
      <w:tr>
        <w:trPr>
          <w:trHeight w:val="281"/>
        </w:trPr>
        <w:tc>
          <w:tcPr>
            <w:tcW w:w="3440" w:type="dxa"/>
            <w:vAlign w:val="bottom"/>
            <w:tcBorders>
              <w:top w:val="single" w:sz="8" w:color="auto"/>
              <w:left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center"/>
              <w:ind w:right="30"/>
              <w:spacing w:after="0" w:line="281" w:lineRule="exact"/>
              <w:rPr>
                <w:sz w:val="20"/>
                <w:szCs w:val="20"/>
                <w:color w:val="auto"/>
              </w:rPr>
            </w:pPr>
            <w:r>
              <w:rPr>
                <w:rFonts w:ascii="Arial" w:cs="Arial" w:eastAsia="Arial" w:hAnsi="Arial"/>
                <w:sz w:val="18"/>
                <w:szCs w:val="18"/>
                <w:b w:val="1"/>
                <w:bCs w:val="1"/>
                <w:color w:val="auto"/>
                <w:w w:val="90"/>
              </w:rPr>
              <w:t xml:space="preserve">GAAP </w:t>
            </w:r>
            <w:r>
              <w:rPr>
                <w:rFonts w:ascii="Arial" w:cs="Arial" w:eastAsia="Arial" w:hAnsi="Arial"/>
                <w:sz w:val="25"/>
                <w:szCs w:val="25"/>
                <w:b w:val="1"/>
                <w:bCs w:val="1"/>
                <w:color w:val="auto"/>
                <w:w w:val="90"/>
                <w:vertAlign w:val="superscript"/>
              </w:rPr>
              <w:t>(1)</w:t>
            </w:r>
          </w:p>
        </w:tc>
        <w:tc>
          <w:tcPr>
            <w:tcW w:w="1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spacing w:after="0"/>
              <w:rPr>
                <w:sz w:val="24"/>
                <w:szCs w:val="24"/>
                <w:color w:val="auto"/>
              </w:rPr>
            </w:pPr>
          </w:p>
        </w:tc>
        <w:tc>
          <w:tcPr>
            <w:tcW w:w="120" w:type="dxa"/>
            <w:vAlign w:val="bottom"/>
            <w:tcBorders>
              <w:top w:val="single" w:sz="8" w:color="auto"/>
              <w:bottom w:val="single" w:sz="8" w:color="auto"/>
              <w:right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gridSpan w:val="4"/>
          </w:tcPr>
          <w:p>
            <w:pPr>
              <w:jc w:val="center"/>
              <w:spacing w:after="0" w:line="281" w:lineRule="exact"/>
              <w:rPr>
                <w:sz w:val="20"/>
                <w:szCs w:val="20"/>
                <w:color w:val="auto"/>
              </w:rPr>
            </w:pPr>
            <w:r>
              <w:rPr>
                <w:rFonts w:ascii="Arial" w:cs="Arial" w:eastAsia="Arial" w:hAnsi="Arial"/>
                <w:sz w:val="18"/>
                <w:szCs w:val="18"/>
                <w:b w:val="1"/>
                <w:bCs w:val="1"/>
                <w:color w:val="auto"/>
                <w:w w:val="91"/>
              </w:rPr>
              <w:t xml:space="preserve">Non-GAAP </w:t>
            </w:r>
            <w:r>
              <w:rPr>
                <w:rFonts w:ascii="Arial" w:cs="Arial" w:eastAsia="Arial" w:hAnsi="Arial"/>
                <w:sz w:val="25"/>
                <w:szCs w:val="25"/>
                <w:b w:val="1"/>
                <w:bCs w:val="1"/>
                <w:color w:val="auto"/>
                <w:w w:val="91"/>
                <w:vertAlign w:val="superscript"/>
              </w:rPr>
              <w:t>(2)</w:t>
            </w:r>
          </w:p>
        </w:tc>
        <w:tc>
          <w:tcPr>
            <w:tcW w:w="80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(in millions except per share amounts)</w:t>
            </w:r>
          </w:p>
        </w:tc>
        <w:tc>
          <w:tcPr>
            <w:tcW w:w="140" w:type="dxa"/>
            <w:vAlign w:val="bottom"/>
          </w:tcPr>
          <w:p>
            <w:pPr>
              <w:spacing w:after="0"/>
              <w:rPr>
                <w:sz w:val="20"/>
                <w:szCs w:val="20"/>
                <w:color w:val="auto"/>
              </w:rPr>
            </w:pPr>
          </w:p>
        </w:tc>
        <w:tc>
          <w:tcPr>
            <w:tcW w:w="78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FQ3-18</w:t>
            </w:r>
          </w:p>
        </w:tc>
        <w:tc>
          <w:tcPr>
            <w:tcW w:w="120" w:type="dxa"/>
            <w:vAlign w:val="bottom"/>
          </w:tcPr>
          <w:p>
            <w:pPr>
              <w:spacing w:after="0"/>
              <w:rPr>
                <w:sz w:val="20"/>
                <w:szCs w:val="20"/>
                <w:color w:val="auto"/>
              </w:rPr>
            </w:pPr>
          </w:p>
        </w:tc>
        <w:tc>
          <w:tcPr>
            <w:tcW w:w="82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FQ2-18</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FQ3-17</w:t>
            </w:r>
          </w:p>
        </w:tc>
        <w:tc>
          <w:tcPr>
            <w:tcW w:w="1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8"/>
              </w:rPr>
              <w:t>FQ3-18</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FQ2-18</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FQ3-17</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69"/>
        </w:trPr>
        <w:tc>
          <w:tcPr>
            <w:tcW w:w="3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7,797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7,351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5,566</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100" w:type="dxa"/>
            <w:vAlign w:val="bottom"/>
            <w:tcBorders>
              <w:bottom w:val="single" w:sz="8" w:color="CCEEFF"/>
              <w:right w:val="single" w:sz="8" w:color="auto"/>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7,351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5,566</w:t>
            </w:r>
          </w:p>
        </w:tc>
      </w:tr>
      <w:tr>
        <w:trPr>
          <w:trHeight w:val="237"/>
        </w:trPr>
        <w:tc>
          <w:tcPr>
            <w:tcW w:w="3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Gross margin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4,723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4,270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2,609</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4,296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2,671</w:t>
            </w:r>
          </w:p>
        </w:tc>
      </w:tr>
      <w:tr>
        <w:trPr>
          <w:trHeight w:val="270"/>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percent of net sales</w:t>
            </w:r>
          </w:p>
        </w:tc>
        <w:tc>
          <w:tcPr>
            <w:tcW w:w="140" w:type="dxa"/>
            <w:vAlign w:val="bottom"/>
          </w:tcPr>
          <w:p>
            <w:pPr>
              <w:spacing w:after="0"/>
              <w:rPr>
                <w:sz w:val="23"/>
                <w:szCs w:val="23"/>
                <w:color w:val="auto"/>
              </w:rPr>
            </w:pPr>
          </w:p>
        </w:tc>
        <w:tc>
          <w:tcPr>
            <w:tcW w:w="7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60.6%</w:t>
            </w:r>
          </w:p>
        </w:tc>
        <w:tc>
          <w:tcPr>
            <w:tcW w:w="120" w:type="dxa"/>
            <w:vAlign w:val="bottom"/>
          </w:tcPr>
          <w:p>
            <w:pPr>
              <w:spacing w:after="0"/>
              <w:rPr>
                <w:sz w:val="23"/>
                <w:szCs w:val="23"/>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58.1%</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46.9%</w:t>
            </w:r>
          </w:p>
        </w:tc>
        <w:tc>
          <w:tcPr>
            <w:tcW w:w="12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i w:val="1"/>
                <w:iCs w:val="1"/>
                <w:color w:val="auto"/>
              </w:rPr>
              <w:t>60.9%</w:t>
            </w:r>
          </w:p>
        </w:tc>
        <w:tc>
          <w:tcPr>
            <w:tcW w:w="10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i w:val="1"/>
                <w:iCs w:val="1"/>
                <w:color w:val="auto"/>
                <w:w w:val="93"/>
              </w:rPr>
              <w:t>58.4%</w:t>
            </w:r>
          </w:p>
        </w:tc>
        <w:tc>
          <w:tcPr>
            <w:tcW w:w="140" w:type="dxa"/>
            <w:vAlign w:val="bottom"/>
          </w:tcPr>
          <w:p>
            <w:pPr>
              <w:spacing w:after="0"/>
              <w:rPr>
                <w:sz w:val="23"/>
                <w:szCs w:val="23"/>
                <w:color w:val="auto"/>
              </w:rPr>
            </w:pPr>
          </w:p>
        </w:tc>
        <w:tc>
          <w:tcPr>
            <w:tcW w:w="8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i w:val="1"/>
                <w:iCs w:val="1"/>
                <w:color w:val="auto"/>
              </w:rPr>
              <w:t>48.0%</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3,567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1,963</w:t>
            </w:r>
          </w:p>
        </w:tc>
        <w:tc>
          <w:tcPr>
            <w:tcW w:w="12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0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2,071</w:t>
            </w:r>
          </w:p>
        </w:tc>
      </w:tr>
      <w:tr>
        <w:trPr>
          <w:trHeight w:val="302"/>
        </w:trPr>
        <w:tc>
          <w:tcPr>
            <w:tcW w:w="34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percent of net sales</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50.7%</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48.5%</w:t>
            </w: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35.3%</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51.5%</w:t>
            </w: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i w:val="1"/>
                <w:iCs w:val="1"/>
                <w:color w:val="auto"/>
                <w:w w:val="93"/>
              </w:rPr>
              <w:t>49.4%</w:t>
            </w: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37.2%</w:t>
            </w:r>
          </w:p>
        </w:tc>
      </w:tr>
      <w:tr>
        <w:trPr>
          <w:trHeight w:val="237"/>
        </w:trPr>
        <w:tc>
          <w:tcPr>
            <w:tcW w:w="34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income attributable to Micron</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3,823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3,309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1,647</w:t>
            </w:r>
          </w:p>
        </w:tc>
        <w:tc>
          <w:tcPr>
            <w:tcW w:w="1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3,898</w:t>
            </w:r>
          </w:p>
        </w:tc>
        <w:tc>
          <w:tcPr>
            <w:tcW w:w="100" w:type="dxa"/>
            <w:vAlign w:val="bottom"/>
            <w:tcBorders>
              <w:top w:val="single" w:sz="8" w:color="auto"/>
              <w:right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3,495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1,896</w:t>
            </w:r>
          </w:p>
        </w:tc>
      </w:tr>
      <w:tr>
        <w:trPr>
          <w:trHeight w:val="270"/>
        </w:trPr>
        <w:tc>
          <w:tcPr>
            <w:tcW w:w="3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3.10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2.67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1.40</w:t>
            </w:r>
          </w:p>
        </w:tc>
        <w:tc>
          <w:tcPr>
            <w:tcW w:w="120" w:type="dxa"/>
            <w:vAlign w:val="bottom"/>
            <w:tcBorders>
              <w:right w:val="single" w:sz="8" w:color="auto"/>
            </w:tcBorders>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right w:val="single" w:sz="8" w:color="auto"/>
            </w:tcBorders>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2.82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1.62</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bl>
    <w:p>
      <w:pPr>
        <w:spacing w:after="0" w:line="208" w:lineRule="exact"/>
        <w:rPr>
          <w:sz w:val="20"/>
          <w:szCs w:val="20"/>
          <w:color w:val="auto"/>
        </w:rPr>
      </w:pPr>
    </w:p>
    <w:p>
      <w:pPr>
        <w:ind w:right="60" w:firstLine="324"/>
        <w:spacing w:after="0" w:line="312" w:lineRule="auto"/>
        <w:rPr>
          <w:sz w:val="20"/>
          <w:szCs w:val="20"/>
          <w:color w:val="auto"/>
        </w:rPr>
      </w:pPr>
      <w:r>
        <w:rPr>
          <w:rFonts w:ascii="Arial" w:cs="Arial" w:eastAsia="Arial" w:hAnsi="Arial"/>
          <w:sz w:val="19"/>
          <w:szCs w:val="19"/>
          <w:color w:val="auto"/>
        </w:rPr>
        <w:t>Revenues for the third quarter of 2018 were 6 percent higher compared to the second quarter of 2018, reflecting increased demand broadly across our products and end markets. Our overall consolidated gross margin of 60.6 percent for the third quarter of 2018 was higher compared to 58.1 percent for the second quarter of 2018 primarily due to execution across our product portfolio.</w:t>
      </w:r>
    </w:p>
    <w:p>
      <w:pPr>
        <w:sectPr>
          <w:pgSz w:w="11900" w:h="16838" w:orient="portrait"/>
          <w:cols w:equalWidth="0" w:num="1">
            <w:col w:w="11420"/>
          </w:cols>
          <w:pgMar w:left="240" w:top="801" w:right="239" w:bottom="1440" w:gutter="0" w:footer="0" w:header="0"/>
        </w:sectPr>
      </w:pPr>
    </w:p>
    <w:bookmarkStart w:id="4" w:name="page5"/>
    <w:bookmarkEnd w:id="4"/>
    <w:p>
      <w:pPr>
        <w:ind w:firstLine="324"/>
        <w:spacing w:after="0" w:line="242" w:lineRule="auto"/>
        <w:rPr>
          <w:sz w:val="20"/>
          <w:szCs w:val="20"/>
          <w:color w:val="auto"/>
        </w:rPr>
      </w:pPr>
      <w:r>
        <w:rPr>
          <w:rFonts w:ascii="Arial" w:cs="Arial" w:eastAsia="Arial" w:hAnsi="Arial"/>
          <w:sz w:val="21"/>
          <w:szCs w:val="21"/>
          <w:color w:val="auto"/>
        </w:rPr>
        <w:t>Investments in capital expenditures, net of amounts funded by partners, were $2.10 billion, which resulted in adjusted free cash flows</w:t>
      </w:r>
      <w:r>
        <w:rPr>
          <w:rFonts w:ascii="Arial" w:cs="Arial" w:eastAsia="Arial" w:hAnsi="Arial"/>
          <w:sz w:val="27"/>
          <w:szCs w:val="27"/>
          <w:color w:val="auto"/>
          <w:vertAlign w:val="superscript"/>
        </w:rPr>
        <w:t>(3)</w:t>
      </w:r>
      <w:r>
        <w:rPr>
          <w:rFonts w:ascii="Arial" w:cs="Arial" w:eastAsia="Arial" w:hAnsi="Arial"/>
          <w:sz w:val="21"/>
          <w:szCs w:val="21"/>
          <w:color w:val="auto"/>
        </w:rPr>
        <w:t xml:space="preserve"> of $2.16 billion for the third quarter of 2018. During the quarter, we repurchased or converted $2.31 billion principal amount of our debt, lowering our total carrying value of debt to $7.34 billion exiting the quarter. We ended the third quarter in a net cash positive position with cash, marketable investments, and restricted cash of $7.68 billion.</w:t>
      </w:r>
    </w:p>
    <w:p>
      <w:pPr>
        <w:spacing w:after="0" w:line="239" w:lineRule="exact"/>
        <w:rPr>
          <w:sz w:val="20"/>
          <w:szCs w:val="20"/>
          <w:color w:val="auto"/>
        </w:rPr>
      </w:pPr>
    </w:p>
    <w:p>
      <w:pPr>
        <w:ind w:right="120" w:firstLine="324"/>
        <w:spacing w:after="0" w:line="297" w:lineRule="auto"/>
        <w:rPr>
          <w:sz w:val="20"/>
          <w:szCs w:val="20"/>
          <w:color w:val="auto"/>
        </w:rPr>
      </w:pPr>
      <w:r>
        <w:rPr>
          <w:rFonts w:ascii="Arial" w:cs="Arial" w:eastAsia="Arial" w:hAnsi="Arial"/>
          <w:sz w:val="19"/>
          <w:szCs w:val="19"/>
          <w:color w:val="auto"/>
        </w:rPr>
        <w:t xml:space="preserve">We will host a conference call on Wednesday, June 20, 2018 at 2:30 p.m. MT to discuss our financial results. The call, audio, and slides will be available online at </w:t>
      </w:r>
      <w:r>
        <w:rPr>
          <w:rFonts w:ascii="Arial" w:cs="Arial" w:eastAsia="Arial" w:hAnsi="Arial"/>
          <w:sz w:val="19"/>
          <w:szCs w:val="19"/>
          <w:u w:val="single" w:color="auto"/>
          <w:color w:val="006EBF"/>
        </w:rPr>
        <w:t>investors.micron.com</w:t>
      </w:r>
      <w:r>
        <w:rPr>
          <w:rFonts w:ascii="Arial" w:cs="Arial" w:eastAsia="Arial" w:hAnsi="Arial"/>
          <w:sz w:val="19"/>
          <w:szCs w:val="19"/>
          <w:color w:val="auto"/>
        </w:rPr>
        <w:t xml:space="preserve">. A webcast replay will be available on our website until June 20, 2019. A taped audio replay of the conference call will also be available at 1-404-537-3406 or 1-855-859-2056 (conference number: 5788319) beginning at 5:30 p.m. MT, Wednesday, June 20, 2018 and continuing through Wednesday, June 27, 2018. For Investor Relations and other company updates, follow @MicronTech on Twitter at </w:t>
      </w:r>
      <w:r>
        <w:rPr>
          <w:rFonts w:ascii="Arial" w:cs="Arial" w:eastAsia="Arial" w:hAnsi="Arial"/>
          <w:sz w:val="19"/>
          <w:szCs w:val="19"/>
          <w:u w:val="single" w:color="auto"/>
          <w:color w:val="006EBF"/>
        </w:rPr>
        <w:t>twitter.com/MicronTech</w:t>
      </w:r>
      <w:r>
        <w:rPr>
          <w:rFonts w:ascii="Arial" w:cs="Arial" w:eastAsia="Arial" w:hAnsi="Arial"/>
          <w:sz w:val="19"/>
          <w:szCs w:val="19"/>
          <w:color w:val="auto"/>
        </w:rPr>
        <w:t>.</w:t>
      </w:r>
    </w:p>
    <w:p>
      <w:pPr>
        <w:spacing w:after="0" w:line="188" w:lineRule="exact"/>
        <w:rPr>
          <w:sz w:val="20"/>
          <w:szCs w:val="20"/>
          <w:color w:val="auto"/>
        </w:rPr>
      </w:pPr>
    </w:p>
    <w:p>
      <w:pPr>
        <w:ind w:right="80" w:firstLine="324"/>
        <w:spacing w:after="0" w:line="294" w:lineRule="auto"/>
        <w:rPr>
          <w:sz w:val="20"/>
          <w:szCs w:val="20"/>
          <w:color w:val="auto"/>
        </w:rPr>
      </w:pPr>
      <w:r>
        <w:rPr>
          <w:rFonts w:ascii="Arial" w:cs="Arial" w:eastAsia="Arial" w:hAnsi="Arial"/>
          <w:sz w:val="19"/>
          <w:szCs w:val="19"/>
          <w:color w:val="auto"/>
        </w:rPr>
        <w:t xml:space="preserve">We are an industry leader in innovative memory and storage solutions. Through our global brands – Micron®, Crucial®, and Ballistix® – our broad portfolio of high-performance memory and storage technologies, including DRAM, NAND, NOR Flash, and 3D XPoint™ memory, is transforming how the world uses information to enrich life. Backed by nearly 40 years of technology leadership, our memory and storage solutions enable disruptive trends, including artificial intelligence, machine learning, and autonomous vehicles, in key market segments like cloud, data center, networking, and mobile. Our common stock is traded on the NASDAQ under the MU symbol. To learn more about Micron Technology, Inc., visit </w:t>
      </w:r>
      <w:r>
        <w:rPr>
          <w:rFonts w:ascii="Arial" w:cs="Arial" w:eastAsia="Arial" w:hAnsi="Arial"/>
          <w:sz w:val="19"/>
          <w:szCs w:val="19"/>
          <w:u w:val="single" w:color="auto"/>
          <w:color w:val="006EBF"/>
        </w:rPr>
        <w:t>micron.com</w:t>
      </w:r>
      <w:r>
        <w:rPr>
          <w:rFonts w:ascii="Arial" w:cs="Arial" w:eastAsia="Arial" w:hAnsi="Arial"/>
          <w:sz w:val="19"/>
          <w:szCs w:val="19"/>
          <w:color w:val="auto"/>
        </w:rPr>
        <w:t>.</w:t>
      </w:r>
    </w:p>
    <w:p>
      <w:pPr>
        <w:spacing w:after="0" w:line="190" w:lineRule="exact"/>
        <w:rPr>
          <w:sz w:val="20"/>
          <w:szCs w:val="20"/>
          <w:color w:val="auto"/>
        </w:rPr>
      </w:pPr>
    </w:p>
    <w:p>
      <w:pPr>
        <w:ind w:right="160" w:firstLine="324"/>
        <w:spacing w:after="0" w:line="263" w:lineRule="auto"/>
        <w:rPr>
          <w:sz w:val="20"/>
          <w:szCs w:val="20"/>
          <w:color w:val="auto"/>
        </w:rPr>
      </w:pPr>
      <w:r>
        <w:rPr>
          <w:rFonts w:ascii="Arial" w:cs="Arial" w:eastAsia="Arial" w:hAnsi="Arial"/>
          <w:sz w:val="22"/>
          <w:szCs w:val="22"/>
          <w:i w:val="1"/>
          <w:iCs w:val="1"/>
          <w:color w:val="auto"/>
        </w:rPr>
        <w:t>The Micron logo and Micron symbol are trademarks of Micron Technology, Inc. All other trademarks are the property of their respective owners.</w:t>
      </w:r>
    </w:p>
    <w:p>
      <w:pPr>
        <w:spacing w:after="0" w:line="215" w:lineRule="exact"/>
        <w:rPr>
          <w:sz w:val="20"/>
          <w:szCs w:val="20"/>
          <w:color w:val="auto"/>
        </w:rPr>
      </w:pPr>
    </w:p>
    <w:p>
      <w:pPr>
        <w:ind w:right="120" w:firstLine="324"/>
        <w:spacing w:after="0" w:line="290" w:lineRule="auto"/>
        <w:rPr>
          <w:sz w:val="20"/>
          <w:szCs w:val="20"/>
          <w:color w:val="auto"/>
        </w:rPr>
      </w:pPr>
      <w:r>
        <w:rPr>
          <w:rFonts w:ascii="Arial" w:cs="Arial" w:eastAsia="Arial" w:hAnsi="Arial"/>
          <w:sz w:val="19"/>
          <w:szCs w:val="19"/>
          <w:i w:val="1"/>
          <w:iCs w:val="1"/>
          <w:color w:val="auto"/>
        </w:rPr>
        <w:t xml:space="preserve">This press release contains forward-looking statements regarding the industry and our strategic position and financial results. These forward-looking statements are subject to a number of risks and uncertainties that could cause actual results to differ materially. Please refer to 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9"/>
          <w:szCs w:val="19"/>
          <w:i w:val="1"/>
          <w:iCs w:val="1"/>
          <w:u w:val="single" w:color="auto"/>
          <w:color w:val="006EBF"/>
        </w:rPr>
        <w:t>www.micron.com/certainfactors</w:t>
      </w:r>
      <w:r>
        <w:rPr>
          <w:rFonts w:ascii="Arial" w:cs="Arial" w:eastAsia="Arial" w:hAnsi="Arial"/>
          <w:sz w:val="19"/>
          <w:szCs w:val="19"/>
          <w:i w:val="1"/>
          <w:iCs w:val="1"/>
          <w:color w:val="000000"/>
        </w:rPr>
        <w:t>. Although we believe that the expectations reflected in the forward-looking statements are</w:t>
      </w:r>
      <w:r>
        <w:rPr>
          <w:rFonts w:ascii="Arial" w:cs="Arial" w:eastAsia="Arial" w:hAnsi="Arial"/>
          <w:sz w:val="19"/>
          <w:szCs w:val="19"/>
          <w:i w:val="1"/>
          <w:iCs w:val="1"/>
          <w:color w:val="006EBF"/>
        </w:rPr>
        <w:t xml:space="preserve"> </w:t>
      </w:r>
      <w:r>
        <w:rPr>
          <w:rFonts w:ascii="Arial" w:cs="Arial" w:eastAsia="Arial" w:hAnsi="Arial"/>
          <w:sz w:val="19"/>
          <w:szCs w:val="19"/>
          <w:i w:val="1"/>
          <w:iCs w:val="1"/>
          <w:color w:val="000000"/>
        </w:rPr>
        <w:t>reasonable, we cannot guarantee future results, levels of activity, performance, or achievements. We are under no duty to update any of the forward-looking statements after the date of this release to conform these statements to actual results.</w:t>
      </w:r>
    </w:p>
    <w:p>
      <w:pPr>
        <w:spacing w:after="0" w:line="161" w:lineRule="exact"/>
        <w:rPr>
          <w:sz w:val="20"/>
          <w:szCs w:val="20"/>
          <w:color w:val="auto"/>
        </w:rPr>
      </w:pPr>
    </w:p>
    <w:p>
      <w:pPr>
        <w:ind w:left="560" w:hanging="228"/>
        <w:spacing w:after="0"/>
        <w:tabs>
          <w:tab w:leader="none" w:pos="560" w:val="left"/>
        </w:tabs>
        <w:numPr>
          <w:ilvl w:val="0"/>
          <w:numId w:val="3"/>
        </w:numPr>
        <w:rPr>
          <w:rFonts w:ascii="Arial" w:cs="Arial" w:eastAsia="Arial" w:hAnsi="Arial"/>
          <w:sz w:val="27"/>
          <w:szCs w:val="27"/>
          <w:i w:val="1"/>
          <w:iCs w:val="1"/>
          <w:color w:val="auto"/>
          <w:vertAlign w:val="superscript"/>
        </w:rPr>
      </w:pPr>
      <w:r>
        <w:rPr>
          <w:rFonts w:ascii="Arial" w:cs="Arial" w:eastAsia="Arial" w:hAnsi="Arial"/>
          <w:sz w:val="20"/>
          <w:szCs w:val="20"/>
          <w:i w:val="1"/>
          <w:iCs w:val="1"/>
          <w:color w:val="auto"/>
        </w:rPr>
        <w:t>GAAP represents U.S. Generally Accepted Accounting Principles.</w:t>
      </w:r>
    </w:p>
    <w:p>
      <w:pPr>
        <w:ind w:right="60" w:firstLine="332"/>
        <w:spacing w:after="0" w:line="258" w:lineRule="auto"/>
        <w:tabs>
          <w:tab w:leader="none" w:pos="546" w:val="left"/>
        </w:tabs>
        <w:numPr>
          <w:ilvl w:val="0"/>
          <w:numId w:val="3"/>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Non-GAAP represents GAAP excluding the impact of certain activities which our management excludes in analyzing our operating results and understanding trends in our earnings. Non-GAAP also includes the impact on shares used in per share calculations of our outstanding capped call transactions and from the exclusion of stock-based compensation. For a reconciliation of GAAP to non-GAAP results, see the accompanying financial tables and footnotes.</w:t>
      </w:r>
    </w:p>
    <w:p>
      <w:pPr>
        <w:ind w:right="900" w:firstLine="332"/>
        <w:spacing w:after="0" w:line="238" w:lineRule="auto"/>
        <w:tabs>
          <w:tab w:leader="none" w:pos="546" w:val="left"/>
        </w:tabs>
        <w:numPr>
          <w:ilvl w:val="0"/>
          <w:numId w:val="3"/>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Adjusted free cash flow consists of cash provided by operating activities of $4.26 billion less investments in capital expenditures, net of amounts funded by partners.</w:t>
      </w:r>
    </w:p>
    <w:p>
      <w:pPr>
        <w:sectPr>
          <w:pgSz w:w="11900" w:h="16838" w:orient="portrait"/>
          <w:cols w:equalWidth="0" w:num="1">
            <w:col w:w="11380"/>
          </w:cols>
          <w:pgMar w:left="240" w:top="1063"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FINANCIAL SUMMARY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 millions except per share amounts)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3rd Qtr.</w:t>
            </w:r>
          </w:p>
        </w:tc>
        <w:tc>
          <w:tcPr>
            <w:tcW w:w="2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2nd Qtr.</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3rd Qtr.</w:t>
            </w:r>
          </w:p>
        </w:tc>
        <w:tc>
          <w:tcPr>
            <w:tcW w:w="260" w:type="dxa"/>
            <w:vAlign w:val="bottom"/>
          </w:tcPr>
          <w:p>
            <w:pPr>
              <w:spacing w:after="0"/>
              <w:rPr>
                <w:sz w:val="20"/>
                <w:szCs w:val="20"/>
                <w:color w:val="auto"/>
              </w:rPr>
            </w:pPr>
          </w:p>
        </w:tc>
        <w:tc>
          <w:tcPr>
            <w:tcW w:w="28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52"/>
        </w:trPr>
        <w:tc>
          <w:tcPr>
            <w:tcW w:w="3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May 31,</w:t>
            </w:r>
          </w:p>
        </w:tc>
        <w:tc>
          <w:tcPr>
            <w:tcW w:w="240" w:type="dxa"/>
            <w:vAlign w:val="bottom"/>
          </w:tcPr>
          <w:p>
            <w:pPr>
              <w:spacing w:after="0"/>
              <w:rPr>
                <w:sz w:val="21"/>
                <w:szCs w:val="21"/>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March 1,</w:t>
            </w: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1,</w:t>
            </w:r>
          </w:p>
        </w:tc>
        <w:tc>
          <w:tcPr>
            <w:tcW w:w="260" w:type="dxa"/>
            <w:vAlign w:val="bottom"/>
          </w:tcPr>
          <w:p>
            <w:pPr>
              <w:spacing w:after="0"/>
              <w:rPr>
                <w:sz w:val="21"/>
                <w:szCs w:val="21"/>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31,</w:t>
            </w:r>
          </w:p>
        </w:tc>
        <w:tc>
          <w:tcPr>
            <w:tcW w:w="280" w:type="dxa"/>
            <w:vAlign w:val="bottom"/>
          </w:tcPr>
          <w:p>
            <w:pPr>
              <w:spacing w:after="0"/>
              <w:rPr>
                <w:sz w:val="21"/>
                <w:szCs w:val="21"/>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1,</w:t>
            </w:r>
          </w:p>
        </w:tc>
      </w:tr>
      <w:tr>
        <w:trPr>
          <w:trHeight w:val="234"/>
        </w:trPr>
        <w:tc>
          <w:tcPr>
            <w:tcW w:w="3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8,860</w:t>
            </w: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margin</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550</w:t>
            </w: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operating (income) expense, net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3,366</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income (expense), net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w:t>
            </w: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4"/>
              </w:rPr>
              <w:t xml:space="preserve">Other non-operating income (expense), net </w:t>
            </w:r>
            <w:r>
              <w:rPr>
                <w:rFonts w:ascii="Arial" w:cs="Arial" w:eastAsia="Arial" w:hAnsi="Arial"/>
                <w:sz w:val="25"/>
                <w:szCs w:val="25"/>
                <w:color w:val="auto"/>
                <w:w w:val="94"/>
                <w:vertAlign w:val="superscript"/>
              </w:rPr>
              <w:t>(1)</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Income tax (provision) benefit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Equity in net income (loss) of equity method</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investees</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54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2,721</w:t>
            </w:r>
          </w:p>
        </w:tc>
      </w:tr>
      <w:tr>
        <w:trPr>
          <w:trHeight w:val="20"/>
        </w:trPr>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97"/>
        </w:trPr>
        <w:tc>
          <w:tcPr>
            <w:tcW w:w="3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Number of shares used in per share calculations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1,082</w:t>
            </w:r>
          </w:p>
        </w:tc>
      </w:tr>
      <w:tr>
        <w:trPr>
          <w:trHeight w:val="27"/>
        </w:trPr>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3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1,142</w:t>
            </w:r>
          </w:p>
        </w:tc>
      </w:tr>
      <w:tr>
        <w:trPr>
          <w:trHeight w:val="27"/>
        </w:trPr>
        <w:tc>
          <w:tcPr>
            <w:tcW w:w="3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80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CONSOLIDATED FINANCIAL SUMMARY, Continued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31,</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1,</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August 31,</w:t>
            </w:r>
          </w:p>
        </w:tc>
      </w:tr>
      <w:tr>
        <w:trPr>
          <w:trHeight w:val="234"/>
        </w:trPr>
        <w:tc>
          <w:tcPr>
            <w:tcW w:w="67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of</w:t>
            </w: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short-term investments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5,428</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3,759</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15,499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12,457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marketable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22,705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19,431</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41,845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41,263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35,336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3,664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Current debt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1,262</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5,883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5,334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5,890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7,802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9,872</w:t>
            </w:r>
          </w:p>
        </w:tc>
      </w:tr>
      <w:tr>
        <w:trPr>
          <w:trHeight w:val="297"/>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67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Total Micron shareholders' equity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28,649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25,697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18,621</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849</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67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19,470</w:t>
            </w:r>
          </w:p>
        </w:tc>
      </w:tr>
      <w:tr>
        <w:trPr>
          <w:trHeight w:val="27"/>
        </w:trPr>
        <w:tc>
          <w:tcPr>
            <w:tcW w:w="6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52"/>
        </w:trPr>
        <w:tc>
          <w:tcPr>
            <w:tcW w:w="8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31,</w:t>
            </w:r>
          </w:p>
        </w:tc>
        <w:tc>
          <w:tcPr>
            <w:tcW w:w="280" w:type="dxa"/>
            <w:vAlign w:val="bottom"/>
          </w:tcPr>
          <w:p>
            <w:pPr>
              <w:spacing w:after="0"/>
              <w:rPr>
                <w:sz w:val="21"/>
                <w:szCs w:val="21"/>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1,</w:t>
            </w:r>
          </w:p>
        </w:tc>
      </w:tr>
      <w:tr>
        <w:trPr>
          <w:trHeight w:val="234"/>
        </w:trPr>
        <w:tc>
          <w:tcPr>
            <w:tcW w:w="8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Net cash provided by operating activities </w:t>
            </w:r>
            <w:r>
              <w:rPr>
                <w:rFonts w:ascii="Arial" w:cs="Arial" w:eastAsia="Arial" w:hAnsi="Arial"/>
                <w:sz w:val="25"/>
                <w:szCs w:val="25"/>
                <w:color w:val="auto"/>
                <w:vertAlign w:val="superscript"/>
              </w:rPr>
              <w:t>(a)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12,245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4,950</w:t>
            </w:r>
          </w:p>
        </w:tc>
      </w:tr>
      <w:tr>
        <w:trPr>
          <w:trHeight w:val="270"/>
        </w:trPr>
        <w:tc>
          <w:tcPr>
            <w:tcW w:w="83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cash provided by (used for) investing activities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(6,087)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(6,259)</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w:t>
            </w:r>
          </w:p>
        </w:tc>
      </w:tr>
      <w:tr>
        <w:trPr>
          <w:trHeight w:val="297"/>
        </w:trPr>
        <w:tc>
          <w:tcPr>
            <w:tcW w:w="8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Investments in capital expenditures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(3,730)</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Inotera</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Repayments of debt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(1,774)</w:t>
            </w:r>
          </w:p>
        </w:tc>
      </w:tr>
      <w:tr>
        <w:trPr>
          <w:trHeight w:val="27"/>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stock</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Proceeds from issuance of debt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3,136</w:t>
            </w:r>
          </w:p>
        </w:tc>
      </w:tr>
    </w:tbl>
    <w:p>
      <w:pPr>
        <w:spacing w:after="0" w:line="2"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auto"/>
          <w:vertAlign w:val="superscript"/>
        </w:rPr>
      </w:pPr>
      <w:r>
        <w:rPr>
          <w:rFonts w:ascii="Arial" w:cs="Arial" w:eastAsia="Arial" w:hAnsi="Arial"/>
          <w:sz w:val="15"/>
          <w:szCs w:val="15"/>
          <w:color w:val="auto"/>
        </w:rPr>
        <w:t xml:space="preserve">June 1, 2017 amount adjusted for the retrospective adoption of ASU 2016-18 – </w:t>
      </w:r>
      <w:r>
        <w:rPr>
          <w:rFonts w:ascii="Arial" w:cs="Arial" w:eastAsia="Arial" w:hAnsi="Arial"/>
          <w:sz w:val="15"/>
          <w:szCs w:val="15"/>
          <w:i w:val="1"/>
          <w:iCs w:val="1"/>
          <w:color w:val="auto"/>
        </w:rPr>
        <w:t>Restricted Cash.</w:t>
      </w:r>
    </w:p>
    <w:p>
      <w:pPr>
        <w:sectPr>
          <w:pgSz w:w="11900" w:h="16838" w:orient="portrait"/>
          <w:cols w:equalWidth="0" w:num="1">
            <w:col w:w="11420"/>
          </w:cols>
          <w:pgMar w:left="240" w:top="801" w:right="239" w:bottom="1440" w:gutter="0" w:footer="0" w:header="0"/>
        </w:sectPr>
      </w:pPr>
    </w:p>
    <w:bookmarkStart w:id="7" w:name="page8"/>
    <w:bookmarkEnd w:id="7"/>
    <w:p>
      <w:pPr>
        <w:ind w:left="332" w:hanging="332"/>
        <w:spacing w:after="0" w:line="291" w:lineRule="auto"/>
        <w:tabs>
          <w:tab w:leader="none" w:pos="332"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third quarter of 2018, we prepaid debt with an aggregate principal amount of $2.08 billion for cash of $2.11 billion and recognized non-operating losses of $42 million. We repurchased or settled convertible notes with an aggregate principal amount of $228 million for cash of $1.11 billion and recognized non-operating losses of $32 million. Additionally, as of May 31, 2018, $101 million of aggregate principal amount of our convertible notes had converted but will not settle until the fourth quarter of 2018. As a result of the unsettled conversions, the carrying values increased by $456 million as of May 31, 2018 and we recognized non-operating losses of $94 million in the third quarter of 2018. In the second quarter of 2018, we settled convertible notes with an aggregate principal amount of $65 million for cash of $295 million. In the first quarter of 2018, we redeemed notes with an aggregate principal amount of $2.25 billion for cash of $2.42 billion and recognized non-operating losses of $190 million.</w:t>
      </w:r>
    </w:p>
    <w:p>
      <w:pPr>
        <w:spacing w:after="0" w:line="167" w:lineRule="exact"/>
        <w:rPr>
          <w:rFonts w:ascii="Arial" w:cs="Arial" w:eastAsia="Arial" w:hAnsi="Arial"/>
          <w:sz w:val="16"/>
          <w:szCs w:val="16"/>
          <w:color w:val="auto"/>
        </w:rPr>
      </w:pPr>
    </w:p>
    <w:p>
      <w:pPr>
        <w:ind w:left="332" w:right="260"/>
        <w:spacing w:after="0" w:line="277" w:lineRule="auto"/>
        <w:rPr>
          <w:rFonts w:ascii="Arial" w:cs="Arial" w:eastAsia="Arial" w:hAnsi="Arial"/>
          <w:sz w:val="16"/>
          <w:szCs w:val="16"/>
          <w:color w:val="auto"/>
        </w:rPr>
      </w:pPr>
      <w:r>
        <w:rPr>
          <w:rFonts w:ascii="Arial" w:cs="Arial" w:eastAsia="Arial" w:hAnsi="Arial"/>
          <w:sz w:val="18"/>
          <w:szCs w:val="18"/>
          <w:color w:val="auto"/>
        </w:rPr>
        <w:t>In the first nine months of 2018, Intel Corporation provided non-interest bearing convertible debt financing of $969 million to IM Flash Technologies, LLC ("IMFT") pursuant to the terms of the IMFT joint venture agreement.</w:t>
      </w:r>
    </w:p>
    <w:p>
      <w:pPr>
        <w:spacing w:after="0" w:line="170" w:lineRule="exact"/>
        <w:rPr>
          <w:rFonts w:ascii="Arial" w:cs="Arial" w:eastAsia="Arial" w:hAnsi="Arial"/>
          <w:sz w:val="16"/>
          <w:szCs w:val="16"/>
          <w:color w:val="auto"/>
        </w:rPr>
      </w:pPr>
    </w:p>
    <w:p>
      <w:pPr>
        <w:ind w:left="332" w:hanging="332"/>
        <w:spacing w:after="0" w:line="253"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December 22, 2017, the United States enacted comprehensive tax legislation commonly referred to as the Tax Cuts and Jobs Act (the "Tax Act") that lowers the U.S. corporate income tax rate from 35% to 21% and significantly affects how income from foreign operations is taxed in the United States. As a result of our fiscal year-end, our U.S. statutory federal rate will be 25.7% for 2018 (based on the 35% corporate rate through December 31, 2017 and 21% from that date through the end of fiscal year 2018) and 21% for subsequent years. The Tax Act imposes a one-time transition tax in 2018 on the higher of our accumulated foreign income, as determined as of November 2, 2017 or December 31, 2017 (the "Repatriation Tax"); provides a U.S. federal tax exemption on foreign earnings distributed to the United States; and, beginning in 2019, creates a new minimum tax on certain foreign earnings in excess of a deemed return on tangible assets (the "Foreign Minimum Tax"). The Tax Act allows us to elect to pay any Repatriation Tax due in eight annual interest-free payments in increasing amounts beginning in December 2018. In connection with the provisions of the Tax Act, we are continuing to evaluate whether to account for the Foreign Minimum Tax provisions that begin for us in 2019 as a period cost or in our measurement of deferred taxes.</w:t>
      </w:r>
    </w:p>
    <w:p>
      <w:pPr>
        <w:spacing w:after="0" w:line="194" w:lineRule="exact"/>
        <w:rPr>
          <w:rFonts w:ascii="Arial" w:cs="Arial" w:eastAsia="Arial" w:hAnsi="Arial"/>
          <w:sz w:val="18"/>
          <w:szCs w:val="18"/>
          <w:color w:val="auto"/>
        </w:rPr>
      </w:pPr>
    </w:p>
    <w:p>
      <w:pPr>
        <w:ind w:left="332"/>
        <w:spacing w:after="0" w:line="259" w:lineRule="auto"/>
        <w:rPr>
          <w:rFonts w:ascii="Arial" w:cs="Arial" w:eastAsia="Arial" w:hAnsi="Arial"/>
          <w:sz w:val="18"/>
          <w:szCs w:val="18"/>
          <w:color w:val="auto"/>
        </w:rPr>
      </w:pPr>
      <w:r>
        <w:rPr>
          <w:rFonts w:ascii="Arial" w:cs="Arial" w:eastAsia="Arial" w:hAnsi="Arial"/>
          <w:sz w:val="18"/>
          <w:szCs w:val="18"/>
          <w:color w:val="auto"/>
        </w:rPr>
        <w:t>The Securities and Exchange Commission Staff Accounting Bulletin No. 118 allows the use of provisional amounts (reasonable estimates) if our analyses of the impacts of the Tax Act has not been completed when our financial statements are issued. Provisional amounts may be adjusted during a one-year measurement period as accounting for the income tax effects of the Tax Act are completed or as estimates are revised. Our income tax (provision) benefit consisted of the following:</w:t>
      </w:r>
    </w:p>
    <w:p>
      <w:pPr>
        <w:spacing w:after="0" w:line="345"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3rd Qtr.</w:t>
            </w:r>
          </w:p>
        </w:tc>
        <w:tc>
          <w:tcPr>
            <w:tcW w:w="22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2nd Qtr.</w:t>
            </w:r>
          </w:p>
        </w:tc>
        <w:tc>
          <w:tcPr>
            <w:tcW w:w="1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3rd Qtr.</w:t>
            </w:r>
          </w:p>
        </w:tc>
        <w:tc>
          <w:tcPr>
            <w:tcW w:w="120" w:type="dxa"/>
            <w:vAlign w:val="bottom"/>
          </w:tcPr>
          <w:p>
            <w:pPr>
              <w:spacing w:after="0"/>
              <w:rPr>
                <w:sz w:val="20"/>
                <w:szCs w:val="20"/>
                <w:color w:val="auto"/>
              </w:rPr>
            </w:pPr>
          </w:p>
        </w:tc>
        <w:tc>
          <w:tcPr>
            <w:tcW w:w="25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3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May 31, 2018</w:t>
            </w: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March 1, 2018</w:t>
            </w:r>
          </w:p>
        </w:tc>
        <w:tc>
          <w:tcPr>
            <w:tcW w:w="14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June 1, 2017</w:t>
            </w:r>
          </w:p>
        </w:tc>
        <w:tc>
          <w:tcPr>
            <w:tcW w:w="1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May 31, 2018</w:t>
            </w:r>
          </w:p>
        </w:tc>
        <w:tc>
          <w:tcPr>
            <w:tcW w:w="14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June 1, 2017</w:t>
            </w:r>
          </w:p>
        </w:tc>
      </w:tr>
      <w:tr>
        <w:trPr>
          <w:trHeight w:val="27"/>
        </w:trPr>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Provisional estimate for the Repatriation Tax, net of</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related to uncertain tax positions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w w:val="90"/>
              </w:rPr>
              <w:t>Remeasurement of deferred tax assets and liabilities</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reflecting the lower U.S. corporate tax rates</w:t>
            </w:r>
          </w:p>
        </w:tc>
        <w:tc>
          <w:tcPr>
            <w:tcW w:w="1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Provisional estimate for the release of the valuation</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allowance on the net deferred tax assets of our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w w:val="94"/>
              </w:rPr>
              <w:t>Utilization of and other changes in net deferred tax</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assets of MMJ, MMT, and MTTW</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tax (provision) benefit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7"/>
        </w:trPr>
        <w:tc>
          <w:tcPr>
            <w:tcW w:w="38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7"/>
        </w:trPr>
        <w:tc>
          <w:tcPr>
            <w:tcW w:w="3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32" w:right="680" w:hanging="332"/>
        <w:spacing w:after="0" w:line="277"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October 2017, we issued 34 million shares of our common stock for $41.00 per share in a public offering, for proceeds of $1.36 billion, net of underwriting fees and other offering costs.</w:t>
      </w:r>
    </w:p>
    <w:p>
      <w:pPr>
        <w:sectPr>
          <w:pgSz w:w="11900" w:h="16838" w:orient="portrait"/>
          <w:cols w:equalWidth="0" w:num="1">
            <w:col w:w="11412"/>
          </w:cols>
          <w:pgMar w:left="248" w:top="800" w:right="239" w:bottom="1440" w:gutter="0" w:footer="0" w:header="0"/>
        </w:sectPr>
      </w:pPr>
    </w:p>
    <w:bookmarkStart w:id="8" w:name="page9"/>
    <w:bookmarkEnd w:id="8"/>
    <w:p>
      <w:pPr>
        <w:jc w:val="center"/>
        <w:ind w:right="-319"/>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RECONCILIATION OF GAAP TO NON-GAAP RESULTS</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6"/>
                <w:szCs w:val="16"/>
                <w:b w:val="1"/>
                <w:bCs w:val="1"/>
                <w:color w:val="auto"/>
                <w:w w:val="96"/>
              </w:rPr>
              <w:t>3rd Qtr.</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gridSpan w:val="2"/>
          </w:tcPr>
          <w:p>
            <w:pPr>
              <w:ind w:left="60"/>
              <w:spacing w:after="0"/>
              <w:rPr>
                <w:sz w:val="20"/>
                <w:szCs w:val="20"/>
                <w:color w:val="auto"/>
              </w:rPr>
            </w:pPr>
            <w:r>
              <w:rPr>
                <w:rFonts w:ascii="Arial" w:cs="Arial" w:eastAsia="Arial" w:hAnsi="Arial"/>
                <w:sz w:val="16"/>
                <w:szCs w:val="16"/>
                <w:b w:val="1"/>
                <w:bCs w:val="1"/>
                <w:color w:val="auto"/>
                <w:w w:val="91"/>
              </w:rPr>
              <w:t>2nd Qtr.</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gridSpan w:val="2"/>
          </w:tcPr>
          <w:p>
            <w:pPr>
              <w:ind w:left="60"/>
              <w:spacing w:after="0"/>
              <w:rPr>
                <w:sz w:val="20"/>
                <w:szCs w:val="20"/>
                <w:color w:val="auto"/>
              </w:rPr>
            </w:pPr>
            <w:r>
              <w:rPr>
                <w:rFonts w:ascii="Arial" w:cs="Arial" w:eastAsia="Arial" w:hAnsi="Arial"/>
                <w:sz w:val="16"/>
                <w:szCs w:val="16"/>
                <w:b w:val="1"/>
                <w:bCs w:val="1"/>
                <w:color w:val="auto"/>
                <w:w w:val="96"/>
              </w:rPr>
              <w:t>3rd Qtr.</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gridSpan w:val="4"/>
          </w:tcPr>
          <w:p>
            <w:pPr>
              <w:jc w:val="right"/>
              <w:spacing w:after="0"/>
              <w:rPr>
                <w:sz w:val="20"/>
                <w:szCs w:val="20"/>
                <w:color w:val="auto"/>
              </w:rPr>
            </w:pPr>
            <w:r>
              <w:rPr>
                <w:rFonts w:ascii="Arial" w:cs="Arial" w:eastAsia="Arial" w:hAnsi="Arial"/>
                <w:sz w:val="16"/>
                <w:szCs w:val="16"/>
                <w:b w:val="1"/>
                <w:bCs w:val="1"/>
                <w:color w:val="auto"/>
              </w:rPr>
              <w:t>May 31, 2018</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60" w:type="dxa"/>
            <w:vAlign w:val="bottom"/>
            <w:gridSpan w:val="6"/>
          </w:tcPr>
          <w:p>
            <w:pPr>
              <w:ind w:left="500"/>
              <w:spacing w:after="0"/>
              <w:rPr>
                <w:sz w:val="20"/>
                <w:szCs w:val="20"/>
                <w:color w:val="auto"/>
              </w:rPr>
            </w:pPr>
            <w:r>
              <w:rPr>
                <w:rFonts w:ascii="Arial" w:cs="Arial" w:eastAsia="Arial" w:hAnsi="Arial"/>
                <w:sz w:val="16"/>
                <w:szCs w:val="16"/>
                <w:b w:val="1"/>
                <w:bCs w:val="1"/>
                <w:color w:val="auto"/>
              </w:rPr>
              <w:t>March 1, 2018</w:t>
            </w:r>
          </w:p>
        </w:tc>
        <w:tc>
          <w:tcPr>
            <w:tcW w:w="140" w:type="dxa"/>
            <w:vAlign w:val="bottom"/>
          </w:tcPr>
          <w:p>
            <w:pPr>
              <w:spacing w:after="0"/>
              <w:rPr>
                <w:sz w:val="23"/>
                <w:szCs w:val="23"/>
                <w:color w:val="auto"/>
              </w:rPr>
            </w:pPr>
          </w:p>
        </w:tc>
        <w:tc>
          <w:tcPr>
            <w:tcW w:w="1500" w:type="dxa"/>
            <w:vAlign w:val="bottom"/>
            <w:gridSpan w:val="4"/>
          </w:tcPr>
          <w:p>
            <w:pPr>
              <w:ind w:left="580"/>
              <w:spacing w:after="0"/>
              <w:rPr>
                <w:sz w:val="20"/>
                <w:szCs w:val="20"/>
                <w:color w:val="auto"/>
              </w:rPr>
            </w:pPr>
            <w:r>
              <w:rPr>
                <w:rFonts w:ascii="Arial" w:cs="Arial" w:eastAsia="Arial" w:hAnsi="Arial"/>
                <w:sz w:val="16"/>
                <w:szCs w:val="16"/>
                <w:b w:val="1"/>
                <w:bCs w:val="1"/>
                <w:color w:val="auto"/>
                <w:w w:val="94"/>
              </w:rPr>
              <w:t>June 1, 2017</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159"/>
              <w:spacing w:after="0"/>
              <w:rPr>
                <w:sz w:val="20"/>
                <w:szCs w:val="20"/>
                <w:color w:val="auto"/>
              </w:rPr>
            </w:pPr>
            <w:r>
              <w:rPr>
                <w:rFonts w:ascii="Arial" w:cs="Arial" w:eastAsia="Arial" w:hAnsi="Arial"/>
                <w:sz w:val="16"/>
                <w:szCs w:val="16"/>
                <w:b w:val="1"/>
                <w:bCs w:val="1"/>
                <w:color w:val="auto"/>
              </w:rPr>
              <w:t>GAAP</w:t>
            </w:r>
          </w:p>
        </w:tc>
        <w:tc>
          <w:tcPr>
            <w:tcW w:w="140" w:type="dxa"/>
            <w:vAlign w:val="bottom"/>
          </w:tcPr>
          <w:p>
            <w:pPr>
              <w:spacing w:after="0"/>
              <w:rPr>
                <w:sz w:val="18"/>
                <w:szCs w:val="18"/>
                <w:color w:val="auto"/>
              </w:rPr>
            </w:pPr>
          </w:p>
        </w:tc>
        <w:tc>
          <w:tcPr>
            <w:tcW w:w="460" w:type="dxa"/>
            <w:vAlign w:val="bottom"/>
          </w:tcPr>
          <w:p>
            <w:pPr>
              <w:jc w:val="right"/>
              <w:ind w:right="99"/>
              <w:spacing w:after="0"/>
              <w:rPr>
                <w:sz w:val="20"/>
                <w:szCs w:val="20"/>
                <w:color w:val="auto"/>
              </w:rPr>
            </w:pPr>
            <w:r>
              <w:rPr>
                <w:rFonts w:ascii="Arial" w:cs="Arial" w:eastAsia="Arial" w:hAnsi="Arial"/>
                <w:sz w:val="16"/>
                <w:szCs w:val="16"/>
                <w:b w:val="1"/>
                <w:bCs w:val="1"/>
                <w:color w:val="auto"/>
              </w:rPr>
              <w:t>Adj</w:t>
            </w:r>
          </w:p>
        </w:tc>
        <w:tc>
          <w:tcPr>
            <w:tcW w:w="1060" w:type="dxa"/>
            <w:vAlign w:val="bottom"/>
            <w:gridSpan w:val="3"/>
          </w:tcPr>
          <w:p>
            <w:pPr>
              <w:ind w:left="80"/>
              <w:spacing w:after="0"/>
              <w:rPr>
                <w:sz w:val="20"/>
                <w:szCs w:val="20"/>
                <w:color w:val="auto"/>
              </w:rPr>
            </w:pPr>
            <w:r>
              <w:rPr>
                <w:rFonts w:ascii="Arial" w:cs="Arial" w:eastAsia="Arial" w:hAnsi="Arial"/>
                <w:sz w:val="16"/>
                <w:szCs w:val="16"/>
                <w:b w:val="1"/>
                <w:bCs w:val="1"/>
                <w:color w:val="auto"/>
              </w:rPr>
              <w:t>Non-GAAP</w:t>
            </w:r>
          </w:p>
        </w:tc>
        <w:tc>
          <w:tcPr>
            <w:tcW w:w="160" w:type="dxa"/>
            <w:vAlign w:val="bottom"/>
          </w:tcPr>
          <w:p>
            <w:pPr>
              <w:spacing w:after="0"/>
              <w:rPr>
                <w:sz w:val="18"/>
                <w:szCs w:val="18"/>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b w:val="1"/>
                <w:bCs w:val="1"/>
                <w:color w:val="auto"/>
              </w:rPr>
              <w:t>GAAP</w:t>
            </w:r>
          </w:p>
        </w:tc>
        <w:tc>
          <w:tcPr>
            <w:tcW w:w="160" w:type="dxa"/>
            <w:vAlign w:val="bottom"/>
          </w:tcPr>
          <w:p>
            <w:pPr>
              <w:spacing w:after="0"/>
              <w:rPr>
                <w:sz w:val="18"/>
                <w:szCs w:val="18"/>
                <w:color w:val="auto"/>
              </w:rPr>
            </w:pPr>
          </w:p>
        </w:tc>
        <w:tc>
          <w:tcPr>
            <w:tcW w:w="480" w:type="dxa"/>
            <w:vAlign w:val="bottom"/>
          </w:tcPr>
          <w:p>
            <w:pPr>
              <w:jc w:val="right"/>
              <w:ind w:right="99"/>
              <w:spacing w:after="0"/>
              <w:rPr>
                <w:sz w:val="20"/>
                <w:szCs w:val="20"/>
                <w:color w:val="auto"/>
              </w:rPr>
            </w:pPr>
            <w:r>
              <w:rPr>
                <w:rFonts w:ascii="Arial" w:cs="Arial" w:eastAsia="Arial" w:hAnsi="Arial"/>
                <w:sz w:val="16"/>
                <w:szCs w:val="16"/>
                <w:b w:val="1"/>
                <w:bCs w:val="1"/>
                <w:color w:val="auto"/>
              </w:rPr>
              <w:t>Adj</w:t>
            </w:r>
          </w:p>
        </w:tc>
        <w:tc>
          <w:tcPr>
            <w:tcW w:w="100" w:type="dxa"/>
            <w:vAlign w:val="bottom"/>
          </w:tcPr>
          <w:p>
            <w:pPr>
              <w:spacing w:after="0"/>
              <w:rPr>
                <w:sz w:val="18"/>
                <w:szCs w:val="18"/>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GAAP</w:t>
            </w:r>
          </w:p>
        </w:tc>
        <w:tc>
          <w:tcPr>
            <w:tcW w:w="140" w:type="dxa"/>
            <w:vAlign w:val="bottom"/>
          </w:tcPr>
          <w:p>
            <w:pPr>
              <w:spacing w:after="0"/>
              <w:rPr>
                <w:sz w:val="18"/>
                <w:szCs w:val="18"/>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GAAP</w:t>
            </w:r>
          </w:p>
        </w:tc>
        <w:tc>
          <w:tcPr>
            <w:tcW w:w="160" w:type="dxa"/>
            <w:vAlign w:val="bottom"/>
          </w:tcPr>
          <w:p>
            <w:pPr>
              <w:spacing w:after="0"/>
              <w:rPr>
                <w:sz w:val="18"/>
                <w:szCs w:val="18"/>
                <w:color w:val="auto"/>
              </w:rPr>
            </w:pPr>
          </w:p>
        </w:tc>
        <w:tc>
          <w:tcPr>
            <w:tcW w:w="480" w:type="dxa"/>
            <w:vAlign w:val="bottom"/>
          </w:tcPr>
          <w:p>
            <w:pPr>
              <w:jc w:val="right"/>
              <w:ind w:right="99"/>
              <w:spacing w:after="0"/>
              <w:rPr>
                <w:sz w:val="20"/>
                <w:szCs w:val="20"/>
                <w:color w:val="auto"/>
              </w:rPr>
            </w:pPr>
            <w:r>
              <w:rPr>
                <w:rFonts w:ascii="Arial" w:cs="Arial" w:eastAsia="Arial" w:hAnsi="Arial"/>
                <w:sz w:val="16"/>
                <w:szCs w:val="16"/>
                <w:b w:val="1"/>
                <w:bCs w:val="1"/>
                <w:color w:val="auto"/>
              </w:rPr>
              <w:t>Adj</w:t>
            </w: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w w:val="96"/>
              </w:rPr>
              <w:t>Non-GAAP</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7,797</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7,351</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5,566</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5,566</w:t>
            </w:r>
          </w:p>
        </w:tc>
        <w:tc>
          <w:tcPr>
            <w:tcW w:w="0" w:type="dxa"/>
            <w:vAlign w:val="bottom"/>
          </w:tcPr>
          <w:p>
            <w:pPr>
              <w:spacing w:after="0"/>
              <w:rPr>
                <w:sz w:val="1"/>
                <w:szCs w:val="1"/>
                <w:color w:val="auto"/>
              </w:rPr>
            </w:pPr>
          </w:p>
        </w:tc>
      </w:tr>
      <w:tr>
        <w:trPr>
          <w:trHeight w:val="237"/>
        </w:trPr>
        <w:tc>
          <w:tcPr>
            <w:tcW w:w="196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3,074</w:t>
            </w: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3,047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3,081</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3,055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2,957</w:t>
            </w:r>
          </w:p>
        </w:tc>
        <w:tc>
          <w:tcPr>
            <w:tcW w:w="16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2,895</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Gross margin</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4,723</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4,270</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2,609</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2,671</w:t>
            </w:r>
          </w:p>
        </w:tc>
        <w:tc>
          <w:tcPr>
            <w:tcW w:w="0" w:type="dxa"/>
            <w:vAlign w:val="bottom"/>
          </w:tcPr>
          <w:p>
            <w:pPr>
              <w:spacing w:after="0"/>
              <w:rPr>
                <w:sz w:val="1"/>
                <w:szCs w:val="1"/>
                <w:color w:val="auto"/>
              </w:rPr>
            </w:pPr>
          </w:p>
        </w:tc>
      </w:tr>
      <w:tr>
        <w:trPr>
          <w:trHeight w:val="237"/>
        </w:trPr>
        <w:tc>
          <w:tcPr>
            <w:tcW w:w="1960" w:type="dxa"/>
            <w:vAlign w:val="bottom"/>
          </w:tcPr>
          <w:p>
            <w:pPr>
              <w:ind w:left="16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tcPr>
          <w:p>
            <w:pPr>
              <w:spacing w:after="0"/>
              <w:rPr>
                <w:sz w:val="20"/>
                <w:szCs w:val="20"/>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i w:val="1"/>
                <w:iCs w:val="1"/>
                <w:color w:val="auto"/>
              </w:rPr>
              <w:t>60.6%</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119"/>
              <w:spacing w:after="0"/>
              <w:rPr>
                <w:sz w:val="20"/>
                <w:szCs w:val="20"/>
                <w:color w:val="auto"/>
              </w:rPr>
            </w:pPr>
            <w:r>
              <w:rPr>
                <w:rFonts w:ascii="Arial" w:cs="Arial" w:eastAsia="Arial" w:hAnsi="Arial"/>
                <w:sz w:val="16"/>
                <w:szCs w:val="16"/>
                <w:i w:val="1"/>
                <w:iCs w:val="1"/>
                <w:color w:val="auto"/>
              </w:rPr>
              <w:t>60.9%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i w:val="1"/>
                <w:iCs w:val="1"/>
                <w:color w:val="auto"/>
              </w:rPr>
              <w:t>58.1%</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99"/>
              <w:spacing w:after="0"/>
              <w:rPr>
                <w:sz w:val="20"/>
                <w:szCs w:val="20"/>
                <w:color w:val="auto"/>
              </w:rPr>
            </w:pPr>
            <w:r>
              <w:rPr>
                <w:rFonts w:ascii="Arial" w:cs="Arial" w:eastAsia="Arial" w:hAnsi="Arial"/>
                <w:sz w:val="16"/>
                <w:szCs w:val="16"/>
                <w:i w:val="1"/>
                <w:iCs w:val="1"/>
                <w:color w:val="auto"/>
              </w:rPr>
              <w:t>58.4%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i w:val="1"/>
                <w:iCs w:val="1"/>
                <w:color w:val="auto"/>
              </w:rPr>
              <w:t>46.9%</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i w:val="1"/>
                <w:iCs w:val="1"/>
                <w:color w:val="auto"/>
              </w:rPr>
              <w:t>48.0%</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1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960" w:type="dxa"/>
            <w:vAlign w:val="bottom"/>
          </w:tcPr>
          <w:p>
            <w:pPr>
              <w:ind w:left="20"/>
              <w:spacing w:after="0"/>
              <w:rPr>
                <w:sz w:val="20"/>
                <w:szCs w:val="20"/>
                <w:color w:val="auto"/>
              </w:rPr>
            </w:pPr>
            <w:r>
              <w:rPr>
                <w:rFonts w:ascii="Arial" w:cs="Arial" w:eastAsia="Arial" w:hAnsi="Arial"/>
                <w:sz w:val="16"/>
                <w:szCs w:val="16"/>
                <w:color w:val="auto"/>
              </w:rPr>
              <w:t>Selling, general, and</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180"/>
              <w:spacing w:after="0"/>
              <w:rPr>
                <w:sz w:val="20"/>
                <w:szCs w:val="20"/>
                <w:color w:val="auto"/>
              </w:rPr>
            </w:pPr>
            <w:r>
              <w:rPr>
                <w:rFonts w:ascii="Arial" w:cs="Arial" w:eastAsia="Arial" w:hAnsi="Arial"/>
                <w:sz w:val="16"/>
                <w:szCs w:val="16"/>
                <w:color w:val="auto"/>
              </w:rPr>
              <w:t>administrative</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211</w:t>
            </w: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60" w:type="dxa"/>
            <w:vAlign w:val="bottom"/>
          </w:tcPr>
          <w:p>
            <w:pPr>
              <w:spacing w:after="0"/>
              <w:rPr>
                <w:sz w:val="17"/>
                <w:szCs w:val="17"/>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8"/>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20"/>
        </w:trPr>
        <w:tc>
          <w:tcPr>
            <w:tcW w:w="1960" w:type="dxa"/>
            <w:vAlign w:val="bottom"/>
          </w:tcPr>
          <w:p>
            <w:pPr>
              <w:ind w:left="20"/>
              <w:spacing w:after="0"/>
              <w:rPr>
                <w:sz w:val="20"/>
                <w:szCs w:val="20"/>
                <w:color w:val="auto"/>
              </w:rPr>
            </w:pPr>
            <w:r>
              <w:rPr>
                <w:rFonts w:ascii="Arial" w:cs="Arial" w:eastAsia="Arial" w:hAnsi="Arial"/>
                <w:sz w:val="16"/>
                <w:szCs w:val="16"/>
                <w:color w:val="auto"/>
              </w:rPr>
              <w:t>Other operating (income)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180"/>
              <w:spacing w:after="0"/>
              <w:rPr>
                <w:sz w:val="20"/>
                <w:szCs w:val="20"/>
                <w:color w:val="auto"/>
              </w:rPr>
            </w:pPr>
            <w:r>
              <w:rPr>
                <w:rFonts w:ascii="Arial" w:cs="Arial" w:eastAsia="Arial" w:hAnsi="Arial"/>
                <w:sz w:val="16"/>
                <w:szCs w:val="16"/>
                <w:color w:val="auto"/>
              </w:rPr>
              <w:t>expense, net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7"/>
                <w:szCs w:val="17"/>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7"/>
        </w:trPr>
        <w:tc>
          <w:tcPr>
            <w:tcW w:w="1960" w:type="dxa"/>
            <w:vAlign w:val="bottom"/>
          </w:tcPr>
          <w:p>
            <w:pPr>
              <w:ind w:left="160"/>
              <w:spacing w:after="0"/>
              <w:rPr>
                <w:sz w:val="20"/>
                <w:szCs w:val="20"/>
                <w:color w:val="auto"/>
              </w:rPr>
            </w:pPr>
            <w:r>
              <w:rPr>
                <w:rFonts w:ascii="Arial" w:cs="Arial" w:eastAsia="Arial" w:hAnsi="Arial"/>
                <w:sz w:val="16"/>
                <w:szCs w:val="16"/>
                <w:color w:val="auto"/>
              </w:rPr>
              <w:t>Operating income</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3,953</w:t>
            </w: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64</w:t>
            </w: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4,017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3,567</w:t>
            </w: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63</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3,630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1,963</w:t>
            </w: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108</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i w:val="1"/>
                <w:iCs w:val="1"/>
                <w:color w:val="auto"/>
              </w:rPr>
              <w:t>percent of net sales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i w:val="1"/>
                <w:iCs w:val="1"/>
                <w:color w:val="auto"/>
              </w:rPr>
              <w:t>50.7%</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i w:val="1"/>
                <w:iCs w:val="1"/>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i w:val="1"/>
                <w:iCs w:val="1"/>
                <w:color w:val="auto"/>
              </w:rPr>
              <w:t>48.5%</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i w:val="1"/>
                <w:iCs w:val="1"/>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i w:val="1"/>
                <w:iCs w:val="1"/>
                <w:color w:val="auto"/>
              </w:rPr>
              <w:t>35.3%</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i w:val="1"/>
                <w:iCs w:val="1"/>
                <w:color w:val="auto"/>
              </w:rPr>
              <w:t>37.2%</w:t>
            </w: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w:t>
            </w: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20"/>
        </w:trPr>
        <w:tc>
          <w:tcPr>
            <w:tcW w:w="1960" w:type="dxa"/>
            <w:vAlign w:val="bottom"/>
          </w:tcPr>
          <w:p>
            <w:pPr>
              <w:ind w:left="20"/>
              <w:spacing w:after="0"/>
              <w:rPr>
                <w:sz w:val="20"/>
                <w:szCs w:val="20"/>
                <w:color w:val="auto"/>
              </w:rPr>
            </w:pPr>
            <w:r>
              <w:rPr>
                <w:rFonts w:ascii="Arial" w:cs="Arial" w:eastAsia="Arial" w:hAnsi="Arial"/>
                <w:sz w:val="16"/>
                <w:szCs w:val="16"/>
                <w:color w:val="auto"/>
                <w:w w:val="96"/>
              </w:rPr>
              <w:t>Other non-operating income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180"/>
              <w:spacing w:after="0"/>
              <w:rPr>
                <w:sz w:val="20"/>
                <w:szCs w:val="20"/>
                <w:color w:val="auto"/>
              </w:rPr>
            </w:pPr>
            <w:r>
              <w:rPr>
                <w:rFonts w:ascii="Arial" w:cs="Arial" w:eastAsia="Arial" w:hAnsi="Arial"/>
                <w:sz w:val="16"/>
                <w:szCs w:val="16"/>
                <w:color w:val="auto"/>
              </w:rPr>
              <w:t>(expense), net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(193)</w:t>
            </w:r>
          </w:p>
        </w:tc>
        <w:tc>
          <w:tcPr>
            <w:tcW w:w="140" w:type="dxa"/>
            <w:vAlign w:val="bottom"/>
          </w:tcPr>
          <w:p>
            <w:pPr>
              <w:spacing w:after="0"/>
              <w:rPr>
                <w:sz w:val="17"/>
                <w:szCs w:val="17"/>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194</w:t>
            </w:r>
          </w:p>
        </w:tc>
        <w:tc>
          <w:tcPr>
            <w:tcW w:w="26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7"/>
                <w:szCs w:val="17"/>
                <w:color w:val="auto"/>
              </w:rPr>
            </w:pP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w:t>
            </w:r>
          </w:p>
        </w:tc>
        <w:tc>
          <w:tcPr>
            <w:tcW w:w="160" w:type="dxa"/>
            <w:vAlign w:val="bottom"/>
          </w:tcPr>
          <w:p>
            <w:pPr>
              <w:spacing w:after="0"/>
              <w:rPr>
                <w:sz w:val="17"/>
                <w:szCs w:val="17"/>
                <w:color w:val="auto"/>
              </w:rPr>
            </w:pP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3,716</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281</w:t>
            </w: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3,453</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3,595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1,737</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1,958</w:t>
            </w: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benefit</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(206)</w:t>
            </w: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20"/>
        </w:trPr>
        <w:tc>
          <w:tcPr>
            <w:tcW w:w="1960" w:type="dxa"/>
            <w:vAlign w:val="bottom"/>
          </w:tcPr>
          <w:p>
            <w:pPr>
              <w:ind w:left="20"/>
              <w:spacing w:after="0"/>
              <w:rPr>
                <w:sz w:val="20"/>
                <w:szCs w:val="20"/>
                <w:color w:val="auto"/>
              </w:rPr>
            </w:pPr>
            <w:r>
              <w:rPr>
                <w:rFonts w:ascii="Arial" w:cs="Arial" w:eastAsia="Arial" w:hAnsi="Arial"/>
                <w:sz w:val="16"/>
                <w:szCs w:val="16"/>
                <w:color w:val="auto"/>
              </w:rPr>
              <w:t>Equity in net income (loss)</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960" w:type="dxa"/>
            <w:vAlign w:val="bottom"/>
          </w:tcPr>
          <w:p>
            <w:pPr>
              <w:ind w:left="180"/>
              <w:spacing w:after="0"/>
              <w:rPr>
                <w:sz w:val="20"/>
                <w:szCs w:val="20"/>
                <w:color w:val="auto"/>
              </w:rPr>
            </w:pPr>
            <w:r>
              <w:rPr>
                <w:rFonts w:ascii="Arial" w:cs="Arial" w:eastAsia="Arial" w:hAnsi="Arial"/>
                <w:sz w:val="16"/>
                <w:szCs w:val="16"/>
                <w:color w:val="auto"/>
                <w:w w:val="92"/>
              </w:rPr>
              <w:t>of equity method investees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3,823</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w:t>
            </w: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3,311</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1,647</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249</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297"/>
        </w:trPr>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attributable to</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1960" w:type="dxa"/>
            <w:vAlign w:val="bottom"/>
          </w:tcPr>
          <w:p>
            <w:pPr>
              <w:ind w:left="160"/>
              <w:spacing w:after="0"/>
              <w:rPr>
                <w:sz w:val="20"/>
                <w:szCs w:val="20"/>
                <w:color w:val="auto"/>
              </w:rPr>
            </w:pPr>
            <w:r>
              <w:rPr>
                <w:rFonts w:ascii="Arial" w:cs="Arial" w:eastAsia="Arial" w:hAnsi="Arial"/>
                <w:sz w:val="16"/>
                <w:szCs w:val="16"/>
                <w:color w:val="auto"/>
                <w:w w:val="97"/>
              </w:rPr>
              <w:t>Net income attributable to</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3,823</w:t>
            </w: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75</w:t>
            </w:r>
          </w:p>
        </w:tc>
        <w:tc>
          <w:tcPr>
            <w:tcW w:w="26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3,898</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3,309</w:t>
            </w:r>
          </w:p>
        </w:tc>
        <w:tc>
          <w:tcPr>
            <w:tcW w:w="160" w:type="dxa"/>
            <w:vAlign w:val="bottom"/>
            <w:tcBorders>
              <w:top w:val="single" w:sz="8" w:color="auto"/>
            </w:tcBorders>
            <w:vMerge w:val="restart"/>
          </w:tcPr>
          <w:p>
            <w:pPr>
              <w:ind w:left="60"/>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186</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3,495</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1,647</w:t>
            </w:r>
          </w:p>
        </w:tc>
        <w:tc>
          <w:tcPr>
            <w:tcW w:w="16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249</w:t>
            </w: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259"/>
        </w:trPr>
        <w:tc>
          <w:tcPr>
            <w:tcW w:w="19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Micron</w:t>
            </w:r>
          </w:p>
        </w:tc>
        <w:tc>
          <w:tcPr>
            <w:tcW w:w="160" w:type="dxa"/>
            <w:vAlign w:val="bottom"/>
            <w:tcBorders>
              <w:bottom w:val="single" w:sz="8" w:color="auto"/>
            </w:tcBorders>
            <w:vMerge w:val="continue"/>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460" w:type="dxa"/>
            <w:vAlign w:val="bottom"/>
            <w:tcBorders>
              <w:bottom w:val="single" w:sz="8" w:color="auto"/>
            </w:tcBorders>
            <w:vMerge w:val="continue"/>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7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4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auto"/>
            </w:tcBorders>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48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1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960" w:type="dxa"/>
            <w:vAlign w:val="bottom"/>
          </w:tcPr>
          <w:p>
            <w:pPr>
              <w:ind w:left="20"/>
              <w:spacing w:after="0"/>
              <w:rPr>
                <w:sz w:val="20"/>
                <w:szCs w:val="20"/>
                <w:color w:val="auto"/>
              </w:rPr>
            </w:pPr>
            <w:r>
              <w:rPr>
                <w:rFonts w:ascii="Arial" w:cs="Arial" w:eastAsia="Arial" w:hAnsi="Arial"/>
                <w:sz w:val="16"/>
                <w:szCs w:val="16"/>
                <w:color w:val="auto"/>
                <w:w w:val="98"/>
              </w:rPr>
              <w:t>Shares used in calculations</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1,235</w:t>
            </w:r>
          </w:p>
        </w:tc>
        <w:tc>
          <w:tcPr>
            <w:tcW w:w="140" w:type="dxa"/>
            <w:vAlign w:val="bottom"/>
          </w:tcPr>
          <w:p>
            <w:pPr>
              <w:spacing w:after="0"/>
              <w:rPr>
                <w:sz w:val="20"/>
                <w:szCs w:val="20"/>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1,238</w:t>
            </w:r>
          </w:p>
        </w:tc>
        <w:tc>
          <w:tcPr>
            <w:tcW w:w="160" w:type="dxa"/>
            <w:vAlign w:val="bottom"/>
          </w:tcPr>
          <w:p>
            <w:pPr>
              <w:spacing w:after="0"/>
              <w:rPr>
                <w:sz w:val="20"/>
                <w:szCs w:val="20"/>
                <w:color w:val="auto"/>
              </w:rPr>
            </w:pP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1,240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1,177</w:t>
            </w:r>
          </w:p>
        </w:tc>
        <w:tc>
          <w:tcPr>
            <w:tcW w:w="16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6"/>
              </w:rPr>
              <w:t>0.05</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16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w:t>
            </w:r>
          </w:p>
        </w:tc>
        <w:tc>
          <w:tcPr>
            <w:tcW w:w="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0.22</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33"/>
        </w:trPr>
        <w:tc>
          <w:tcPr>
            <w:tcW w:w="19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280"/>
          </w:cols>
          <w:pgMar w:left="1320" w:top="796" w:right="129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ADJUSTMENTS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3rd Qtr.</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2nd Qtr.</w:t>
            </w:r>
          </w:p>
        </w:tc>
        <w:tc>
          <w:tcPr>
            <w:tcW w:w="200" w:type="dxa"/>
            <w:vAlign w:val="bottom"/>
          </w:tcPr>
          <w:p>
            <w:pPr>
              <w:spacing w:after="0"/>
              <w:rPr>
                <w:sz w:val="20"/>
                <w:szCs w:val="20"/>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3rd Qtr.</w:t>
            </w:r>
          </w:p>
        </w:tc>
        <w:tc>
          <w:tcPr>
            <w:tcW w:w="0" w:type="dxa"/>
            <w:vAlign w:val="bottom"/>
          </w:tcPr>
          <w:p>
            <w:pPr>
              <w:spacing w:after="0"/>
              <w:rPr>
                <w:sz w:val="1"/>
                <w:szCs w:val="1"/>
                <w:color w:val="auto"/>
              </w:rPr>
            </w:pPr>
          </w:p>
        </w:tc>
      </w:tr>
      <w:tr>
        <w:trPr>
          <w:trHeight w:val="270"/>
        </w:trPr>
        <w:tc>
          <w:tcPr>
            <w:tcW w:w="6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May 31, 2018</w:t>
            </w:r>
          </w:p>
        </w:tc>
        <w:tc>
          <w:tcPr>
            <w:tcW w:w="160" w:type="dxa"/>
            <w:vAlign w:val="bottom"/>
          </w:tcPr>
          <w:p>
            <w:pPr>
              <w:spacing w:after="0"/>
              <w:rPr>
                <w:sz w:val="23"/>
                <w:szCs w:val="2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1, 2018</w:t>
            </w:r>
          </w:p>
        </w:tc>
        <w:tc>
          <w:tcPr>
            <w:tcW w:w="200" w:type="dxa"/>
            <w:vAlign w:val="bottom"/>
          </w:tcPr>
          <w:p>
            <w:pPr>
              <w:spacing w:after="0"/>
              <w:rPr>
                <w:sz w:val="23"/>
                <w:szCs w:val="23"/>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June 1, 2017</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Non-GAAP adjustments</w:t>
            </w: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4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Flow-through of Inotera inventory step up</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Restructure and asset impairments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Interest income (expense), net</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of debt discount and other costs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97"/>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non-operating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Loss on debt repurchases and conversions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(Gain) loss from changes in currency exchange rates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91"/>
        </w:trPr>
        <w:tc>
          <w:tcPr>
            <w:tcW w:w="6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Arial" w:cs="Arial" w:eastAsia="Arial" w:hAnsi="Arial"/>
                <w:sz w:val="18"/>
                <w:szCs w:val="18"/>
                <w:color w:val="auto"/>
              </w:rPr>
              <w:t>Impact of U.S. income tax reform</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Estimated tax effects of above, including tax benefits from stock-based compensation,</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and non-cash changes in net deferred taxes</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tables above reconcile GAAP to non-GAAP results, diluted shares, and diluted earnings per share. The non-GAAP adjustments above may or may not be infrequent or nonrecurring in nature but are a result of periodic or non-core operating activities. We believe this non-GAAP information is helpful to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vary from numbers presented in accordance with U.S. GAAP and therefore may not be comparable to amounts reported by other companies.</w:t>
      </w:r>
    </w:p>
    <w:p>
      <w:pPr>
        <w:sectPr>
          <w:pgSz w:w="11900" w:h="16838" w:orient="portrait"/>
          <w:cols w:equalWidth="0" w:num="1">
            <w:col w:w="11420"/>
          </w:cols>
          <w:pgMar w:left="240" w:top="796"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color w:val="auto"/>
        </w:rPr>
        <w:t>Our management excludes the following items in analyzing our operating results and understanding trends in our earnings: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our convertible debt and MMJ installment debt;</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Gains and losses from changes in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Impact of the U.S. income tax reform for provisional estimate of Repatriation Tax, release of U.S. valuation allowance, and remeasurement of net deferred taxes reflecting the lower U.S. corporate tax rates; and</w:t>
      </w: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estimated tax effects of above, including tax benefits from stock-based compensation, and non-cash changes in net deferred taxes.</w:t>
      </w:r>
    </w:p>
    <w:p>
      <w:pPr>
        <w:spacing w:after="0" w:line="22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outstanding capped call transactions are anti-dilutive in GAAP earnings per share but are expected to mitigate the dilutive effect of our convertible notes. In periods with non-GAAP income attributable to Micron, non-GAAP diluted shares include the impact of the capped calls, based on the average share price for the period the capped calls are outstanding. Non-GAAP diluted shares are also adjusted for the impact of additional shares resulting from the exclusion of stock-based compensation from non-GAAP income.</w:t>
      </w:r>
    </w:p>
    <w:sectPr>
      <w:pgSz w:w="11900" w:h="16838" w:orient="portrait"/>
      <w:cols w:equalWidth="0" w:num="1">
        <w:col w:w="11360"/>
      </w:cols>
      <w:pgMar w:left="240" w:top="80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2019-12-28T21:08:01Z</dcterms:created>
  <dcterms:modified xsi:type="dcterms:W3CDTF">2019-12-28T21:08:01Z</dcterms:modified>
</cp:coreProperties>
</file>