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40"/>
        </w:trPr>
        <w:tc>
          <w:tcPr>
            <w:tcW w:w="318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420" w:type="dxa"/>
            <w:vAlign w:val="bottom"/>
            <w:tcBorders>
              <w:top w:val="single" w:sz="8" w:color="auto"/>
              <w:bottom w:val="single" w:sz="8" w:color="auto"/>
            </w:tcBorders>
          </w:tcPr>
          <w:p>
            <w:pPr>
              <w:spacing w:after="0"/>
              <w:rPr>
                <w:sz w:val="3"/>
                <w:szCs w:val="3"/>
                <w:color w:val="auto"/>
              </w:rPr>
            </w:pPr>
          </w:p>
        </w:tc>
        <w:tc>
          <w:tcPr>
            <w:tcW w:w="1020" w:type="dxa"/>
            <w:vAlign w:val="bottom"/>
            <w:tcBorders>
              <w:top w:val="single" w:sz="8" w:color="auto"/>
              <w:bottom w:val="single" w:sz="8" w:color="auto"/>
            </w:tcBorders>
          </w:tcPr>
          <w:p>
            <w:pPr>
              <w:spacing w:after="0"/>
              <w:rPr>
                <w:sz w:val="3"/>
                <w:szCs w:val="3"/>
                <w:color w:val="auto"/>
              </w:rPr>
            </w:pPr>
          </w:p>
        </w:tc>
        <w:tc>
          <w:tcPr>
            <w:tcW w:w="420" w:type="dxa"/>
            <w:vAlign w:val="bottom"/>
            <w:tcBorders>
              <w:top w:val="single" w:sz="8" w:color="auto"/>
              <w:bottom w:val="single" w:sz="8" w:color="auto"/>
            </w:tcBorders>
          </w:tcPr>
          <w:p>
            <w:pPr>
              <w:spacing w:after="0"/>
              <w:rPr>
                <w:sz w:val="3"/>
                <w:szCs w:val="3"/>
                <w:color w:val="auto"/>
              </w:rPr>
            </w:pPr>
          </w:p>
        </w:tc>
        <w:tc>
          <w:tcPr>
            <w:tcW w:w="4780" w:type="dxa"/>
            <w:vAlign w:val="bottom"/>
            <w:tcBorders>
              <w:top w:val="single" w:sz="8" w:color="auto"/>
              <w:bottom w:val="single" w:sz="8" w:color="auto"/>
            </w:tcBorders>
          </w:tcPr>
          <w:p>
            <w:pPr>
              <w:spacing w:after="0"/>
              <w:rPr>
                <w:sz w:val="3"/>
                <w:szCs w:val="3"/>
                <w:color w:val="auto"/>
              </w:rPr>
            </w:pPr>
          </w:p>
        </w:tc>
      </w:tr>
      <w:tr>
        <w:trPr>
          <w:trHeight w:val="196"/>
        </w:trPr>
        <w:tc>
          <w:tcPr>
            <w:tcW w:w="3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640" w:type="dxa"/>
            <w:vAlign w:val="bottom"/>
            <w:gridSpan w:val="4"/>
          </w:tcPr>
          <w:p>
            <w:pPr>
              <w:jc w:val="center"/>
              <w:ind w:right="4690"/>
              <w:spacing w:after="0" w:line="197" w:lineRule="exact"/>
              <w:rPr>
                <w:sz w:val="20"/>
                <w:szCs w:val="20"/>
                <w:color w:val="auto"/>
              </w:rPr>
            </w:pPr>
            <w:r>
              <w:rPr>
                <w:rFonts w:ascii="Arial" w:cs="Arial" w:eastAsia="Arial" w:hAnsi="Arial"/>
                <w:sz w:val="22"/>
                <w:szCs w:val="22"/>
                <w:b w:val="1"/>
                <w:bCs w:val="1"/>
                <w:color w:val="auto"/>
                <w:w w:val="97"/>
              </w:rPr>
              <w:t>UNITED STATES</w:t>
            </w:r>
          </w:p>
        </w:tc>
      </w:tr>
      <w:tr>
        <w:trPr>
          <w:trHeight w:val="252"/>
        </w:trPr>
        <w:tc>
          <w:tcPr>
            <w:tcW w:w="3180" w:type="dxa"/>
            <w:vAlign w:val="bottom"/>
          </w:tcPr>
          <w:p>
            <w:pPr>
              <w:spacing w:after="0"/>
              <w:rPr>
                <w:sz w:val="21"/>
                <w:szCs w:val="21"/>
                <w:color w:val="auto"/>
              </w:rPr>
            </w:pPr>
          </w:p>
        </w:tc>
        <w:tc>
          <w:tcPr>
            <w:tcW w:w="8240" w:type="dxa"/>
            <w:vAlign w:val="bottom"/>
            <w:gridSpan w:val="5"/>
          </w:tcPr>
          <w:p>
            <w:pPr>
              <w:jc w:val="center"/>
              <w:ind w:right="3090"/>
              <w:spacing w:after="0"/>
              <w:rPr>
                <w:sz w:val="20"/>
                <w:szCs w:val="20"/>
                <w:color w:val="auto"/>
              </w:rPr>
            </w:pPr>
            <w:r>
              <w:rPr>
                <w:rFonts w:ascii="Arial" w:cs="Arial" w:eastAsia="Arial" w:hAnsi="Arial"/>
                <w:sz w:val="22"/>
                <w:szCs w:val="22"/>
                <w:b w:val="1"/>
                <w:bCs w:val="1"/>
                <w:color w:val="auto"/>
                <w:w w:val="99"/>
              </w:rPr>
              <w:t>SECURITIES AND EXCHANGE COMMISSION</w:t>
            </w:r>
          </w:p>
        </w:tc>
      </w:tr>
      <w:tr>
        <w:trPr>
          <w:trHeight w:val="234"/>
        </w:trPr>
        <w:tc>
          <w:tcPr>
            <w:tcW w:w="3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640" w:type="dxa"/>
            <w:vAlign w:val="bottom"/>
            <w:gridSpan w:val="4"/>
          </w:tcPr>
          <w:p>
            <w:pPr>
              <w:jc w:val="center"/>
              <w:ind w:right="4690"/>
              <w:spacing w:after="0"/>
              <w:rPr>
                <w:sz w:val="20"/>
                <w:szCs w:val="20"/>
                <w:color w:val="auto"/>
              </w:rPr>
            </w:pPr>
            <w:r>
              <w:rPr>
                <w:rFonts w:ascii="Arial" w:cs="Arial" w:eastAsia="Arial" w:hAnsi="Arial"/>
                <w:sz w:val="18"/>
                <w:szCs w:val="18"/>
                <w:b w:val="1"/>
                <w:bCs w:val="1"/>
                <w:color w:val="auto"/>
                <w:w w:val="91"/>
              </w:rPr>
              <w:t>Washington, D.C. 20549</w:t>
            </w:r>
          </w:p>
        </w:tc>
      </w:tr>
      <w:tr>
        <w:trPr>
          <w:trHeight w:val="432"/>
        </w:trPr>
        <w:tc>
          <w:tcPr>
            <w:tcW w:w="3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20" w:type="dxa"/>
            <w:vAlign w:val="bottom"/>
            <w:gridSpan w:val="3"/>
          </w:tcPr>
          <w:p>
            <w:pPr>
              <w:jc w:val="center"/>
              <w:ind w:right="5110"/>
              <w:spacing w:after="0"/>
              <w:rPr>
                <w:sz w:val="20"/>
                <w:szCs w:val="20"/>
                <w:color w:val="auto"/>
              </w:rPr>
            </w:pPr>
            <w:r>
              <w:rPr>
                <w:rFonts w:ascii="Arial" w:cs="Arial" w:eastAsia="Arial" w:hAnsi="Arial"/>
                <w:sz w:val="22"/>
                <w:szCs w:val="22"/>
                <w:b w:val="1"/>
                <w:bCs w:val="1"/>
                <w:color w:val="auto"/>
                <w:w w:val="96"/>
              </w:rPr>
              <w:t>FORM S-8</w:t>
            </w:r>
          </w:p>
        </w:tc>
      </w:tr>
      <w:tr>
        <w:trPr>
          <w:trHeight w:val="256"/>
        </w:trPr>
        <w:tc>
          <w:tcPr>
            <w:tcW w:w="3180" w:type="dxa"/>
            <w:vAlign w:val="bottom"/>
          </w:tcPr>
          <w:p>
            <w:pPr>
              <w:spacing w:after="0"/>
              <w:rPr>
                <w:sz w:val="22"/>
                <w:szCs w:val="22"/>
                <w:color w:val="auto"/>
              </w:rPr>
            </w:pPr>
          </w:p>
        </w:tc>
        <w:tc>
          <w:tcPr>
            <w:tcW w:w="8240" w:type="dxa"/>
            <w:vAlign w:val="bottom"/>
            <w:gridSpan w:val="5"/>
          </w:tcPr>
          <w:p>
            <w:pPr>
              <w:jc w:val="center"/>
              <w:ind w:right="3070"/>
              <w:spacing w:after="0"/>
              <w:rPr>
                <w:sz w:val="20"/>
                <w:szCs w:val="20"/>
                <w:color w:val="auto"/>
              </w:rPr>
            </w:pPr>
            <w:r>
              <w:rPr>
                <w:rFonts w:ascii="Arial" w:cs="Arial" w:eastAsia="Arial" w:hAnsi="Arial"/>
                <w:sz w:val="22"/>
                <w:szCs w:val="22"/>
                <w:b w:val="1"/>
                <w:bCs w:val="1"/>
                <w:color w:val="auto"/>
                <w:w w:val="99"/>
              </w:rPr>
              <w:t>REGISTRATION STATEMENT</w:t>
            </w:r>
          </w:p>
        </w:tc>
      </w:tr>
      <w:tr>
        <w:trPr>
          <w:trHeight w:val="216"/>
        </w:trPr>
        <w:tc>
          <w:tcPr>
            <w:tcW w:w="3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20" w:type="dxa"/>
            <w:vAlign w:val="bottom"/>
            <w:gridSpan w:val="3"/>
          </w:tcPr>
          <w:p>
            <w:pPr>
              <w:jc w:val="center"/>
              <w:ind w:right="5110"/>
              <w:spacing w:after="0"/>
              <w:rPr>
                <w:sz w:val="20"/>
                <w:szCs w:val="20"/>
                <w:color w:val="auto"/>
              </w:rPr>
            </w:pPr>
            <w:r>
              <w:rPr>
                <w:rFonts w:ascii="Arial" w:cs="Arial" w:eastAsia="Arial" w:hAnsi="Arial"/>
                <w:sz w:val="18"/>
                <w:szCs w:val="18"/>
                <w:b w:val="1"/>
                <w:bCs w:val="1"/>
                <w:i w:val="1"/>
                <w:iCs w:val="1"/>
                <w:color w:val="auto"/>
                <w:w w:val="88"/>
              </w:rPr>
              <w:t>Under</w:t>
            </w:r>
          </w:p>
        </w:tc>
      </w:tr>
      <w:tr>
        <w:trPr>
          <w:trHeight w:val="230"/>
        </w:trPr>
        <w:tc>
          <w:tcPr>
            <w:tcW w:w="3180" w:type="dxa"/>
            <w:vAlign w:val="bottom"/>
          </w:tcPr>
          <w:p>
            <w:pPr>
              <w:spacing w:after="0"/>
              <w:rPr>
                <w:sz w:val="20"/>
                <w:szCs w:val="20"/>
                <w:color w:val="auto"/>
              </w:rPr>
            </w:pPr>
          </w:p>
        </w:tc>
        <w:tc>
          <w:tcPr>
            <w:tcW w:w="8240" w:type="dxa"/>
            <w:vAlign w:val="bottom"/>
            <w:gridSpan w:val="5"/>
          </w:tcPr>
          <w:p>
            <w:pPr>
              <w:jc w:val="center"/>
              <w:ind w:right="3070"/>
              <w:spacing w:after="0"/>
              <w:rPr>
                <w:sz w:val="20"/>
                <w:szCs w:val="20"/>
                <w:color w:val="auto"/>
              </w:rPr>
            </w:pPr>
            <w:r>
              <w:rPr>
                <w:rFonts w:ascii="Arial" w:cs="Arial" w:eastAsia="Arial" w:hAnsi="Arial"/>
                <w:sz w:val="18"/>
                <w:szCs w:val="18"/>
                <w:b w:val="1"/>
                <w:bCs w:val="1"/>
                <w:i w:val="1"/>
                <w:iCs w:val="1"/>
                <w:color w:val="auto"/>
                <w:w w:val="87"/>
              </w:rPr>
              <w:t>The Securities Act of 1933</w:t>
            </w:r>
          </w:p>
        </w:tc>
      </w:tr>
      <w:tr>
        <w:trPr>
          <w:trHeight w:val="441"/>
        </w:trPr>
        <w:tc>
          <w:tcPr>
            <w:tcW w:w="3180" w:type="dxa"/>
            <w:vAlign w:val="bottom"/>
          </w:tcPr>
          <w:p>
            <w:pPr>
              <w:spacing w:after="0"/>
              <w:rPr>
                <w:sz w:val="24"/>
                <w:szCs w:val="24"/>
                <w:color w:val="auto"/>
              </w:rPr>
            </w:pPr>
          </w:p>
        </w:tc>
        <w:tc>
          <w:tcPr>
            <w:tcW w:w="8240" w:type="dxa"/>
            <w:vAlign w:val="bottom"/>
            <w:gridSpan w:val="5"/>
          </w:tcPr>
          <w:p>
            <w:pPr>
              <w:jc w:val="center"/>
              <w:ind w:right="3090"/>
              <w:spacing w:after="0"/>
              <w:rPr>
                <w:sz w:val="20"/>
                <w:szCs w:val="20"/>
                <w:color w:val="auto"/>
              </w:rPr>
            </w:pPr>
            <w:r>
              <w:rPr>
                <w:rFonts w:ascii="Arial" w:cs="Arial" w:eastAsia="Arial" w:hAnsi="Arial"/>
                <w:sz w:val="22"/>
                <w:szCs w:val="22"/>
                <w:b w:val="1"/>
                <w:bCs w:val="1"/>
                <w:color w:val="auto"/>
              </w:rPr>
              <w:t>MICRON TECHNOLOGY, INC.</w:t>
            </w:r>
          </w:p>
        </w:tc>
      </w:tr>
      <w:tr>
        <w:trPr>
          <w:trHeight w:val="234"/>
        </w:trPr>
        <w:tc>
          <w:tcPr>
            <w:tcW w:w="3180" w:type="dxa"/>
            <w:vAlign w:val="bottom"/>
          </w:tcPr>
          <w:p>
            <w:pPr>
              <w:spacing w:after="0"/>
              <w:rPr>
                <w:sz w:val="20"/>
                <w:szCs w:val="20"/>
                <w:color w:val="auto"/>
              </w:rPr>
            </w:pPr>
          </w:p>
        </w:tc>
        <w:tc>
          <w:tcPr>
            <w:tcW w:w="8240" w:type="dxa"/>
            <w:vAlign w:val="bottom"/>
            <w:gridSpan w:val="5"/>
          </w:tcPr>
          <w:p>
            <w:pPr>
              <w:jc w:val="center"/>
              <w:ind w:right="309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414"/>
        </w:trPr>
        <w:tc>
          <w:tcPr>
            <w:tcW w:w="3180" w:type="dxa"/>
            <w:vAlign w:val="bottom"/>
          </w:tcPr>
          <w:p>
            <w:pPr>
              <w:jc w:val="center"/>
              <w:ind w:left="530"/>
              <w:spacing w:after="0"/>
              <w:rPr>
                <w:sz w:val="20"/>
                <w:szCs w:val="20"/>
                <w:color w:val="auto"/>
              </w:rPr>
            </w:pPr>
            <w:r>
              <w:rPr>
                <w:rFonts w:ascii="Arial" w:cs="Arial" w:eastAsia="Arial" w:hAnsi="Arial"/>
                <w:sz w:val="18"/>
                <w:szCs w:val="18"/>
                <w:b w:val="1"/>
                <w:bCs w:val="1"/>
                <w:color w:val="auto"/>
                <w:w w:val="91"/>
              </w:rPr>
              <w:t>Delaware</w:t>
            </w:r>
          </w:p>
        </w:tc>
        <w:tc>
          <w:tcPr>
            <w:tcW w:w="8240" w:type="dxa"/>
            <w:vAlign w:val="bottom"/>
            <w:gridSpan w:val="5"/>
          </w:tcPr>
          <w:p>
            <w:pPr>
              <w:jc w:val="center"/>
              <w:ind w:left="4345"/>
              <w:spacing w:after="0"/>
              <w:rPr>
                <w:sz w:val="20"/>
                <w:szCs w:val="20"/>
                <w:color w:val="auto"/>
              </w:rPr>
            </w:pPr>
            <w:r>
              <w:rPr>
                <w:rFonts w:ascii="Arial" w:cs="Arial" w:eastAsia="Arial" w:hAnsi="Arial"/>
                <w:sz w:val="18"/>
                <w:szCs w:val="18"/>
                <w:b w:val="1"/>
                <w:bCs w:val="1"/>
                <w:color w:val="auto"/>
                <w:w w:val="91"/>
              </w:rPr>
              <w:t>75-1618004</w:t>
            </w:r>
          </w:p>
        </w:tc>
      </w:tr>
      <w:tr>
        <w:trPr>
          <w:trHeight w:val="216"/>
        </w:trPr>
        <w:tc>
          <w:tcPr>
            <w:tcW w:w="3180" w:type="dxa"/>
            <w:vAlign w:val="bottom"/>
          </w:tcPr>
          <w:p>
            <w:pPr>
              <w:jc w:val="center"/>
              <w:ind w:left="550"/>
              <w:spacing w:after="0"/>
              <w:rPr>
                <w:sz w:val="20"/>
                <w:szCs w:val="20"/>
                <w:color w:val="auto"/>
              </w:rPr>
            </w:pPr>
            <w:r>
              <w:rPr>
                <w:rFonts w:ascii="Arial" w:cs="Arial" w:eastAsia="Arial" w:hAnsi="Arial"/>
                <w:sz w:val="18"/>
                <w:szCs w:val="18"/>
                <w:b w:val="1"/>
                <w:bCs w:val="1"/>
                <w:color w:val="auto"/>
                <w:w w:val="91"/>
              </w:rPr>
              <w:t>(State or other jurisdiction of</w:t>
            </w: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780" w:type="dxa"/>
            <w:vAlign w:val="bottom"/>
          </w:tcPr>
          <w:p>
            <w:pPr>
              <w:jc w:val="center"/>
              <w:ind w:left="870"/>
              <w:spacing w:after="0"/>
              <w:rPr>
                <w:sz w:val="20"/>
                <w:szCs w:val="20"/>
                <w:color w:val="auto"/>
              </w:rPr>
            </w:pPr>
            <w:r>
              <w:rPr>
                <w:rFonts w:ascii="Arial" w:cs="Arial" w:eastAsia="Arial" w:hAnsi="Arial"/>
                <w:sz w:val="18"/>
                <w:szCs w:val="18"/>
                <w:b w:val="1"/>
                <w:bCs w:val="1"/>
                <w:color w:val="auto"/>
                <w:w w:val="94"/>
              </w:rPr>
              <w:t>(I.R.S. Employer</w:t>
            </w:r>
          </w:p>
        </w:tc>
      </w:tr>
      <w:tr>
        <w:trPr>
          <w:trHeight w:val="216"/>
        </w:trPr>
        <w:tc>
          <w:tcPr>
            <w:tcW w:w="3180" w:type="dxa"/>
            <w:vAlign w:val="bottom"/>
          </w:tcPr>
          <w:p>
            <w:pPr>
              <w:jc w:val="center"/>
              <w:ind w:left="550"/>
              <w:spacing w:after="0"/>
              <w:rPr>
                <w:sz w:val="20"/>
                <w:szCs w:val="20"/>
                <w:color w:val="auto"/>
              </w:rPr>
            </w:pPr>
            <w:r>
              <w:rPr>
                <w:rFonts w:ascii="Arial" w:cs="Arial" w:eastAsia="Arial" w:hAnsi="Arial"/>
                <w:sz w:val="18"/>
                <w:szCs w:val="18"/>
                <w:b w:val="1"/>
                <w:bCs w:val="1"/>
                <w:color w:val="auto"/>
                <w:w w:val="91"/>
              </w:rPr>
              <w:t>incorporation or organization)</w:t>
            </w: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780" w:type="dxa"/>
            <w:vAlign w:val="bottom"/>
          </w:tcPr>
          <w:p>
            <w:pPr>
              <w:jc w:val="center"/>
              <w:ind w:left="870"/>
              <w:spacing w:after="0"/>
              <w:rPr>
                <w:sz w:val="20"/>
                <w:szCs w:val="20"/>
                <w:color w:val="auto"/>
              </w:rPr>
            </w:pPr>
            <w:r>
              <w:rPr>
                <w:rFonts w:ascii="Arial" w:cs="Arial" w:eastAsia="Arial" w:hAnsi="Arial"/>
                <w:sz w:val="18"/>
                <w:szCs w:val="18"/>
                <w:b w:val="1"/>
                <w:bCs w:val="1"/>
                <w:color w:val="auto"/>
                <w:w w:val="93"/>
              </w:rPr>
              <w:t>Identification Number)</w:t>
            </w:r>
          </w:p>
        </w:tc>
      </w:tr>
      <w:tr>
        <w:trPr>
          <w:trHeight w:val="216"/>
        </w:trPr>
        <w:tc>
          <w:tcPr>
            <w:tcW w:w="3180" w:type="dxa"/>
            <w:vAlign w:val="bottom"/>
          </w:tcPr>
          <w:p>
            <w:pPr>
              <w:spacing w:after="0"/>
              <w:rPr>
                <w:sz w:val="18"/>
                <w:szCs w:val="18"/>
                <w:color w:val="auto"/>
              </w:rPr>
            </w:pPr>
          </w:p>
        </w:tc>
        <w:tc>
          <w:tcPr>
            <w:tcW w:w="8240" w:type="dxa"/>
            <w:vAlign w:val="bottom"/>
            <w:gridSpan w:val="5"/>
          </w:tcPr>
          <w:p>
            <w:pPr>
              <w:jc w:val="center"/>
              <w:ind w:right="3070"/>
              <w:spacing w:after="0"/>
              <w:rPr>
                <w:sz w:val="20"/>
                <w:szCs w:val="20"/>
                <w:color w:val="auto"/>
              </w:rPr>
            </w:pPr>
            <w:r>
              <w:rPr>
                <w:rFonts w:ascii="Arial" w:cs="Arial" w:eastAsia="Arial" w:hAnsi="Arial"/>
                <w:sz w:val="18"/>
                <w:szCs w:val="18"/>
                <w:b w:val="1"/>
                <w:bCs w:val="1"/>
                <w:color w:val="auto"/>
                <w:w w:val="90"/>
              </w:rPr>
              <w:t>8000 South Federal Way</w:t>
            </w:r>
          </w:p>
        </w:tc>
      </w:tr>
      <w:tr>
        <w:trPr>
          <w:trHeight w:val="216"/>
        </w:trPr>
        <w:tc>
          <w:tcPr>
            <w:tcW w:w="3180" w:type="dxa"/>
            <w:vAlign w:val="bottom"/>
          </w:tcPr>
          <w:p>
            <w:pPr>
              <w:spacing w:after="0"/>
              <w:rPr>
                <w:sz w:val="18"/>
                <w:szCs w:val="18"/>
                <w:color w:val="auto"/>
              </w:rPr>
            </w:pPr>
          </w:p>
        </w:tc>
        <w:tc>
          <w:tcPr>
            <w:tcW w:w="8240" w:type="dxa"/>
            <w:vAlign w:val="bottom"/>
            <w:gridSpan w:val="5"/>
          </w:tcPr>
          <w:p>
            <w:pPr>
              <w:jc w:val="center"/>
              <w:ind w:right="3070"/>
              <w:spacing w:after="0"/>
              <w:rPr>
                <w:sz w:val="20"/>
                <w:szCs w:val="20"/>
                <w:color w:val="auto"/>
              </w:rPr>
            </w:pPr>
            <w:r>
              <w:rPr>
                <w:rFonts w:ascii="Arial" w:cs="Arial" w:eastAsia="Arial" w:hAnsi="Arial"/>
                <w:sz w:val="18"/>
                <w:szCs w:val="18"/>
                <w:b w:val="1"/>
                <w:bCs w:val="1"/>
                <w:color w:val="auto"/>
                <w:w w:val="89"/>
              </w:rPr>
              <w:t>P.O. Box 6, Boise Idaho 83707-0006</w:t>
            </w:r>
          </w:p>
        </w:tc>
      </w:tr>
      <w:tr>
        <w:trPr>
          <w:trHeight w:val="234"/>
        </w:trPr>
        <w:tc>
          <w:tcPr>
            <w:tcW w:w="3180" w:type="dxa"/>
            <w:vAlign w:val="bottom"/>
          </w:tcPr>
          <w:p>
            <w:pPr>
              <w:spacing w:after="0"/>
              <w:rPr>
                <w:sz w:val="20"/>
                <w:szCs w:val="20"/>
                <w:color w:val="auto"/>
              </w:rPr>
            </w:pPr>
          </w:p>
        </w:tc>
        <w:tc>
          <w:tcPr>
            <w:tcW w:w="8240" w:type="dxa"/>
            <w:vAlign w:val="bottom"/>
            <w:gridSpan w:val="5"/>
          </w:tcPr>
          <w:p>
            <w:pPr>
              <w:jc w:val="center"/>
              <w:ind w:right="3090"/>
              <w:spacing w:after="0"/>
              <w:rPr>
                <w:sz w:val="20"/>
                <w:szCs w:val="20"/>
                <w:color w:val="auto"/>
              </w:rPr>
            </w:pPr>
            <w:r>
              <w:rPr>
                <w:rFonts w:ascii="Arial" w:cs="Arial" w:eastAsia="Arial" w:hAnsi="Arial"/>
                <w:sz w:val="18"/>
                <w:szCs w:val="18"/>
                <w:b w:val="1"/>
                <w:bCs w:val="1"/>
                <w:color w:val="auto"/>
                <w:w w:val="88"/>
              </w:rPr>
              <w:t>(Address of principal executive offices)</w:t>
            </w:r>
          </w:p>
        </w:tc>
      </w:tr>
      <w:tr>
        <w:trPr>
          <w:trHeight w:val="739"/>
        </w:trPr>
        <w:tc>
          <w:tcPr>
            <w:tcW w:w="3180" w:type="dxa"/>
            <w:vAlign w:val="bottom"/>
          </w:tcPr>
          <w:p>
            <w:pPr>
              <w:spacing w:after="0"/>
              <w:rPr>
                <w:sz w:val="24"/>
                <w:szCs w:val="24"/>
                <w:color w:val="auto"/>
              </w:rPr>
            </w:pPr>
          </w:p>
        </w:tc>
        <w:tc>
          <w:tcPr>
            <w:tcW w:w="8240" w:type="dxa"/>
            <w:vAlign w:val="bottom"/>
            <w:gridSpan w:val="5"/>
          </w:tcPr>
          <w:p>
            <w:pPr>
              <w:jc w:val="center"/>
              <w:ind w:right="3090"/>
              <w:spacing w:after="0"/>
              <w:rPr>
                <w:sz w:val="20"/>
                <w:szCs w:val="20"/>
                <w:color w:val="auto"/>
              </w:rPr>
            </w:pPr>
            <w:r>
              <w:rPr>
                <w:rFonts w:ascii="Arial" w:cs="Arial" w:eastAsia="Arial" w:hAnsi="Arial"/>
                <w:sz w:val="22"/>
                <w:szCs w:val="22"/>
                <w:b w:val="1"/>
                <w:bCs w:val="1"/>
                <w:color w:val="auto"/>
                <w:w w:val="89"/>
              </w:rPr>
              <w:t>Micron Technology, Inc. 2007 Equity Incentive Plan</w:t>
            </w:r>
          </w:p>
        </w:tc>
      </w:tr>
      <w:tr>
        <w:trPr>
          <w:trHeight w:val="692"/>
        </w:trPr>
        <w:tc>
          <w:tcPr>
            <w:tcW w:w="3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640" w:type="dxa"/>
            <w:vAlign w:val="bottom"/>
            <w:gridSpan w:val="4"/>
          </w:tcPr>
          <w:p>
            <w:pPr>
              <w:jc w:val="center"/>
              <w:ind w:right="4690"/>
              <w:spacing w:after="0"/>
              <w:rPr>
                <w:sz w:val="20"/>
                <w:szCs w:val="20"/>
                <w:color w:val="auto"/>
              </w:rPr>
            </w:pPr>
            <w:r>
              <w:rPr>
                <w:rFonts w:ascii="Arial" w:cs="Arial" w:eastAsia="Arial" w:hAnsi="Arial"/>
                <w:sz w:val="18"/>
                <w:szCs w:val="18"/>
                <w:color w:val="auto"/>
                <w:w w:val="94"/>
              </w:rPr>
              <w:t>(Full title of the plan)</w:t>
            </w:r>
          </w:p>
        </w:tc>
      </w:tr>
      <w:tr>
        <w:trPr>
          <w:trHeight w:val="684"/>
        </w:trPr>
        <w:tc>
          <w:tcPr>
            <w:tcW w:w="3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640" w:type="dxa"/>
            <w:vAlign w:val="bottom"/>
            <w:gridSpan w:val="4"/>
          </w:tcPr>
          <w:p>
            <w:pPr>
              <w:jc w:val="center"/>
              <w:ind w:right="4670"/>
              <w:spacing w:after="0"/>
              <w:rPr>
                <w:sz w:val="20"/>
                <w:szCs w:val="20"/>
                <w:color w:val="auto"/>
              </w:rPr>
            </w:pPr>
            <w:r>
              <w:rPr>
                <w:rFonts w:ascii="Arial" w:cs="Arial" w:eastAsia="Arial" w:hAnsi="Arial"/>
                <w:sz w:val="18"/>
                <w:szCs w:val="18"/>
                <w:b w:val="1"/>
                <w:bCs w:val="1"/>
                <w:color w:val="auto"/>
                <w:w w:val="91"/>
              </w:rPr>
              <w:t>Roderic W. Lewis</w:t>
            </w:r>
          </w:p>
        </w:tc>
      </w:tr>
      <w:tr>
        <w:trPr>
          <w:trHeight w:val="216"/>
        </w:trPr>
        <w:tc>
          <w:tcPr>
            <w:tcW w:w="3180" w:type="dxa"/>
            <w:vAlign w:val="bottom"/>
          </w:tcPr>
          <w:p>
            <w:pPr>
              <w:spacing w:after="0"/>
              <w:rPr>
                <w:sz w:val="18"/>
                <w:szCs w:val="18"/>
                <w:color w:val="auto"/>
              </w:rPr>
            </w:pPr>
          </w:p>
        </w:tc>
        <w:tc>
          <w:tcPr>
            <w:tcW w:w="8240" w:type="dxa"/>
            <w:vAlign w:val="bottom"/>
            <w:gridSpan w:val="5"/>
          </w:tcPr>
          <w:p>
            <w:pPr>
              <w:jc w:val="center"/>
              <w:ind w:right="3070"/>
              <w:spacing w:after="0"/>
              <w:rPr>
                <w:sz w:val="20"/>
                <w:szCs w:val="20"/>
                <w:color w:val="auto"/>
              </w:rPr>
            </w:pPr>
            <w:r>
              <w:rPr>
                <w:rFonts w:ascii="Arial" w:cs="Arial" w:eastAsia="Arial" w:hAnsi="Arial"/>
                <w:sz w:val="18"/>
                <w:szCs w:val="18"/>
                <w:b w:val="1"/>
                <w:bCs w:val="1"/>
                <w:color w:val="auto"/>
                <w:w w:val="90"/>
              </w:rPr>
              <w:t>V.P. of Legal Affairs, General Counsel and Corporate Secretary</w:t>
            </w:r>
          </w:p>
        </w:tc>
      </w:tr>
      <w:tr>
        <w:trPr>
          <w:trHeight w:val="216"/>
        </w:trPr>
        <w:tc>
          <w:tcPr>
            <w:tcW w:w="3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640" w:type="dxa"/>
            <w:vAlign w:val="bottom"/>
            <w:gridSpan w:val="4"/>
          </w:tcPr>
          <w:p>
            <w:pPr>
              <w:jc w:val="center"/>
              <w:ind w:right="4690"/>
              <w:spacing w:after="0"/>
              <w:rPr>
                <w:sz w:val="20"/>
                <w:szCs w:val="20"/>
                <w:color w:val="auto"/>
              </w:rPr>
            </w:pPr>
            <w:r>
              <w:rPr>
                <w:rFonts w:ascii="Arial" w:cs="Arial" w:eastAsia="Arial" w:hAnsi="Arial"/>
                <w:sz w:val="18"/>
                <w:szCs w:val="18"/>
                <w:b w:val="1"/>
                <w:bCs w:val="1"/>
                <w:color w:val="auto"/>
                <w:w w:val="90"/>
              </w:rPr>
              <w:t>Micron Technology, Inc.</w:t>
            </w:r>
          </w:p>
        </w:tc>
      </w:tr>
      <w:tr>
        <w:trPr>
          <w:trHeight w:val="216"/>
        </w:trPr>
        <w:tc>
          <w:tcPr>
            <w:tcW w:w="3180" w:type="dxa"/>
            <w:vAlign w:val="bottom"/>
          </w:tcPr>
          <w:p>
            <w:pPr>
              <w:spacing w:after="0"/>
              <w:rPr>
                <w:sz w:val="18"/>
                <w:szCs w:val="18"/>
                <w:color w:val="auto"/>
              </w:rPr>
            </w:pPr>
          </w:p>
        </w:tc>
        <w:tc>
          <w:tcPr>
            <w:tcW w:w="8240" w:type="dxa"/>
            <w:vAlign w:val="bottom"/>
            <w:gridSpan w:val="5"/>
          </w:tcPr>
          <w:p>
            <w:pPr>
              <w:jc w:val="center"/>
              <w:ind w:right="3070"/>
              <w:spacing w:after="0"/>
              <w:rPr>
                <w:sz w:val="20"/>
                <w:szCs w:val="20"/>
                <w:color w:val="auto"/>
              </w:rPr>
            </w:pPr>
            <w:r>
              <w:rPr>
                <w:rFonts w:ascii="Arial" w:cs="Arial" w:eastAsia="Arial" w:hAnsi="Arial"/>
                <w:sz w:val="18"/>
                <w:szCs w:val="18"/>
                <w:b w:val="1"/>
                <w:bCs w:val="1"/>
                <w:color w:val="auto"/>
                <w:w w:val="90"/>
              </w:rPr>
              <w:t>8000 South Federal Way</w:t>
            </w:r>
          </w:p>
        </w:tc>
      </w:tr>
      <w:tr>
        <w:trPr>
          <w:trHeight w:val="194"/>
        </w:trPr>
        <w:tc>
          <w:tcPr>
            <w:tcW w:w="3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640" w:type="dxa"/>
            <w:vAlign w:val="bottom"/>
            <w:gridSpan w:val="4"/>
          </w:tcPr>
          <w:p>
            <w:pPr>
              <w:jc w:val="center"/>
              <w:ind w:right="4690"/>
              <w:spacing w:after="0" w:line="194" w:lineRule="exact"/>
              <w:rPr>
                <w:sz w:val="20"/>
                <w:szCs w:val="20"/>
                <w:color w:val="auto"/>
              </w:rPr>
            </w:pPr>
            <w:r>
              <w:rPr>
                <w:rFonts w:ascii="Arial" w:cs="Arial" w:eastAsia="Arial" w:hAnsi="Arial"/>
                <w:sz w:val="18"/>
                <w:szCs w:val="18"/>
                <w:b w:val="1"/>
                <w:bCs w:val="1"/>
                <w:color w:val="auto"/>
                <w:w w:val="89"/>
              </w:rPr>
              <w:t>Boise, Idaho 83716-9632</w:t>
            </w:r>
          </w:p>
        </w:tc>
      </w:tr>
      <w:tr>
        <w:trPr>
          <w:trHeight w:val="20"/>
        </w:trPr>
        <w:tc>
          <w:tcPr>
            <w:tcW w:w="3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237"/>
        </w:trPr>
        <w:tc>
          <w:tcPr>
            <w:tcW w:w="3180" w:type="dxa"/>
            <w:vAlign w:val="bottom"/>
          </w:tcPr>
          <w:p>
            <w:pPr>
              <w:spacing w:after="0"/>
              <w:rPr>
                <w:sz w:val="20"/>
                <w:szCs w:val="20"/>
                <w:color w:val="auto"/>
              </w:rPr>
            </w:pPr>
          </w:p>
        </w:tc>
        <w:tc>
          <w:tcPr>
            <w:tcW w:w="8240" w:type="dxa"/>
            <w:vAlign w:val="bottom"/>
            <w:gridSpan w:val="5"/>
          </w:tcPr>
          <w:p>
            <w:pPr>
              <w:jc w:val="center"/>
              <w:ind w:right="3070"/>
              <w:spacing w:after="0"/>
              <w:rPr>
                <w:sz w:val="20"/>
                <w:szCs w:val="20"/>
                <w:color w:val="auto"/>
              </w:rPr>
            </w:pPr>
            <w:r>
              <w:rPr>
                <w:rFonts w:ascii="Arial" w:cs="Arial" w:eastAsia="Arial" w:hAnsi="Arial"/>
                <w:sz w:val="18"/>
                <w:szCs w:val="18"/>
                <w:color w:val="auto"/>
                <w:w w:val="89"/>
              </w:rPr>
              <w:t>(Name and address of agent for service)</w:t>
            </w:r>
          </w:p>
        </w:tc>
      </w:tr>
      <w:tr>
        <w:trPr>
          <w:trHeight w:val="419"/>
        </w:trPr>
        <w:tc>
          <w:tcPr>
            <w:tcW w:w="3180" w:type="dxa"/>
            <w:vAlign w:val="bottom"/>
          </w:tcPr>
          <w:p>
            <w:pPr>
              <w:spacing w:after="0"/>
              <w:rPr>
                <w:sz w:val="24"/>
                <w:szCs w:val="24"/>
                <w:color w:val="auto"/>
              </w:rPr>
            </w:pPr>
          </w:p>
        </w:tc>
        <w:tc>
          <w:tcPr>
            <w:tcW w:w="2020" w:type="dxa"/>
            <w:vAlign w:val="bottom"/>
            <w:gridSpan w:val="2"/>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208-368-4000</w:t>
            </w:r>
          </w:p>
        </w:tc>
        <w:tc>
          <w:tcPr>
            <w:tcW w:w="42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237"/>
        </w:trPr>
        <w:tc>
          <w:tcPr>
            <w:tcW w:w="3180" w:type="dxa"/>
            <w:vAlign w:val="bottom"/>
          </w:tcPr>
          <w:p>
            <w:pPr>
              <w:spacing w:after="0"/>
              <w:rPr>
                <w:sz w:val="20"/>
                <w:szCs w:val="20"/>
                <w:color w:val="auto"/>
              </w:rPr>
            </w:pPr>
          </w:p>
        </w:tc>
        <w:tc>
          <w:tcPr>
            <w:tcW w:w="8240" w:type="dxa"/>
            <w:vAlign w:val="bottom"/>
            <w:gridSpan w:val="5"/>
          </w:tcPr>
          <w:p>
            <w:pPr>
              <w:jc w:val="center"/>
              <w:ind w:right="3070"/>
              <w:spacing w:after="0"/>
              <w:rPr>
                <w:sz w:val="20"/>
                <w:szCs w:val="20"/>
                <w:color w:val="auto"/>
              </w:rPr>
            </w:pPr>
            <w:r>
              <w:rPr>
                <w:rFonts w:ascii="Arial" w:cs="Arial" w:eastAsia="Arial" w:hAnsi="Arial"/>
                <w:sz w:val="18"/>
                <w:szCs w:val="18"/>
                <w:color w:val="auto"/>
                <w:w w:val="90"/>
              </w:rPr>
              <w:t>(Telephone number, including area code, of agent for service)</w:t>
            </w:r>
          </w:p>
        </w:tc>
      </w:tr>
      <w:tr>
        <w:trPr>
          <w:trHeight w:val="459"/>
        </w:trPr>
        <w:tc>
          <w:tcPr>
            <w:tcW w:w="3180" w:type="dxa"/>
            <w:vAlign w:val="bottom"/>
          </w:tcPr>
          <w:p>
            <w:pPr>
              <w:spacing w:after="0"/>
              <w:rPr>
                <w:sz w:val="24"/>
                <w:szCs w:val="24"/>
                <w:color w:val="auto"/>
              </w:rPr>
            </w:pPr>
          </w:p>
        </w:tc>
        <w:tc>
          <w:tcPr>
            <w:tcW w:w="8240" w:type="dxa"/>
            <w:vAlign w:val="bottom"/>
            <w:gridSpan w:val="5"/>
          </w:tcPr>
          <w:p>
            <w:pPr>
              <w:jc w:val="center"/>
              <w:ind w:right="3090"/>
              <w:spacing w:after="0"/>
              <w:rPr>
                <w:sz w:val="20"/>
                <w:szCs w:val="20"/>
                <w:color w:val="auto"/>
              </w:rPr>
            </w:pPr>
            <w:r>
              <w:rPr>
                <w:rFonts w:ascii="Arial" w:cs="Arial" w:eastAsia="Arial" w:hAnsi="Arial"/>
                <w:sz w:val="18"/>
                <w:szCs w:val="18"/>
                <w:b w:val="1"/>
                <w:bCs w:val="1"/>
                <w:color w:val="auto"/>
              </w:rPr>
              <w:t>CALCULATION OF REGISTRATION FEE</w:t>
            </w:r>
          </w:p>
        </w:tc>
      </w:tr>
    </w:tbl>
    <w:p>
      <w:pPr>
        <w:spacing w:after="0" w:line="22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1"/>
        </w:trPr>
        <w:tc>
          <w:tcPr>
            <w:tcW w:w="3240" w:type="dxa"/>
            <w:vAlign w:val="bottom"/>
            <w:tcBorders>
              <w:top w:val="single" w:sz="8" w:color="auto"/>
            </w:tcBorders>
          </w:tcPr>
          <w:p>
            <w:pPr>
              <w:spacing w:after="0"/>
              <w:rPr>
                <w:sz w:val="18"/>
                <w:szCs w:val="18"/>
                <w:color w:val="auto"/>
              </w:rPr>
            </w:pPr>
          </w:p>
        </w:tc>
        <w:tc>
          <w:tcPr>
            <w:tcW w:w="27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Proposed maximum</w:t>
            </w: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Proposed maximum</w:t>
            </w:r>
          </w:p>
        </w:tc>
        <w:tc>
          <w:tcPr>
            <w:tcW w:w="1900" w:type="dxa"/>
            <w:vAlign w:val="bottom"/>
            <w:tcBorders>
              <w:top w:val="single" w:sz="8" w:color="auto"/>
            </w:tcBorders>
          </w:tcPr>
          <w:p>
            <w:pPr>
              <w:spacing w:after="0"/>
              <w:rPr>
                <w:sz w:val="18"/>
                <w:szCs w:val="18"/>
                <w:color w:val="auto"/>
              </w:rPr>
            </w:pPr>
          </w:p>
        </w:tc>
      </w:tr>
      <w:tr>
        <w:trPr>
          <w:trHeight w:val="216"/>
        </w:trPr>
        <w:tc>
          <w:tcPr>
            <w:tcW w:w="3240" w:type="dxa"/>
            <w:vAlign w:val="bottom"/>
          </w:tcPr>
          <w:p>
            <w:pPr>
              <w:ind w:left="1540"/>
              <w:spacing w:after="0"/>
              <w:rPr>
                <w:sz w:val="20"/>
                <w:szCs w:val="20"/>
                <w:color w:val="auto"/>
              </w:rPr>
            </w:pPr>
            <w:r>
              <w:rPr>
                <w:rFonts w:ascii="Arial" w:cs="Arial" w:eastAsia="Arial" w:hAnsi="Arial"/>
                <w:sz w:val="18"/>
                <w:szCs w:val="18"/>
                <w:b w:val="1"/>
                <w:bCs w:val="1"/>
                <w:color w:val="auto"/>
              </w:rPr>
              <w:t>Title of</w:t>
            </w:r>
          </w:p>
        </w:tc>
        <w:tc>
          <w:tcPr>
            <w:tcW w:w="27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1"/>
              </w:rPr>
              <w:t>offering price per</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8"/>
              </w:rPr>
              <w:t>aggregate offering</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0"/>
              </w:rPr>
              <w:t>Amount of registration</w:t>
            </w:r>
          </w:p>
        </w:tc>
      </w:tr>
      <w:tr>
        <w:trPr>
          <w:trHeight w:val="241"/>
        </w:trPr>
        <w:tc>
          <w:tcPr>
            <w:tcW w:w="3240" w:type="dxa"/>
            <w:vAlign w:val="bottom"/>
            <w:tcBorders>
              <w:bottom w:val="single" w:sz="8" w:color="auto"/>
            </w:tcBorders>
          </w:tcPr>
          <w:p>
            <w:pPr>
              <w:ind w:left="840"/>
              <w:spacing w:after="0"/>
              <w:rPr>
                <w:sz w:val="20"/>
                <w:szCs w:val="20"/>
                <w:color w:val="auto"/>
              </w:rPr>
            </w:pPr>
            <w:r>
              <w:rPr>
                <w:rFonts w:ascii="Arial" w:cs="Arial" w:eastAsia="Arial" w:hAnsi="Arial"/>
                <w:sz w:val="18"/>
                <w:szCs w:val="18"/>
                <w:b w:val="1"/>
                <w:bCs w:val="1"/>
                <w:color w:val="auto"/>
              </w:rPr>
              <w:t>securities to be registered</w:t>
            </w:r>
          </w:p>
        </w:tc>
        <w:tc>
          <w:tcPr>
            <w:tcW w:w="272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b w:val="1"/>
                <w:bCs w:val="1"/>
                <w:color w:val="auto"/>
                <w:w w:val="89"/>
              </w:rPr>
              <w:t>Amount to be registered (1)</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share (2)</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price (2)</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fee</w:t>
            </w:r>
          </w:p>
        </w:tc>
      </w:tr>
      <w:tr>
        <w:trPr>
          <w:trHeight w:val="418"/>
        </w:trPr>
        <w:tc>
          <w:tcPr>
            <w:tcW w:w="3240" w:type="dxa"/>
            <w:vAlign w:val="bottom"/>
          </w:tcPr>
          <w:p>
            <w:pPr>
              <w:spacing w:after="0"/>
              <w:rPr>
                <w:sz w:val="20"/>
                <w:szCs w:val="20"/>
                <w:color w:val="auto"/>
              </w:rPr>
            </w:pPr>
            <w:r>
              <w:rPr>
                <w:rFonts w:ascii="Arial" w:cs="Arial" w:eastAsia="Arial" w:hAnsi="Arial"/>
                <w:sz w:val="18"/>
                <w:szCs w:val="18"/>
                <w:color w:val="auto"/>
              </w:rPr>
              <w:t>Common Stock $.10 par</w:t>
            </w:r>
          </w:p>
        </w:tc>
        <w:tc>
          <w:tcPr>
            <w:tcW w:w="27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value per share, to be</w:t>
            </w:r>
          </w:p>
        </w:tc>
        <w:tc>
          <w:tcPr>
            <w:tcW w:w="27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issued pursuant to the</w:t>
            </w:r>
          </w:p>
        </w:tc>
        <w:tc>
          <w:tcPr>
            <w:tcW w:w="27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Micron Technology, Inc.</w:t>
            </w:r>
          </w:p>
        </w:tc>
        <w:tc>
          <w:tcPr>
            <w:tcW w:w="27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2007 Equity Incentive Plan</w:t>
            </w:r>
          </w:p>
        </w:tc>
        <w:tc>
          <w:tcPr>
            <w:tcW w:w="2720" w:type="dxa"/>
            <w:vAlign w:val="bottom"/>
          </w:tcPr>
          <w:p>
            <w:pPr>
              <w:jc w:val="right"/>
              <w:ind w:right="690"/>
              <w:spacing w:after="0"/>
              <w:rPr>
                <w:sz w:val="20"/>
                <w:szCs w:val="20"/>
                <w:color w:val="auto"/>
              </w:rPr>
            </w:pPr>
            <w:r>
              <w:rPr>
                <w:rFonts w:ascii="Arial" w:cs="Arial" w:eastAsia="Arial" w:hAnsi="Arial"/>
                <w:sz w:val="18"/>
                <w:szCs w:val="18"/>
                <w:color w:val="auto"/>
              </w:rPr>
              <w:t>20,000,000</w:t>
            </w:r>
          </w:p>
        </w:tc>
        <w:tc>
          <w:tcPr>
            <w:tcW w:w="1800" w:type="dxa"/>
            <w:vAlign w:val="bottom"/>
          </w:tcPr>
          <w:p>
            <w:pPr>
              <w:jc w:val="center"/>
              <w:spacing w:after="0"/>
              <w:rPr>
                <w:sz w:val="20"/>
                <w:szCs w:val="20"/>
                <w:color w:val="auto"/>
              </w:rPr>
            </w:pPr>
            <w:r>
              <w:rPr>
                <w:rFonts w:ascii="Arial" w:cs="Arial" w:eastAsia="Arial" w:hAnsi="Arial"/>
                <w:sz w:val="18"/>
                <w:szCs w:val="18"/>
                <w:color w:val="auto"/>
                <w:w w:val="88"/>
              </w:rPr>
              <w:t>$9.17</w:t>
            </w:r>
          </w:p>
        </w:tc>
        <w:tc>
          <w:tcPr>
            <w:tcW w:w="1760" w:type="dxa"/>
            <w:vAlign w:val="bottom"/>
          </w:tcPr>
          <w:p>
            <w:pPr>
              <w:jc w:val="right"/>
              <w:ind w:right="110"/>
              <w:spacing w:after="0"/>
              <w:rPr>
                <w:sz w:val="20"/>
                <w:szCs w:val="20"/>
                <w:color w:val="auto"/>
              </w:rPr>
            </w:pPr>
            <w:r>
              <w:rPr>
                <w:rFonts w:ascii="Arial" w:cs="Arial" w:eastAsia="Arial" w:hAnsi="Arial"/>
                <w:sz w:val="18"/>
                <w:szCs w:val="18"/>
                <w:color w:val="auto"/>
              </w:rPr>
              <w:t>$183,300,000.00</w:t>
            </w:r>
          </w:p>
        </w:tc>
        <w:tc>
          <w:tcPr>
            <w:tcW w:w="1900" w:type="dxa"/>
            <w:vAlign w:val="bottom"/>
          </w:tcPr>
          <w:p>
            <w:pPr>
              <w:jc w:val="center"/>
              <w:spacing w:after="0"/>
              <w:rPr>
                <w:sz w:val="20"/>
                <w:szCs w:val="20"/>
                <w:color w:val="auto"/>
              </w:rPr>
            </w:pPr>
            <w:r>
              <w:rPr>
                <w:rFonts w:ascii="Arial" w:cs="Arial" w:eastAsia="Arial" w:hAnsi="Arial"/>
                <w:sz w:val="18"/>
                <w:szCs w:val="18"/>
                <w:color w:val="auto"/>
                <w:w w:val="90"/>
              </w:rPr>
              <w:t>$21,282.00</w:t>
            </w:r>
          </w:p>
        </w:tc>
      </w:tr>
    </w:tbl>
    <w:p>
      <w:pPr>
        <w:jc w:val="both"/>
        <w:ind w:left="340" w:hanging="308"/>
        <w:spacing w:after="0" w:line="277"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416 under the Securities Act of 1933, (the “Securities Act”), to the extent additional shares of the Registrant’s Common Stock may be issued or issuable as a result of a stock split, stock dividend or other distribution declared at any time by the Board of Directors while this Registration Statement is in effect, this Registration Statement is hereby declared to cover all of such additional Common Stock.</w:t>
      </w:r>
    </w:p>
    <w:p>
      <w:pPr>
        <w:spacing w:after="0" w:line="200" w:lineRule="exact"/>
        <w:rPr>
          <w:rFonts w:ascii="Arial" w:cs="Arial" w:eastAsia="Arial" w:hAnsi="Arial"/>
          <w:sz w:val="17"/>
          <w:szCs w:val="17"/>
          <w:color w:val="auto"/>
        </w:rPr>
      </w:pPr>
    </w:p>
    <w:p>
      <w:pPr>
        <w:jc w:val="both"/>
        <w:ind w:left="340" w:hanging="308"/>
        <w:spacing w:after="0" w:line="26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in accordance with Rules 457(c) and 457(h) under the Securities Act, solely for the purpose of calculating the registration fee on the basis of $9.17 per share, which is the average of the high and low price of the Company’s Common Stock as reported on the Nasdaq Global Select Market on January 12,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95"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56"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documents containing the information specified in Part I of Form S-8 are not required to be filed with the Securities and Exchange Commission either as part of this Registration Statement or as a prospectus or prospectus supplements pursuant to the Note to Part I of Form S-8 and Rule 424 under the Securities Act.</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256"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documents filed by the Company with the Securities and Exchange Commission are incorporated by reference in this Registration Statement:</w:t>
      </w:r>
    </w:p>
    <w:p>
      <w:pPr>
        <w:spacing w:after="0" w:line="224" w:lineRule="exact"/>
        <w:rPr>
          <w:sz w:val="20"/>
          <w:szCs w:val="20"/>
          <w:color w:val="auto"/>
        </w:rPr>
      </w:pPr>
    </w:p>
    <w:p>
      <w:pPr>
        <w:ind w:right="680" w:firstLine="332"/>
        <w:spacing w:after="0" w:line="277" w:lineRule="auto"/>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latest Annual Report on Form 10-K for the year ended September 2, 2010, filed pursuant to Section 13(a) of the Securities Exchange Act of 1934, as amended (the “Exchange Act”) (File No. 1-10658).</w:t>
      </w:r>
    </w:p>
    <w:p>
      <w:pPr>
        <w:spacing w:after="0" w:line="224" w:lineRule="exact"/>
        <w:rPr>
          <w:rFonts w:ascii="Arial" w:cs="Arial" w:eastAsia="Arial" w:hAnsi="Arial"/>
          <w:sz w:val="18"/>
          <w:szCs w:val="18"/>
          <w:color w:val="auto"/>
        </w:rPr>
      </w:pPr>
    </w:p>
    <w:p>
      <w:pPr>
        <w:ind w:left="760" w:hanging="428"/>
        <w:spacing w:after="0"/>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Company’s Quarterly Report on Form 10-Q for the quarterly period ended December 2, 2010, filed with the Commission on January 11, 2011.</w:t>
      </w:r>
    </w:p>
    <w:p>
      <w:pPr>
        <w:spacing w:after="0" w:line="302" w:lineRule="exact"/>
        <w:rPr>
          <w:rFonts w:ascii="Arial" w:cs="Arial" w:eastAsia="Arial" w:hAnsi="Arial"/>
          <w:sz w:val="16"/>
          <w:szCs w:val="16"/>
          <w:color w:val="auto"/>
        </w:rPr>
      </w:pPr>
    </w:p>
    <w:p>
      <w:pPr>
        <w:ind w:left="740" w:hanging="408"/>
        <w:spacing w:after="0"/>
        <w:tabs>
          <w:tab w:leader="none" w:pos="7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Company Current Reports on Form 8-K dated October 29, 2010, November 9, 2010, December 21, 2010 and December 22, 2010.</w:t>
      </w:r>
    </w:p>
    <w:p>
      <w:pPr>
        <w:spacing w:after="0" w:line="290" w:lineRule="exact"/>
        <w:rPr>
          <w:rFonts w:ascii="Arial" w:cs="Arial" w:eastAsia="Arial" w:hAnsi="Arial"/>
          <w:sz w:val="17"/>
          <w:szCs w:val="17"/>
          <w:color w:val="auto"/>
        </w:rPr>
      </w:pPr>
    </w:p>
    <w:p>
      <w:pPr>
        <w:ind w:firstLine="332"/>
        <w:spacing w:after="0" w:line="264" w:lineRule="auto"/>
        <w:tabs>
          <w:tab w:leader="none" w:pos="75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Company’s common stock contained in the Company’s Registration Statement on Form 8-A, filed November 9, 1990, pursuant to Section 12(b) of the Exchange Act (File No. 1-10658), including any amendment or report filed with the Securities and Exchange Commission for the purpose of updating such description.</w:t>
      </w:r>
    </w:p>
    <w:p>
      <w:pPr>
        <w:spacing w:after="0" w:line="20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All reports and other documents filed by the Company pursuant to Sections 13(a), 13(c), 14 and 15(d) of the Exchange Act after the date of this Registration Statement and prior to the filing of a post-effective amendment which indicates that all securities offered have been sold or which deregisters all securities then remaining unsold, shall be deemed to be incorporated by reference in this Registration Statement and to be part hereof from the date of filing such documents.</w:t>
      </w:r>
    </w:p>
    <w:p>
      <w:pPr>
        <w:spacing w:after="0" w:line="21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256"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Section 145 of the Delaware General Corporation Law authorizes a court to award, or a corporation’s board of directors or stockholders to grant, indemnification to directors, officers, employees and agents in terms sufficiently broad to permit such indemnification under certain circumstances for liabilities (including reimbursement for expenses incurred) arising under the Securities Act and for liabilities arising from other state and federal causes of action. Section 10 of the Company’s Certificate of Incorporation and Article VII of the Company’s Bylaws provide for the mandatory indemnification of its officers, directors, employees and agents to the extent permitted by Delaware General Corporation Law. The Company has entered into agreements with its officers, directors and certain key employees implementing such indemnification.</w:t>
      </w:r>
    </w:p>
    <w:p>
      <w:pPr>
        <w:spacing w:after="0" w:line="20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2760" w:type="dxa"/>
            <w:vAlign w:val="bottom"/>
            <w:gridSpan w:val="2"/>
          </w:tcPr>
          <w:p>
            <w:pPr>
              <w:ind w:left="120"/>
              <w:spacing w:after="0"/>
              <w:rPr>
                <w:sz w:val="20"/>
                <w:szCs w:val="20"/>
                <w:color w:val="auto"/>
              </w:rPr>
            </w:pPr>
            <w:r>
              <w:rPr>
                <w:rFonts w:ascii="Arial" w:cs="Arial" w:eastAsia="Arial" w:hAnsi="Arial"/>
                <w:sz w:val="18"/>
                <w:szCs w:val="18"/>
                <w:b w:val="1"/>
                <w:bCs w:val="1"/>
                <w:color w:val="auto"/>
              </w:rPr>
              <w:t>Exhibits.</w:t>
            </w:r>
          </w:p>
        </w:tc>
        <w:tc>
          <w:tcPr>
            <w:tcW w:w="3160" w:type="dxa"/>
            <w:vAlign w:val="bottom"/>
          </w:tcPr>
          <w:p>
            <w:pPr>
              <w:spacing w:after="0"/>
              <w:rPr>
                <w:sz w:val="20"/>
                <w:szCs w:val="20"/>
                <w:color w:val="auto"/>
              </w:rPr>
            </w:pPr>
          </w:p>
        </w:tc>
      </w:tr>
      <w:tr>
        <w:trPr>
          <w:trHeight w:val="445"/>
        </w:trPr>
        <w:tc>
          <w:tcPr>
            <w:tcW w:w="700" w:type="dxa"/>
            <w:vAlign w:val="bottom"/>
          </w:tcPr>
          <w:p>
            <w:pPr>
              <w:spacing w:after="0"/>
              <w:rPr>
                <w:sz w:val="20"/>
                <w:szCs w:val="20"/>
                <w:color w:val="auto"/>
              </w:rPr>
            </w:pPr>
            <w:r>
              <w:rPr>
                <w:rFonts w:ascii="Arial" w:cs="Arial" w:eastAsia="Arial" w:hAnsi="Arial"/>
                <w:sz w:val="18"/>
                <w:szCs w:val="18"/>
                <w:color w:val="auto"/>
              </w:rPr>
              <w:t>Exhibit</w:t>
            </w:r>
          </w:p>
        </w:tc>
        <w:tc>
          <w:tcPr>
            <w:tcW w:w="5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37"/>
        </w:trPr>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w:t>
            </w:r>
          </w:p>
        </w:tc>
        <w:tc>
          <w:tcPr>
            <w:tcW w:w="560" w:type="dxa"/>
            <w:vAlign w:val="bottom"/>
            <w:tcBorders>
              <w:bottom w:val="single" w:sz="8" w:color="auto"/>
            </w:tcBorders>
          </w:tcPr>
          <w:p>
            <w:pPr>
              <w:spacing w:after="0"/>
              <w:rPr>
                <w:sz w:val="20"/>
                <w:szCs w:val="20"/>
                <w:color w:val="auto"/>
              </w:rPr>
            </w:pPr>
          </w:p>
        </w:tc>
        <w:tc>
          <w:tcPr>
            <w:tcW w:w="220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2200" w:type="dxa"/>
            <w:vAlign w:val="bottom"/>
          </w:tcPr>
          <w:p>
            <w:pPr>
              <w:spacing w:after="0"/>
              <w:rPr>
                <w:sz w:val="20"/>
                <w:szCs w:val="20"/>
                <w:color w:val="auto"/>
              </w:rPr>
            </w:pPr>
            <w:r>
              <w:rPr>
                <w:rFonts w:ascii="Arial" w:cs="Arial" w:eastAsia="Arial" w:hAnsi="Arial"/>
                <w:sz w:val="18"/>
                <w:szCs w:val="18"/>
                <w:color w:val="auto"/>
                <w:w w:val="92"/>
              </w:rPr>
              <w:t>Micron Technology, Inc. 2007</w:t>
            </w:r>
          </w:p>
        </w:tc>
        <w:tc>
          <w:tcPr>
            <w:tcW w:w="3160" w:type="dxa"/>
            <w:vAlign w:val="bottom"/>
          </w:tcPr>
          <w:p>
            <w:pPr>
              <w:ind w:left="20"/>
              <w:spacing w:after="0"/>
              <w:rPr>
                <w:sz w:val="20"/>
                <w:szCs w:val="20"/>
                <w:color w:val="auto"/>
              </w:rPr>
            </w:pPr>
            <w:r>
              <w:rPr>
                <w:rFonts w:ascii="Arial" w:cs="Arial" w:eastAsia="Arial" w:hAnsi="Arial"/>
                <w:sz w:val="18"/>
                <w:szCs w:val="18"/>
                <w:color w:val="auto"/>
              </w:rPr>
              <w:t>Equity Incentive Plan.</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4.2*</w:t>
            </w:r>
          </w:p>
        </w:tc>
        <w:tc>
          <w:tcPr>
            <w:tcW w:w="560" w:type="dxa"/>
            <w:vAlign w:val="bottom"/>
          </w:tcPr>
          <w:p>
            <w:pPr>
              <w:spacing w:after="0"/>
              <w:rPr>
                <w:sz w:val="24"/>
                <w:szCs w:val="24"/>
                <w:color w:val="auto"/>
              </w:rPr>
            </w:pPr>
          </w:p>
        </w:tc>
        <w:tc>
          <w:tcPr>
            <w:tcW w:w="2200" w:type="dxa"/>
            <w:vAlign w:val="bottom"/>
          </w:tcPr>
          <w:p>
            <w:pPr>
              <w:spacing w:after="0"/>
              <w:rPr>
                <w:sz w:val="20"/>
                <w:szCs w:val="20"/>
                <w:color w:val="auto"/>
              </w:rPr>
            </w:pPr>
            <w:r>
              <w:rPr>
                <w:rFonts w:ascii="Arial" w:cs="Arial" w:eastAsia="Arial" w:hAnsi="Arial"/>
                <w:sz w:val="18"/>
                <w:szCs w:val="18"/>
                <w:color w:val="auto"/>
                <w:w w:val="92"/>
              </w:rPr>
              <w:t>Micron Technology, Inc. 2007</w:t>
            </w:r>
          </w:p>
        </w:tc>
        <w:tc>
          <w:tcPr>
            <w:tcW w:w="3160" w:type="dxa"/>
            <w:vAlign w:val="bottom"/>
          </w:tcPr>
          <w:p>
            <w:pPr>
              <w:ind w:left="20"/>
              <w:spacing w:after="0"/>
              <w:rPr>
                <w:sz w:val="20"/>
                <w:szCs w:val="20"/>
                <w:color w:val="auto"/>
              </w:rPr>
            </w:pPr>
            <w:r>
              <w:rPr>
                <w:rFonts w:ascii="Arial" w:cs="Arial" w:eastAsia="Arial" w:hAnsi="Arial"/>
                <w:sz w:val="18"/>
                <w:szCs w:val="18"/>
                <w:color w:val="auto"/>
                <w:w w:val="91"/>
              </w:rPr>
              <w:t>Equity Incentive Plan Forms of Agreement.</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Opinion of Counsel.</w:t>
            </w:r>
          </w:p>
        </w:tc>
        <w:tc>
          <w:tcPr>
            <w:tcW w:w="3160" w:type="dxa"/>
            <w:vAlign w:val="bottom"/>
          </w:tcPr>
          <w:p>
            <w:pPr>
              <w:spacing w:after="0"/>
              <w:rPr>
                <w:sz w:val="24"/>
                <w:szCs w:val="24"/>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23.1</w:t>
            </w:r>
          </w:p>
        </w:tc>
        <w:tc>
          <w:tcPr>
            <w:tcW w:w="56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23.2</w:t>
            </w:r>
          </w:p>
        </w:tc>
        <w:tc>
          <w:tcPr>
            <w:tcW w:w="56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Consent of Counsel (contained in Exhibit 5.1).</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24.1</w:t>
            </w:r>
          </w:p>
        </w:tc>
        <w:tc>
          <w:tcPr>
            <w:tcW w:w="56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Power of Attorney (included on signature page).</w:t>
            </w:r>
          </w:p>
        </w:tc>
      </w:tr>
    </w:tbl>
    <w:p>
      <w:pPr>
        <w:sectPr>
          <w:pgSz w:w="11900" w:h="16838" w:orient="portrait"/>
          <w:cols w:equalWidth="0" w:num="1">
            <w:col w:w="11420"/>
          </w:cols>
          <w:pgMar w:left="240" w:top="513" w:right="239" w:bottom="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 Incorporated by reference to Registration Statement on Form S-8 (Registration No. 333-148357)</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56" w:lineRule="exact"/>
        <w:rPr>
          <w:sz w:val="20"/>
          <w:szCs w:val="20"/>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Company hereby undertakes:</w:t>
      </w:r>
    </w:p>
    <w:p>
      <w:pPr>
        <w:spacing w:after="0" w:line="252" w:lineRule="exact"/>
        <w:rPr>
          <w:rFonts w:ascii="Arial" w:cs="Arial" w:eastAsia="Arial" w:hAnsi="Arial"/>
          <w:sz w:val="18"/>
          <w:szCs w:val="18"/>
          <w:color w:val="auto"/>
        </w:rPr>
      </w:pPr>
    </w:p>
    <w:p>
      <w:pPr>
        <w:ind w:left="1560" w:hanging="255"/>
        <w:spacing w:after="0"/>
        <w:tabs>
          <w:tab w:leader="none" w:pos="1560" w:val="left"/>
        </w:tabs>
        <w:numPr>
          <w:ilvl w:val="1"/>
          <w:numId w:val="3"/>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36" w:lineRule="exact"/>
        <w:rPr>
          <w:rFonts w:ascii="Arial" w:cs="Arial" w:eastAsia="Arial" w:hAnsi="Arial"/>
          <w:sz w:val="17"/>
          <w:szCs w:val="17"/>
          <w:color w:val="auto"/>
        </w:rPr>
      </w:pPr>
    </w:p>
    <w:p>
      <w:pPr>
        <w:ind w:left="2160" w:hanging="207"/>
        <w:spacing w:after="0"/>
        <w:tabs>
          <w:tab w:leader="none" w:pos="216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52" w:lineRule="exact"/>
        <w:rPr>
          <w:rFonts w:ascii="Arial" w:cs="Arial" w:eastAsia="Arial" w:hAnsi="Arial"/>
          <w:sz w:val="18"/>
          <w:szCs w:val="18"/>
          <w:color w:val="auto"/>
        </w:rPr>
      </w:pPr>
    </w:p>
    <w:p>
      <w:pPr>
        <w:ind w:right="140" w:firstLine="1953"/>
        <w:spacing w:after="0" w:line="293" w:lineRule="auto"/>
        <w:tabs>
          <w:tab w:leader="none" w:pos="2210" w:val="left"/>
        </w:tabs>
        <w:numPr>
          <w:ilvl w:val="2"/>
          <w:numId w:val="3"/>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91" w:lineRule="exact"/>
        <w:rPr>
          <w:rFonts w:ascii="Arial" w:cs="Arial" w:eastAsia="Arial" w:hAnsi="Arial"/>
          <w:sz w:val="16"/>
          <w:szCs w:val="16"/>
          <w:color w:val="auto"/>
        </w:rPr>
      </w:pPr>
    </w:p>
    <w:p>
      <w:pPr>
        <w:ind w:right="620" w:firstLine="1953"/>
        <w:spacing w:after="0" w:line="277" w:lineRule="auto"/>
        <w:tabs>
          <w:tab w:leader="none" w:pos="226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97" w:lineRule="exact"/>
        <w:rPr>
          <w:sz w:val="20"/>
          <w:szCs w:val="20"/>
          <w:color w:val="auto"/>
        </w:rPr>
      </w:pPr>
    </w:p>
    <w:p>
      <w:pPr>
        <w:ind w:right="460" w:firstLine="1297"/>
        <w:spacing w:after="0" w:line="286"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paragraphs (a)(1)(i) and (a)(1)(ii) do not apply if the information required to be included in a post-effective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 by those paragraphs is contained in reports filed with or furnished to the Securities and Exchange Commission by the Company pursuant to Section 13 or Section 15(d) of the Exchange Act that are incorporated by reference in the Registration Statement.</w:t>
      </w:r>
    </w:p>
    <w:p>
      <w:pPr>
        <w:spacing w:after="0" w:line="193" w:lineRule="exact"/>
        <w:rPr>
          <w:sz w:val="20"/>
          <w:szCs w:val="20"/>
          <w:color w:val="auto"/>
        </w:rPr>
      </w:pPr>
    </w:p>
    <w:p>
      <w:pPr>
        <w:ind w:right="100" w:firstLine="1305"/>
        <w:spacing w:after="0" w:line="264" w:lineRule="auto"/>
        <w:tabs>
          <w:tab w:leader="none" w:pos="1548" w:val="left"/>
        </w:tabs>
        <w:numPr>
          <w:ilvl w:val="1"/>
          <w:numId w:val="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Arial" w:cs="Arial" w:eastAsia="Arial" w:hAnsi="Arial"/>
          <w:sz w:val="18"/>
          <w:szCs w:val="18"/>
          <w:color w:val="auto"/>
        </w:rPr>
      </w:pPr>
    </w:p>
    <w:p>
      <w:pPr>
        <w:ind w:right="160" w:firstLine="1305"/>
        <w:spacing w:after="0" w:line="277" w:lineRule="auto"/>
        <w:tabs>
          <w:tab w:leader="none" w:pos="1548"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97" w:lineRule="exact"/>
        <w:rPr>
          <w:rFonts w:ascii="Arial" w:cs="Arial" w:eastAsia="Arial" w:hAnsi="Arial"/>
          <w:sz w:val="18"/>
          <w:szCs w:val="18"/>
          <w:color w:val="auto"/>
        </w:rPr>
      </w:pPr>
    </w:p>
    <w:p>
      <w:pPr>
        <w:ind w:right="40" w:firstLine="332"/>
        <w:spacing w:after="0" w:line="302" w:lineRule="auto"/>
        <w:tabs>
          <w:tab w:leader="none" w:pos="576"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undersigned Company hereby undertakes that, for the purpose of determining any liability under the Securities Act, each filing of the Company’s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6"/>
          <w:szCs w:val="16"/>
          <w:color w:val="auto"/>
        </w:rPr>
      </w:pPr>
    </w:p>
    <w:p>
      <w:pPr>
        <w:ind w:firstLine="332"/>
        <w:spacing w:after="0" w:line="254" w:lineRule="auto"/>
        <w:tabs>
          <w:tab w:leader="none" w:pos="569"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Company pursuant to the foregoing provisions, or otherwise, the Company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 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403860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Act, the Company certifies that it has reasonable grounds to believe that it meets all of the requirements for filing on Form S-8 and has duly caused this Registration Statement to be signed on its behalf by the undersigned, thereunto duly authorized, in the City of Boise, State of Idaho, on this 14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January 2011.</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MICRON TECHNOLOGY,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Ronald C.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2129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12975" cy="8890"/>
                    </a:xfrm>
                    <a:prstGeom prst="rect">
                      <a:avLst/>
                    </a:prstGeom>
                    <a:noFill/>
                  </pic:spPr>
                </pic:pic>
              </a:graphicData>
            </a:graphic>
          </wp:anchor>
        </w:drawing>
      </w:r>
    </w:p>
    <w:p>
      <w:pPr>
        <w:spacing w:after="0" w:line="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Ronald C. Foster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9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56"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Each person whose signature appears below constitutes and appoints Steven R. Appleton and Ronald C. Foster, jointly and severally, his attorneys-in-fact, each with the power of substitution, for him in any and all capacities, to sign any amendments (including post-effective amendments) to this Registration Statement on Form S-8,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21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indicated on January 14, 2011.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89"/>
              </w:rPr>
              <w:t>Signature</w:t>
            </w:r>
          </w:p>
        </w:tc>
        <w:tc>
          <w:tcPr>
            <w:tcW w:w="440" w:type="dxa"/>
            <w:vAlign w:val="bottom"/>
            <w:tcBorders>
              <w:bottom w:val="single" w:sz="8" w:color="auto"/>
            </w:tcBorders>
          </w:tcPr>
          <w:p>
            <w:pPr>
              <w:spacing w:after="0"/>
              <w:rPr>
                <w:sz w:val="20"/>
                <w:szCs w:val="20"/>
                <w:color w:val="auto"/>
              </w:rPr>
            </w:pPr>
          </w:p>
        </w:tc>
        <w:tc>
          <w:tcPr>
            <w:tcW w:w="5260" w:type="dxa"/>
            <w:vAlign w:val="bottom"/>
            <w:tcBorders>
              <w:bottom w:val="single" w:sz="8" w:color="auto"/>
            </w:tcBorders>
          </w:tcPr>
          <w:p>
            <w:pPr>
              <w:ind w:left="2540"/>
              <w:spacing w:after="0"/>
              <w:rPr>
                <w:sz w:val="20"/>
                <w:szCs w:val="20"/>
                <w:color w:val="auto"/>
              </w:rPr>
            </w:pPr>
            <w:r>
              <w:rPr>
                <w:rFonts w:ascii="Arial" w:cs="Arial" w:eastAsia="Arial" w:hAnsi="Arial"/>
                <w:sz w:val="18"/>
                <w:szCs w:val="18"/>
                <w:b w:val="1"/>
                <w:bCs w:val="1"/>
                <w:color w:val="auto"/>
              </w:rPr>
              <w:t>Title</w:t>
            </w:r>
          </w:p>
        </w:tc>
        <w:tc>
          <w:tcPr>
            <w:tcW w:w="2820" w:type="dxa"/>
            <w:vAlign w:val="bottom"/>
            <w:tcBorders>
              <w:bottom w:val="single" w:sz="8" w:color="auto"/>
            </w:tcBorders>
          </w:tcPr>
          <w:p>
            <w:pPr>
              <w:ind w:left="1320"/>
              <w:spacing w:after="0"/>
              <w:rPr>
                <w:sz w:val="20"/>
                <w:szCs w:val="20"/>
                <w:color w:val="auto"/>
              </w:rPr>
            </w:pPr>
            <w:r>
              <w:rPr>
                <w:rFonts w:ascii="Arial" w:cs="Arial" w:eastAsia="Arial" w:hAnsi="Arial"/>
                <w:sz w:val="18"/>
                <w:szCs w:val="18"/>
                <w:b w:val="1"/>
                <w:bCs w:val="1"/>
                <w:color w:val="auto"/>
              </w:rPr>
              <w:t>Date</w:t>
            </w:r>
          </w:p>
        </w:tc>
      </w:tr>
      <w:tr>
        <w:trPr>
          <w:trHeight w:val="439"/>
        </w:trPr>
        <w:tc>
          <w:tcPr>
            <w:tcW w:w="2900" w:type="dxa"/>
            <w:vAlign w:val="bottom"/>
          </w:tcPr>
          <w:p>
            <w:pPr>
              <w:spacing w:after="0"/>
              <w:rPr>
                <w:sz w:val="20"/>
                <w:szCs w:val="20"/>
                <w:color w:val="auto"/>
              </w:rPr>
            </w:pPr>
            <w:r>
              <w:rPr>
                <w:rFonts w:ascii="Arial" w:cs="Arial" w:eastAsia="Arial" w:hAnsi="Arial"/>
                <w:sz w:val="18"/>
                <w:szCs w:val="18"/>
                <w:i w:val="1"/>
                <w:iCs w:val="1"/>
                <w:color w:val="auto"/>
              </w:rPr>
              <w:t>/s/ Steven R. Appleton</w:t>
            </w:r>
          </w:p>
        </w:tc>
        <w:tc>
          <w:tcPr>
            <w:tcW w:w="5700" w:type="dxa"/>
            <w:vAlign w:val="bottom"/>
            <w:gridSpan w:val="2"/>
          </w:tcPr>
          <w:p>
            <w:pPr>
              <w:ind w:left="440"/>
              <w:spacing w:after="0"/>
              <w:rPr>
                <w:sz w:val="20"/>
                <w:szCs w:val="20"/>
                <w:color w:val="auto"/>
              </w:rPr>
            </w:pPr>
            <w:r>
              <w:rPr>
                <w:rFonts w:ascii="Arial" w:cs="Arial" w:eastAsia="Arial" w:hAnsi="Arial"/>
                <w:sz w:val="18"/>
                <w:szCs w:val="18"/>
                <w:color w:val="auto"/>
              </w:rPr>
              <w:t>Chairman of the Board, Chief Executive Officer</w:t>
            </w:r>
          </w:p>
        </w:tc>
        <w:tc>
          <w:tcPr>
            <w:tcW w:w="2820" w:type="dxa"/>
            <w:vAlign w:val="bottom"/>
          </w:tcPr>
          <w:p>
            <w:pPr>
              <w:ind w:left="180"/>
              <w:spacing w:after="0"/>
              <w:rPr>
                <w:sz w:val="20"/>
                <w:szCs w:val="20"/>
                <w:color w:val="auto"/>
              </w:rPr>
            </w:pPr>
            <w:r>
              <w:rPr>
                <w:rFonts w:ascii="Arial" w:cs="Arial" w:eastAsia="Arial" w:hAnsi="Arial"/>
                <w:sz w:val="18"/>
                <w:szCs w:val="18"/>
                <w:color w:val="auto"/>
              </w:rPr>
              <w:t>January 14, 2011</w:t>
            </w:r>
          </w:p>
        </w:tc>
      </w:tr>
      <w:tr>
        <w:trPr>
          <w:trHeight w:val="230"/>
        </w:trPr>
        <w:tc>
          <w:tcPr>
            <w:tcW w:w="2900" w:type="dxa"/>
            <w:vAlign w:val="bottom"/>
            <w:tcBorders>
              <w:top w:val="single" w:sz="8" w:color="auto"/>
            </w:tcBorders>
          </w:tcPr>
          <w:p>
            <w:pPr>
              <w:jc w:val="center"/>
              <w:ind w:left="350"/>
              <w:spacing w:after="0"/>
              <w:rPr>
                <w:sz w:val="20"/>
                <w:szCs w:val="20"/>
                <w:color w:val="auto"/>
              </w:rPr>
            </w:pPr>
            <w:r>
              <w:rPr>
                <w:rFonts w:ascii="Arial" w:cs="Arial" w:eastAsia="Arial" w:hAnsi="Arial"/>
                <w:sz w:val="18"/>
                <w:szCs w:val="18"/>
                <w:color w:val="auto"/>
                <w:w w:val="91"/>
              </w:rPr>
              <w:t>Steven R. Appleton</w:t>
            </w:r>
          </w:p>
        </w:tc>
        <w:tc>
          <w:tcPr>
            <w:tcW w:w="440" w:type="dxa"/>
            <w:vAlign w:val="bottom"/>
            <w:tcBorders>
              <w:top w:val="single" w:sz="8" w:color="auto"/>
            </w:tcBorders>
          </w:tcPr>
          <w:p>
            <w:pPr>
              <w:spacing w:after="0"/>
              <w:rPr>
                <w:sz w:val="20"/>
                <w:szCs w:val="20"/>
                <w:color w:val="auto"/>
              </w:rPr>
            </w:pPr>
          </w:p>
        </w:tc>
        <w:tc>
          <w:tcPr>
            <w:tcW w:w="526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c>
          <w:tcPr>
            <w:tcW w:w="2820" w:type="dxa"/>
            <w:vAlign w:val="bottom"/>
          </w:tcPr>
          <w:p>
            <w:pPr>
              <w:spacing w:after="0"/>
              <w:rPr>
                <w:sz w:val="20"/>
                <w:szCs w:val="20"/>
                <w:color w:val="auto"/>
              </w:rPr>
            </w:pPr>
          </w:p>
        </w:tc>
      </w:tr>
      <w:tr>
        <w:trPr>
          <w:trHeight w:val="404"/>
        </w:trPr>
        <w:tc>
          <w:tcPr>
            <w:tcW w:w="2900" w:type="dxa"/>
            <w:vAlign w:val="bottom"/>
          </w:tcPr>
          <w:p>
            <w:pPr>
              <w:spacing w:after="0"/>
              <w:rPr>
                <w:sz w:val="24"/>
                <w:szCs w:val="24"/>
                <w:color w:val="auto"/>
              </w:rPr>
            </w:pPr>
          </w:p>
        </w:tc>
        <w:tc>
          <w:tcPr>
            <w:tcW w:w="5700" w:type="dxa"/>
            <w:vAlign w:val="bottom"/>
            <w:gridSpan w:val="2"/>
          </w:tcPr>
          <w:p>
            <w:pPr>
              <w:ind w:left="440"/>
              <w:spacing w:after="0"/>
              <w:rPr>
                <w:sz w:val="20"/>
                <w:szCs w:val="20"/>
                <w:color w:val="auto"/>
              </w:rPr>
            </w:pPr>
            <w:r>
              <w:rPr>
                <w:rFonts w:ascii="Arial" w:cs="Arial" w:eastAsia="Arial" w:hAnsi="Arial"/>
                <w:sz w:val="18"/>
                <w:szCs w:val="18"/>
                <w:color w:val="auto"/>
                <w:w w:val="95"/>
              </w:rPr>
              <w:t>Vice President of Finance, Chief Financial Officer (Principal Financial</w:t>
            </w:r>
          </w:p>
        </w:tc>
        <w:tc>
          <w:tcPr>
            <w:tcW w:w="2820" w:type="dxa"/>
            <w:vAlign w:val="bottom"/>
          </w:tcPr>
          <w:p>
            <w:pPr>
              <w:ind w:left="180"/>
              <w:spacing w:after="0"/>
              <w:rPr>
                <w:sz w:val="20"/>
                <w:szCs w:val="20"/>
                <w:color w:val="auto"/>
              </w:rPr>
            </w:pPr>
            <w:r>
              <w:rPr>
                <w:rFonts w:ascii="Arial" w:cs="Arial" w:eastAsia="Arial" w:hAnsi="Arial"/>
                <w:sz w:val="18"/>
                <w:szCs w:val="18"/>
                <w:color w:val="auto"/>
              </w:rPr>
              <w:t>January 14, 2011</w:t>
            </w:r>
          </w:p>
        </w:tc>
      </w:tr>
      <w:tr>
        <w:trPr>
          <w:trHeight w:val="237"/>
        </w:trPr>
        <w:tc>
          <w:tcPr>
            <w:tcW w:w="2900" w:type="dxa"/>
            <w:vAlign w:val="bottom"/>
          </w:tcPr>
          <w:p>
            <w:pPr>
              <w:spacing w:after="0"/>
              <w:rPr>
                <w:sz w:val="20"/>
                <w:szCs w:val="20"/>
                <w:color w:val="auto"/>
              </w:rPr>
            </w:pPr>
            <w:r>
              <w:rPr>
                <w:rFonts w:ascii="Arial" w:cs="Arial" w:eastAsia="Arial" w:hAnsi="Arial"/>
                <w:sz w:val="18"/>
                <w:szCs w:val="18"/>
                <w:i w:val="1"/>
                <w:iCs w:val="1"/>
                <w:color w:val="auto"/>
              </w:rPr>
              <w:t>/s/ Ronald C. Foster</w:t>
            </w:r>
          </w:p>
        </w:tc>
        <w:tc>
          <w:tcPr>
            <w:tcW w:w="5700" w:type="dxa"/>
            <w:vAlign w:val="bottom"/>
            <w:gridSpan w:val="2"/>
          </w:tcPr>
          <w:p>
            <w:pPr>
              <w:ind w:left="440"/>
              <w:spacing w:after="0"/>
              <w:rPr>
                <w:sz w:val="20"/>
                <w:szCs w:val="20"/>
                <w:color w:val="auto"/>
              </w:rPr>
            </w:pPr>
            <w:r>
              <w:rPr>
                <w:rFonts w:ascii="Arial" w:cs="Arial" w:eastAsia="Arial" w:hAnsi="Arial"/>
                <w:sz w:val="18"/>
                <w:szCs w:val="18"/>
                <w:color w:val="auto"/>
              </w:rPr>
              <w:t>Officer and Principal Accounting Officer)</w:t>
            </w:r>
          </w:p>
        </w:tc>
        <w:tc>
          <w:tcPr>
            <w:tcW w:w="2820" w:type="dxa"/>
            <w:vAlign w:val="bottom"/>
          </w:tcPr>
          <w:p>
            <w:pPr>
              <w:spacing w:after="0"/>
              <w:rPr>
                <w:sz w:val="20"/>
                <w:szCs w:val="20"/>
                <w:color w:val="auto"/>
              </w:rPr>
            </w:pPr>
          </w:p>
        </w:tc>
      </w:tr>
      <w:tr>
        <w:trPr>
          <w:trHeight w:val="230"/>
        </w:trPr>
        <w:tc>
          <w:tcPr>
            <w:tcW w:w="2900" w:type="dxa"/>
            <w:vAlign w:val="bottom"/>
            <w:tcBorders>
              <w:top w:val="single" w:sz="8" w:color="auto"/>
            </w:tcBorders>
          </w:tcPr>
          <w:p>
            <w:pPr>
              <w:ind w:left="1100"/>
              <w:spacing w:after="0"/>
              <w:rPr>
                <w:sz w:val="20"/>
                <w:szCs w:val="20"/>
                <w:color w:val="auto"/>
              </w:rPr>
            </w:pPr>
            <w:r>
              <w:rPr>
                <w:rFonts w:ascii="Arial" w:cs="Arial" w:eastAsia="Arial" w:hAnsi="Arial"/>
                <w:sz w:val="18"/>
                <w:szCs w:val="18"/>
                <w:color w:val="auto"/>
              </w:rPr>
              <w:t>Ronald C. Foster</w:t>
            </w:r>
          </w:p>
        </w:tc>
        <w:tc>
          <w:tcPr>
            <w:tcW w:w="440" w:type="dxa"/>
            <w:vAlign w:val="bottom"/>
            <w:tcBorders>
              <w:top w:val="single" w:sz="8" w:color="auto"/>
            </w:tcBorders>
          </w:tcPr>
          <w:p>
            <w:pPr>
              <w:spacing w:after="0"/>
              <w:rPr>
                <w:sz w:val="20"/>
                <w:szCs w:val="20"/>
                <w:color w:val="auto"/>
              </w:rPr>
            </w:pPr>
          </w:p>
        </w:tc>
        <w:tc>
          <w:tcPr>
            <w:tcW w:w="5260" w:type="dxa"/>
            <w:vAlign w:val="bottom"/>
          </w:tcPr>
          <w:p>
            <w:pPr>
              <w:spacing w:after="0"/>
              <w:rPr>
                <w:sz w:val="20"/>
                <w:szCs w:val="20"/>
                <w:color w:val="auto"/>
              </w:rPr>
            </w:pPr>
          </w:p>
        </w:tc>
        <w:tc>
          <w:tcPr>
            <w:tcW w:w="2820" w:type="dxa"/>
            <w:vAlign w:val="bottom"/>
          </w:tcPr>
          <w:p>
            <w:pPr>
              <w:spacing w:after="0"/>
              <w:rPr>
                <w:sz w:val="20"/>
                <w:szCs w:val="20"/>
                <w:color w:val="auto"/>
              </w:rPr>
            </w:pPr>
          </w:p>
        </w:tc>
      </w:tr>
      <w:tr>
        <w:trPr>
          <w:trHeight w:val="425"/>
        </w:trPr>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Teruaki Aoki</w:t>
            </w:r>
          </w:p>
        </w:tc>
        <w:tc>
          <w:tcPr>
            <w:tcW w:w="440" w:type="dxa"/>
            <w:vAlign w:val="bottom"/>
            <w:tcBorders>
              <w:bottom w:val="single" w:sz="8" w:color="auto"/>
            </w:tcBorders>
          </w:tcPr>
          <w:p>
            <w:pPr>
              <w:spacing w:after="0"/>
              <w:rPr>
                <w:sz w:val="24"/>
                <w:szCs w:val="24"/>
                <w:color w:val="auto"/>
              </w:rPr>
            </w:pPr>
          </w:p>
        </w:tc>
        <w:tc>
          <w:tcPr>
            <w:tcW w:w="526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30"/>
        </w:trPr>
        <w:tc>
          <w:tcPr>
            <w:tcW w:w="2900" w:type="dxa"/>
            <w:vAlign w:val="bottom"/>
          </w:tcPr>
          <w:p>
            <w:pPr>
              <w:jc w:val="center"/>
              <w:ind w:left="370"/>
              <w:spacing w:after="0"/>
              <w:rPr>
                <w:sz w:val="20"/>
                <w:szCs w:val="20"/>
                <w:color w:val="auto"/>
              </w:rPr>
            </w:pPr>
            <w:r>
              <w:rPr>
                <w:rFonts w:ascii="Arial" w:cs="Arial" w:eastAsia="Arial" w:hAnsi="Arial"/>
                <w:sz w:val="18"/>
                <w:szCs w:val="18"/>
                <w:color w:val="auto"/>
                <w:w w:val="95"/>
              </w:rPr>
              <w:t>Teruaki Aoki</w:t>
            </w:r>
          </w:p>
        </w:tc>
        <w:tc>
          <w:tcPr>
            <w:tcW w:w="44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Director</w:t>
            </w:r>
          </w:p>
        </w:tc>
        <w:tc>
          <w:tcPr>
            <w:tcW w:w="2820" w:type="dxa"/>
            <w:vAlign w:val="bottom"/>
          </w:tcPr>
          <w:p>
            <w:pPr>
              <w:ind w:left="180"/>
              <w:spacing w:after="0"/>
              <w:rPr>
                <w:sz w:val="20"/>
                <w:szCs w:val="20"/>
                <w:color w:val="auto"/>
              </w:rPr>
            </w:pPr>
            <w:r>
              <w:rPr>
                <w:rFonts w:ascii="Arial" w:cs="Arial" w:eastAsia="Arial" w:hAnsi="Arial"/>
                <w:sz w:val="18"/>
                <w:szCs w:val="18"/>
                <w:color w:val="auto"/>
              </w:rPr>
              <w:t>January 14, 2011</w:t>
            </w:r>
          </w:p>
        </w:tc>
      </w:tr>
      <w:tr>
        <w:trPr>
          <w:trHeight w:val="425"/>
        </w:trPr>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James W. Bagley</w:t>
            </w:r>
          </w:p>
        </w:tc>
        <w:tc>
          <w:tcPr>
            <w:tcW w:w="440" w:type="dxa"/>
            <w:vAlign w:val="bottom"/>
            <w:tcBorders>
              <w:bottom w:val="single" w:sz="8" w:color="auto"/>
            </w:tcBorders>
          </w:tcPr>
          <w:p>
            <w:pPr>
              <w:spacing w:after="0"/>
              <w:rPr>
                <w:sz w:val="24"/>
                <w:szCs w:val="24"/>
                <w:color w:val="auto"/>
              </w:rPr>
            </w:pPr>
          </w:p>
        </w:tc>
        <w:tc>
          <w:tcPr>
            <w:tcW w:w="526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30"/>
        </w:trPr>
        <w:tc>
          <w:tcPr>
            <w:tcW w:w="2900" w:type="dxa"/>
            <w:vAlign w:val="bottom"/>
          </w:tcPr>
          <w:p>
            <w:pPr>
              <w:jc w:val="center"/>
              <w:ind w:left="370"/>
              <w:spacing w:after="0"/>
              <w:rPr>
                <w:sz w:val="20"/>
                <w:szCs w:val="20"/>
                <w:color w:val="auto"/>
              </w:rPr>
            </w:pPr>
            <w:r>
              <w:rPr>
                <w:rFonts w:ascii="Arial" w:cs="Arial" w:eastAsia="Arial" w:hAnsi="Arial"/>
                <w:sz w:val="18"/>
                <w:szCs w:val="18"/>
                <w:color w:val="auto"/>
                <w:w w:val="88"/>
              </w:rPr>
              <w:t>James W. Bagley</w:t>
            </w:r>
          </w:p>
        </w:tc>
        <w:tc>
          <w:tcPr>
            <w:tcW w:w="44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Director</w:t>
            </w:r>
          </w:p>
        </w:tc>
        <w:tc>
          <w:tcPr>
            <w:tcW w:w="2820" w:type="dxa"/>
            <w:vAlign w:val="bottom"/>
          </w:tcPr>
          <w:p>
            <w:pPr>
              <w:ind w:left="180"/>
              <w:spacing w:after="0"/>
              <w:rPr>
                <w:sz w:val="20"/>
                <w:szCs w:val="20"/>
                <w:color w:val="auto"/>
              </w:rPr>
            </w:pPr>
            <w:r>
              <w:rPr>
                <w:rFonts w:ascii="Arial" w:cs="Arial" w:eastAsia="Arial" w:hAnsi="Arial"/>
                <w:sz w:val="18"/>
                <w:szCs w:val="18"/>
                <w:color w:val="auto"/>
              </w:rPr>
              <w:t>January 14, 2011</w:t>
            </w:r>
          </w:p>
        </w:tc>
      </w:tr>
      <w:tr>
        <w:trPr>
          <w:trHeight w:val="425"/>
        </w:trPr>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Robert L. Bailey</w:t>
            </w:r>
          </w:p>
        </w:tc>
        <w:tc>
          <w:tcPr>
            <w:tcW w:w="440" w:type="dxa"/>
            <w:vAlign w:val="bottom"/>
            <w:tcBorders>
              <w:bottom w:val="single" w:sz="8" w:color="auto"/>
            </w:tcBorders>
          </w:tcPr>
          <w:p>
            <w:pPr>
              <w:spacing w:after="0"/>
              <w:rPr>
                <w:sz w:val="24"/>
                <w:szCs w:val="24"/>
                <w:color w:val="auto"/>
              </w:rPr>
            </w:pPr>
          </w:p>
        </w:tc>
        <w:tc>
          <w:tcPr>
            <w:tcW w:w="526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30"/>
        </w:trPr>
        <w:tc>
          <w:tcPr>
            <w:tcW w:w="2900" w:type="dxa"/>
            <w:vAlign w:val="bottom"/>
          </w:tcPr>
          <w:p>
            <w:pPr>
              <w:jc w:val="center"/>
              <w:ind w:left="370"/>
              <w:spacing w:after="0"/>
              <w:rPr>
                <w:sz w:val="20"/>
                <w:szCs w:val="20"/>
                <w:color w:val="auto"/>
              </w:rPr>
            </w:pPr>
            <w:r>
              <w:rPr>
                <w:rFonts w:ascii="Arial" w:cs="Arial" w:eastAsia="Arial" w:hAnsi="Arial"/>
                <w:sz w:val="18"/>
                <w:szCs w:val="18"/>
                <w:color w:val="auto"/>
                <w:w w:val="93"/>
              </w:rPr>
              <w:t>Robert L. Bailey</w:t>
            </w:r>
          </w:p>
        </w:tc>
        <w:tc>
          <w:tcPr>
            <w:tcW w:w="44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Director</w:t>
            </w:r>
          </w:p>
        </w:tc>
        <w:tc>
          <w:tcPr>
            <w:tcW w:w="2820" w:type="dxa"/>
            <w:vAlign w:val="bottom"/>
          </w:tcPr>
          <w:p>
            <w:pPr>
              <w:ind w:left="180"/>
              <w:spacing w:after="0"/>
              <w:rPr>
                <w:sz w:val="20"/>
                <w:szCs w:val="20"/>
                <w:color w:val="auto"/>
              </w:rPr>
            </w:pPr>
            <w:r>
              <w:rPr>
                <w:rFonts w:ascii="Arial" w:cs="Arial" w:eastAsia="Arial" w:hAnsi="Arial"/>
                <w:sz w:val="18"/>
                <w:szCs w:val="18"/>
                <w:color w:val="auto"/>
              </w:rPr>
              <w:t>January 14, 2011</w:t>
            </w:r>
          </w:p>
        </w:tc>
      </w:tr>
      <w:tr>
        <w:trPr>
          <w:trHeight w:val="425"/>
        </w:trPr>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Mercedes Johnson</w:t>
            </w:r>
          </w:p>
        </w:tc>
        <w:tc>
          <w:tcPr>
            <w:tcW w:w="440" w:type="dxa"/>
            <w:vAlign w:val="bottom"/>
            <w:tcBorders>
              <w:bottom w:val="single" w:sz="8" w:color="auto"/>
            </w:tcBorders>
          </w:tcPr>
          <w:p>
            <w:pPr>
              <w:spacing w:after="0"/>
              <w:rPr>
                <w:sz w:val="24"/>
                <w:szCs w:val="24"/>
                <w:color w:val="auto"/>
              </w:rPr>
            </w:pPr>
          </w:p>
        </w:tc>
        <w:tc>
          <w:tcPr>
            <w:tcW w:w="526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30"/>
        </w:trPr>
        <w:tc>
          <w:tcPr>
            <w:tcW w:w="2900" w:type="dxa"/>
            <w:vAlign w:val="bottom"/>
          </w:tcPr>
          <w:p>
            <w:pPr>
              <w:jc w:val="center"/>
              <w:ind w:left="350"/>
              <w:spacing w:after="0"/>
              <w:rPr>
                <w:sz w:val="20"/>
                <w:szCs w:val="20"/>
                <w:color w:val="auto"/>
              </w:rPr>
            </w:pPr>
            <w:r>
              <w:rPr>
                <w:rFonts w:ascii="Arial" w:cs="Arial" w:eastAsia="Arial" w:hAnsi="Arial"/>
                <w:sz w:val="18"/>
                <w:szCs w:val="18"/>
                <w:color w:val="auto"/>
                <w:w w:val="88"/>
              </w:rPr>
              <w:t>Mercedes Johnson</w:t>
            </w:r>
          </w:p>
        </w:tc>
        <w:tc>
          <w:tcPr>
            <w:tcW w:w="44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Director</w:t>
            </w:r>
          </w:p>
        </w:tc>
        <w:tc>
          <w:tcPr>
            <w:tcW w:w="2820" w:type="dxa"/>
            <w:vAlign w:val="bottom"/>
          </w:tcPr>
          <w:p>
            <w:pPr>
              <w:ind w:left="180"/>
              <w:spacing w:after="0"/>
              <w:rPr>
                <w:sz w:val="20"/>
                <w:szCs w:val="20"/>
                <w:color w:val="auto"/>
              </w:rPr>
            </w:pPr>
            <w:r>
              <w:rPr>
                <w:rFonts w:ascii="Arial" w:cs="Arial" w:eastAsia="Arial" w:hAnsi="Arial"/>
                <w:sz w:val="18"/>
                <w:szCs w:val="18"/>
                <w:color w:val="auto"/>
              </w:rPr>
              <w:t>January 14, 2011</w:t>
            </w:r>
          </w:p>
        </w:tc>
      </w:tr>
      <w:tr>
        <w:trPr>
          <w:trHeight w:val="425"/>
        </w:trPr>
        <w:tc>
          <w:tcPr>
            <w:tcW w:w="2900" w:type="dxa"/>
            <w:vAlign w:val="bottom"/>
          </w:tcPr>
          <w:p>
            <w:pPr>
              <w:spacing w:after="0"/>
              <w:rPr>
                <w:sz w:val="24"/>
                <w:szCs w:val="24"/>
                <w:color w:val="auto"/>
              </w:rPr>
            </w:pPr>
          </w:p>
        </w:tc>
        <w:tc>
          <w:tcPr>
            <w:tcW w:w="5700" w:type="dxa"/>
            <w:vAlign w:val="bottom"/>
            <w:gridSpan w:val="2"/>
          </w:tcPr>
          <w:p>
            <w:pPr>
              <w:spacing w:after="0"/>
              <w:rPr>
                <w:sz w:val="24"/>
                <w:szCs w:val="24"/>
                <w:color w:val="auto"/>
              </w:rPr>
            </w:pPr>
          </w:p>
        </w:tc>
        <w:tc>
          <w:tcPr>
            <w:tcW w:w="2820" w:type="dxa"/>
            <w:vAlign w:val="bottom"/>
          </w:tcPr>
          <w:p>
            <w:pPr>
              <w:spacing w:after="0"/>
              <w:rPr>
                <w:sz w:val="24"/>
                <w:szCs w:val="24"/>
                <w:color w:val="auto"/>
              </w:rPr>
            </w:pPr>
          </w:p>
        </w:tc>
      </w:tr>
      <w:tr>
        <w:trPr>
          <w:trHeight w:val="230"/>
        </w:trPr>
        <w:tc>
          <w:tcPr>
            <w:tcW w:w="2900" w:type="dxa"/>
            <w:vAlign w:val="bottom"/>
            <w:tcBorders>
              <w:top w:val="single" w:sz="8" w:color="auto"/>
            </w:tcBorders>
          </w:tcPr>
          <w:p>
            <w:pPr>
              <w:jc w:val="center"/>
              <w:ind w:left="370"/>
              <w:spacing w:after="0"/>
              <w:rPr>
                <w:sz w:val="20"/>
                <w:szCs w:val="20"/>
                <w:color w:val="auto"/>
              </w:rPr>
            </w:pPr>
            <w:r>
              <w:rPr>
                <w:rFonts w:ascii="Arial" w:cs="Arial" w:eastAsia="Arial" w:hAnsi="Arial"/>
                <w:sz w:val="18"/>
                <w:szCs w:val="18"/>
                <w:color w:val="auto"/>
                <w:w w:val="93"/>
              </w:rPr>
              <w:t>Lawrence N. Mondry</w:t>
            </w:r>
          </w:p>
        </w:tc>
        <w:tc>
          <w:tcPr>
            <w:tcW w:w="440" w:type="dxa"/>
            <w:vAlign w:val="bottom"/>
            <w:tcBorders>
              <w:top w:val="single" w:sz="8" w:color="auto"/>
            </w:tcBorders>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Director</w:t>
            </w:r>
          </w:p>
        </w:tc>
        <w:tc>
          <w:tcPr>
            <w:tcW w:w="2820" w:type="dxa"/>
            <w:vAlign w:val="bottom"/>
          </w:tcPr>
          <w:p>
            <w:pPr>
              <w:spacing w:after="0"/>
              <w:rPr>
                <w:sz w:val="20"/>
                <w:szCs w:val="20"/>
                <w:color w:val="auto"/>
              </w:rPr>
            </w:pPr>
          </w:p>
        </w:tc>
      </w:tr>
      <w:tr>
        <w:trPr>
          <w:trHeight w:val="425"/>
        </w:trPr>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Robert E. Switz</w:t>
            </w:r>
          </w:p>
        </w:tc>
        <w:tc>
          <w:tcPr>
            <w:tcW w:w="440" w:type="dxa"/>
            <w:vAlign w:val="bottom"/>
            <w:tcBorders>
              <w:bottom w:val="single" w:sz="8" w:color="auto"/>
            </w:tcBorders>
          </w:tcPr>
          <w:p>
            <w:pPr>
              <w:spacing w:after="0"/>
              <w:rPr>
                <w:sz w:val="24"/>
                <w:szCs w:val="24"/>
                <w:color w:val="auto"/>
              </w:rPr>
            </w:pPr>
          </w:p>
        </w:tc>
        <w:tc>
          <w:tcPr>
            <w:tcW w:w="526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30"/>
        </w:trPr>
        <w:tc>
          <w:tcPr>
            <w:tcW w:w="2900" w:type="dxa"/>
            <w:vAlign w:val="bottom"/>
          </w:tcPr>
          <w:p>
            <w:pPr>
              <w:jc w:val="center"/>
              <w:ind w:left="350"/>
              <w:spacing w:after="0"/>
              <w:rPr>
                <w:sz w:val="20"/>
                <w:szCs w:val="20"/>
                <w:color w:val="auto"/>
              </w:rPr>
            </w:pPr>
            <w:r>
              <w:rPr>
                <w:rFonts w:ascii="Arial" w:cs="Arial" w:eastAsia="Arial" w:hAnsi="Arial"/>
                <w:sz w:val="18"/>
                <w:szCs w:val="18"/>
                <w:color w:val="auto"/>
                <w:w w:val="91"/>
              </w:rPr>
              <w:t>Robert E. Switz</w:t>
            </w:r>
          </w:p>
        </w:tc>
        <w:tc>
          <w:tcPr>
            <w:tcW w:w="44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Director</w:t>
            </w:r>
          </w:p>
        </w:tc>
        <w:tc>
          <w:tcPr>
            <w:tcW w:w="2820" w:type="dxa"/>
            <w:vAlign w:val="bottom"/>
          </w:tcPr>
          <w:p>
            <w:pPr>
              <w:ind w:left="180"/>
              <w:spacing w:after="0"/>
              <w:rPr>
                <w:sz w:val="20"/>
                <w:szCs w:val="20"/>
                <w:color w:val="auto"/>
              </w:rPr>
            </w:pPr>
            <w:r>
              <w:rPr>
                <w:rFonts w:ascii="Arial" w:cs="Arial" w:eastAsia="Arial" w:hAnsi="Arial"/>
                <w:sz w:val="18"/>
                <w:szCs w:val="18"/>
                <w:color w:val="auto"/>
              </w:rPr>
              <w:t>January 14, 2011</w:t>
            </w:r>
          </w:p>
        </w:tc>
      </w:tr>
      <w:tr>
        <w:trPr>
          <w:trHeight w:val="887"/>
        </w:trPr>
        <w:tc>
          <w:tcPr>
            <w:tcW w:w="290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5260" w:type="dxa"/>
            <w:vAlign w:val="bottom"/>
            <w:tcBorders>
              <w:bottom w:val="single" w:sz="8" w:color="808080"/>
            </w:tcBorders>
          </w:tcPr>
          <w:p>
            <w:pPr>
              <w:spacing w:after="0"/>
              <w:rPr>
                <w:sz w:val="24"/>
                <w:szCs w:val="24"/>
                <w:color w:val="auto"/>
              </w:rPr>
            </w:pPr>
          </w:p>
        </w:tc>
        <w:tc>
          <w:tcPr>
            <w:tcW w:w="28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140" w:type="dxa"/>
            <w:vAlign w:val="bottom"/>
          </w:tcPr>
          <w:p>
            <w:pPr>
              <w:ind w:left="1440"/>
              <w:spacing w:after="0"/>
              <w:rPr>
                <w:sz w:val="20"/>
                <w:szCs w:val="20"/>
                <w:color w:val="auto"/>
              </w:rPr>
            </w:pPr>
            <w:r>
              <w:rPr>
                <w:rFonts w:ascii="Arial" w:cs="Arial" w:eastAsia="Arial" w:hAnsi="Arial"/>
                <w:sz w:val="18"/>
                <w:szCs w:val="18"/>
                <w:b w:val="1"/>
                <w:bCs w:val="1"/>
                <w:color w:val="auto"/>
              </w:rPr>
              <w:t>EXHIBIT INDEX</w:t>
            </w:r>
          </w:p>
        </w:tc>
      </w:tr>
      <w:tr>
        <w:trPr>
          <w:trHeight w:val="441"/>
        </w:trPr>
        <w:tc>
          <w:tcPr>
            <w:tcW w:w="13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20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41"/>
        </w:trPr>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220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3140" w:type="dxa"/>
            <w:vAlign w:val="bottom"/>
          </w:tcPr>
          <w:p>
            <w:pPr>
              <w:spacing w:after="0"/>
              <w:rPr>
                <w:sz w:val="20"/>
                <w:szCs w:val="20"/>
                <w:color w:val="auto"/>
              </w:rPr>
            </w:pP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4.1</w:t>
            </w:r>
          </w:p>
        </w:tc>
        <w:tc>
          <w:tcPr>
            <w:tcW w:w="2200" w:type="dxa"/>
            <w:vAlign w:val="bottom"/>
          </w:tcPr>
          <w:p>
            <w:pPr>
              <w:spacing w:after="0"/>
              <w:rPr>
                <w:sz w:val="20"/>
                <w:szCs w:val="20"/>
                <w:color w:val="auto"/>
              </w:rPr>
            </w:pPr>
            <w:r>
              <w:rPr>
                <w:rFonts w:ascii="Arial" w:cs="Arial" w:eastAsia="Arial" w:hAnsi="Arial"/>
                <w:sz w:val="18"/>
                <w:szCs w:val="18"/>
                <w:color w:val="auto"/>
                <w:w w:val="92"/>
              </w:rPr>
              <w:t>Micron Technology, Inc. 2007</w:t>
            </w:r>
          </w:p>
        </w:tc>
        <w:tc>
          <w:tcPr>
            <w:tcW w:w="3140" w:type="dxa"/>
            <w:vAlign w:val="bottom"/>
          </w:tcPr>
          <w:p>
            <w:pPr>
              <w:ind w:left="40"/>
              <w:spacing w:after="0"/>
              <w:rPr>
                <w:sz w:val="20"/>
                <w:szCs w:val="20"/>
                <w:color w:val="auto"/>
              </w:rPr>
            </w:pPr>
            <w:r>
              <w:rPr>
                <w:rFonts w:ascii="Arial" w:cs="Arial" w:eastAsia="Arial" w:hAnsi="Arial"/>
                <w:sz w:val="18"/>
                <w:szCs w:val="18"/>
                <w:color w:val="auto"/>
              </w:rPr>
              <w:t>Equity Incentive Plan.</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4.2*</w:t>
            </w:r>
          </w:p>
        </w:tc>
        <w:tc>
          <w:tcPr>
            <w:tcW w:w="2200" w:type="dxa"/>
            <w:vAlign w:val="bottom"/>
          </w:tcPr>
          <w:p>
            <w:pPr>
              <w:spacing w:after="0"/>
              <w:rPr>
                <w:sz w:val="20"/>
                <w:szCs w:val="20"/>
                <w:color w:val="auto"/>
              </w:rPr>
            </w:pPr>
            <w:r>
              <w:rPr>
                <w:rFonts w:ascii="Arial" w:cs="Arial" w:eastAsia="Arial" w:hAnsi="Arial"/>
                <w:sz w:val="18"/>
                <w:szCs w:val="18"/>
                <w:color w:val="auto"/>
                <w:w w:val="92"/>
              </w:rPr>
              <w:t>Micron Technology, Inc. 2007</w:t>
            </w:r>
          </w:p>
        </w:tc>
        <w:tc>
          <w:tcPr>
            <w:tcW w:w="3140" w:type="dxa"/>
            <w:vAlign w:val="bottom"/>
          </w:tcPr>
          <w:p>
            <w:pPr>
              <w:ind w:left="40"/>
              <w:spacing w:after="0"/>
              <w:rPr>
                <w:sz w:val="20"/>
                <w:szCs w:val="20"/>
                <w:color w:val="auto"/>
              </w:rPr>
            </w:pPr>
            <w:r>
              <w:rPr>
                <w:rFonts w:ascii="Arial" w:cs="Arial" w:eastAsia="Arial" w:hAnsi="Arial"/>
                <w:sz w:val="18"/>
                <w:szCs w:val="18"/>
                <w:color w:val="auto"/>
                <w:w w:val="91"/>
              </w:rPr>
              <w:t>Equity Incentive Plan Forms of Agreement</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5.1</w:t>
            </w:r>
          </w:p>
        </w:tc>
        <w:tc>
          <w:tcPr>
            <w:tcW w:w="2200" w:type="dxa"/>
            <w:vAlign w:val="bottom"/>
          </w:tcPr>
          <w:p>
            <w:pPr>
              <w:spacing w:after="0"/>
              <w:rPr>
                <w:sz w:val="20"/>
                <w:szCs w:val="20"/>
                <w:color w:val="auto"/>
              </w:rPr>
            </w:pPr>
            <w:r>
              <w:rPr>
                <w:rFonts w:ascii="Arial" w:cs="Arial" w:eastAsia="Arial" w:hAnsi="Arial"/>
                <w:sz w:val="18"/>
                <w:szCs w:val="18"/>
                <w:color w:val="auto"/>
              </w:rPr>
              <w:t>Opinion of Counsel.</w:t>
            </w:r>
          </w:p>
        </w:tc>
        <w:tc>
          <w:tcPr>
            <w:tcW w:w="3140" w:type="dxa"/>
            <w:vAlign w:val="bottom"/>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23.1</w:t>
            </w:r>
          </w:p>
        </w:tc>
        <w:tc>
          <w:tcPr>
            <w:tcW w:w="5340" w:type="dxa"/>
            <w:vAlign w:val="bottom"/>
            <w:gridSpan w:val="2"/>
          </w:tcPr>
          <w:p>
            <w:pPr>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23.2</w:t>
            </w:r>
          </w:p>
        </w:tc>
        <w:tc>
          <w:tcPr>
            <w:tcW w:w="5340" w:type="dxa"/>
            <w:vAlign w:val="bottom"/>
            <w:gridSpan w:val="2"/>
          </w:tcPr>
          <w:p>
            <w:pPr>
              <w:spacing w:after="0"/>
              <w:rPr>
                <w:sz w:val="20"/>
                <w:szCs w:val="20"/>
                <w:color w:val="auto"/>
              </w:rPr>
            </w:pPr>
            <w:r>
              <w:rPr>
                <w:rFonts w:ascii="Arial" w:cs="Arial" w:eastAsia="Arial" w:hAnsi="Arial"/>
                <w:sz w:val="18"/>
                <w:szCs w:val="18"/>
                <w:color w:val="auto"/>
              </w:rPr>
              <w:t>Consent of Counsel (contained in Exhibit 5.1).</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24.1</w:t>
            </w:r>
          </w:p>
        </w:tc>
        <w:tc>
          <w:tcPr>
            <w:tcW w:w="5340" w:type="dxa"/>
            <w:vAlign w:val="bottom"/>
            <w:gridSpan w:val="2"/>
          </w:tcPr>
          <w:p>
            <w:pPr>
              <w:spacing w:after="0"/>
              <w:rPr>
                <w:sz w:val="20"/>
                <w:szCs w:val="20"/>
                <w:color w:val="auto"/>
              </w:rPr>
            </w:pPr>
            <w:r>
              <w:rPr>
                <w:rFonts w:ascii="Arial" w:cs="Arial" w:eastAsia="Arial" w:hAnsi="Arial"/>
                <w:sz w:val="18"/>
                <w:szCs w:val="18"/>
                <w:color w:val="auto"/>
              </w:rPr>
              <w:t>Power of Attorney (included on signature page).</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 Incorporated by reference to Registration Statement on Form S-8 (Registration No. 333-148357)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438785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99"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January 14, 2011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Boise, ID 83707-0006</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have examined the Registration Statement on Form S-8 to be filed by you with the Securities and Exchange Commission on or about January 14, 2011 (the “Registration Statement”) in connection with the registration under the Securities Act of 1933, as amended, of 20,000,000 shares of your Common Stock, $0.10 par value (the “Shares”) reserved for issuance under the Micron Technology, Inc. 2007 Equity Incentive Plan (the “Plan”). As your legal counsel, we have examined the proceedings taken and are familiar with the proceedings proposed to be taken by you in connection with the sale and issuance of the Shares under the Plan.</w:t>
      </w:r>
    </w:p>
    <w:p>
      <w:pPr>
        <w:spacing w:after="0" w:line="21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It is our opinion that, upon completion of the proceedings to be taken, or contemplated by us as your counsel to be taken by you, prior to issuance of the Shares pursuant to the Registration Statement and the Plan, and upon completion of the proceedings being taken in order to permit such transactions to be carried out in accordance with the securities laws of the various states where required, the Shares, when issued and sold in the manner referred to in the Plan and the agreements which accompany the Plan, and in accordance with the Company's Certificate of Incorporation, will be legally and validly issued, fully paid and nonassessable.</w:t>
      </w:r>
    </w:p>
    <w:p>
      <w:pPr>
        <w:spacing w:after="0" w:line="21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consent to the use of this opinion as an exhibit to the Registration Statement and further consent to the use of our name wherever appearing in the Registration Statement, including the Prospectus constituting a part thereof, and amendments thereto.</w:t>
      </w:r>
    </w:p>
    <w:p>
      <w:pPr>
        <w:spacing w:after="0" w:line="19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Professional Corporation</w:t>
      </w:r>
    </w:p>
    <w:p>
      <w:pPr>
        <w:spacing w:after="0" w:line="6" w:lineRule="exact"/>
        <w:rPr>
          <w:sz w:val="20"/>
          <w:szCs w:val="20"/>
          <w:color w:val="auto"/>
        </w:rPr>
      </w:pPr>
    </w:p>
    <w:p>
      <w:pPr>
        <w:jc w:val="center"/>
        <w:ind w:right="-79"/>
        <w:spacing w:after="0"/>
        <w:rPr>
          <w:sz w:val="20"/>
          <w:szCs w:val="20"/>
          <w:color w:val="auto"/>
        </w:rPr>
      </w:pPr>
      <w:r>
        <w:rPr>
          <w:rFonts w:ascii="Arial" w:cs="Arial" w:eastAsia="Arial" w:hAnsi="Arial"/>
          <w:sz w:val="22"/>
          <w:szCs w:val="22"/>
          <w:i w:val="1"/>
          <w:iCs w:val="1"/>
          <w:color w:val="auto"/>
        </w:rPr>
        <w:t>/s/ Wilson Sonsini Goodrich &amp; Rosati,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560070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hereby consent to the incorporation by reference in this Registration Statement on Form S-8 of our report dated October 26, 2010, relating to the financial statements, financial statement schedule and the effectiveness of internal control over financial reporting, which appears in Micron Technology, Inc.’s Annual Report on Form 10-K for the year ended September 2, 2010.</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14,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450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7901940</wp:posOffset>
            </wp:positionV>
            <wp:extent cx="725043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3810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4.1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EQUITY INCENTIVE PLAN</w:t>
      </w:r>
    </w:p>
    <w:p>
      <w:pPr>
        <w:spacing w:after="0" w:line="234"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PURPOSE</w:t>
      </w:r>
    </w:p>
    <w:p>
      <w:pPr>
        <w:spacing w:after="0" w:line="23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i w:val="1"/>
          <w:iCs w:val="1"/>
          <w:color w:val="auto"/>
        </w:rPr>
        <w:t>GENERAL.</w:t>
      </w:r>
      <w:r>
        <w:rPr>
          <w:rFonts w:ascii="Arial" w:cs="Arial" w:eastAsia="Arial" w:hAnsi="Arial"/>
          <w:sz w:val="18"/>
          <w:szCs w:val="18"/>
          <w:color w:val="auto"/>
        </w:rPr>
        <w:t xml:space="preserve"> The purpose of the Micron Technology, Inc. 2007 Equity Incentive Plan (the “Plan”) is to promote the success, and enhance the value, of Micron Technology, Inc. (the “Company”), by linking the personal interests of employees, non-employee directors and consultants of the Company or any Affiliate (as defined below) to those of Company stockholders and by providing such persons with an incentive for outstanding performance. The Plan is further intended to provide flexibility to the Company in its ability to motivate, attract, and retain the services of employees, non-employee directors and consultants upon whose judgment, interest, and special effort the successf ul conduct of the Company’s operation is largely dependent. Accordingly, the Plan permits the grant of incentive awards from time to time to selected employees, non-employee directors and consultants of the Company and its Affiliates; provided, however, that no officer, including without limitation the chief executive officer of the Company, is eligible to be a Participant in the Plan.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3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DEFINITIONS.</w:t>
      </w:r>
      <w:r>
        <w:rPr>
          <w:rFonts w:ascii="Arial" w:cs="Arial" w:eastAsia="Arial" w:hAnsi="Arial"/>
          <w:sz w:val="18"/>
          <w:szCs w:val="18"/>
          <w:color w:val="auto"/>
        </w:rPr>
        <w:t xml:space="preserve"> When a word or phrase appears in this Plan with the initial letter capitalized, and the word or phrase does not commence a sentence, the word or phrase shall generally be given the meaning ascribed to it in this Section or in Section 1.1 unless a clearly different meaning is required by the context. The following words and phrases shall have the following meanings:</w:t>
      </w:r>
    </w:p>
    <w:p>
      <w:pPr>
        <w:spacing w:after="0" w:line="208" w:lineRule="exact"/>
        <w:rPr>
          <w:sz w:val="20"/>
          <w:szCs w:val="20"/>
          <w:color w:val="auto"/>
        </w:rPr>
      </w:pPr>
    </w:p>
    <w:p>
      <w:pPr>
        <w:ind w:left="660" w:right="400" w:firstLine="645"/>
        <w:spacing w:after="0" w:line="277" w:lineRule="auto"/>
        <w:tabs>
          <w:tab w:leader="none" w:pos="2003" w:val="left"/>
        </w:tabs>
        <w:numPr>
          <w:ilvl w:val="0"/>
          <w:numId w:val="6"/>
        </w:numPr>
        <w:rPr>
          <w:rFonts w:ascii="Arial" w:cs="Arial" w:eastAsia="Arial" w:hAnsi="Arial"/>
          <w:sz w:val="18"/>
          <w:szCs w:val="18"/>
          <w:color w:val="auto"/>
        </w:rPr>
      </w:pPr>
      <w:r>
        <w:rPr>
          <w:rFonts w:ascii="Arial" w:cs="Arial" w:eastAsia="Arial" w:hAnsi="Arial"/>
          <w:sz w:val="18"/>
          <w:szCs w:val="18"/>
          <w:color w:val="auto"/>
        </w:rPr>
        <w:t>“Affiliate” means (i) any Subsidiary or Parent, or (ii) an entity that directly or through one or more intermediaries controls, is controlled by or is under common control with, the Company, as determined by the Committee.</w:t>
      </w:r>
    </w:p>
    <w:p>
      <w:pPr>
        <w:spacing w:after="0" w:line="197" w:lineRule="exact"/>
        <w:rPr>
          <w:rFonts w:ascii="Arial" w:cs="Arial" w:eastAsia="Arial" w:hAnsi="Arial"/>
          <w:sz w:val="18"/>
          <w:szCs w:val="18"/>
          <w:color w:val="auto"/>
        </w:rPr>
      </w:pPr>
    </w:p>
    <w:p>
      <w:pPr>
        <w:ind w:left="660" w:right="360" w:firstLine="645"/>
        <w:spacing w:after="0" w:line="264" w:lineRule="auto"/>
        <w:tabs>
          <w:tab w:leader="none" w:pos="2013" w:val="left"/>
        </w:tabs>
        <w:numPr>
          <w:ilvl w:val="0"/>
          <w:numId w:val="6"/>
        </w:numPr>
        <w:rPr>
          <w:rFonts w:ascii="Arial" w:cs="Arial" w:eastAsia="Arial" w:hAnsi="Arial"/>
          <w:sz w:val="18"/>
          <w:szCs w:val="18"/>
          <w:color w:val="auto"/>
        </w:rPr>
      </w:pPr>
      <w:r>
        <w:rPr>
          <w:rFonts w:ascii="Arial" w:cs="Arial" w:eastAsia="Arial" w:hAnsi="Arial"/>
          <w:sz w:val="18"/>
          <w:szCs w:val="18"/>
          <w:color w:val="auto"/>
        </w:rPr>
        <w:t>“Award” means any Option, Stock Appreciation Right, Restricted Stock Award, Restricted Stock Unit Award, Deferred Stock Unit Award, Performance Share, Dividend Equivalent Award, Other Stock-Based Award, or any other right or interest relating to Stock or cash, granted to a Participant under the Plan.</w:t>
      </w:r>
    </w:p>
    <w:p>
      <w:pPr>
        <w:spacing w:after="0" w:line="208" w:lineRule="exact"/>
        <w:rPr>
          <w:rFonts w:ascii="Arial" w:cs="Arial" w:eastAsia="Arial" w:hAnsi="Arial"/>
          <w:sz w:val="18"/>
          <w:szCs w:val="18"/>
          <w:color w:val="auto"/>
        </w:rPr>
      </w:pPr>
    </w:p>
    <w:p>
      <w:pPr>
        <w:jc w:val="both"/>
        <w:ind w:left="660" w:right="60" w:firstLine="645"/>
        <w:spacing w:after="0" w:line="257" w:lineRule="auto"/>
        <w:tabs>
          <w:tab w:leader="none" w:pos="2003" w:val="left"/>
        </w:tabs>
        <w:numPr>
          <w:ilvl w:val="0"/>
          <w:numId w:val="6"/>
        </w:numPr>
        <w:rPr>
          <w:rFonts w:ascii="Arial" w:cs="Arial" w:eastAsia="Arial" w:hAnsi="Arial"/>
          <w:sz w:val="18"/>
          <w:szCs w:val="18"/>
          <w:color w:val="auto"/>
        </w:rPr>
      </w:pPr>
      <w:r>
        <w:rPr>
          <w:rFonts w:ascii="Arial" w:cs="Arial" w:eastAsia="Arial" w:hAnsi="Arial"/>
          <w:sz w:val="18"/>
          <w:szCs w:val="18"/>
          <w:color w:val="auto"/>
        </w:rPr>
        <w:t>“Award Certificate” means a written document, in such form as the Committee prescribes from time to time, setting forth the terms and conditions of an Award. Award Certificates may be in the form of individual award agreements or certificates or a program document describing the terms and provisions of an Awards or series of Awards under the Plan. The Committee may provide for the use of electronic, internet or other non-paper Award Certificates, and the use of electronic, internet or other non-paper means for the acceptance thereof and actions thereunder by a Participant.</w:t>
      </w:r>
    </w:p>
    <w:p>
      <w:pPr>
        <w:spacing w:after="0" w:line="215" w:lineRule="exact"/>
        <w:rPr>
          <w:rFonts w:ascii="Arial" w:cs="Arial" w:eastAsia="Arial" w:hAnsi="Arial"/>
          <w:sz w:val="18"/>
          <w:szCs w:val="18"/>
          <w:color w:val="auto"/>
        </w:rPr>
      </w:pPr>
    </w:p>
    <w:p>
      <w:pPr>
        <w:ind w:left="2000" w:hanging="695"/>
        <w:spacing w:after="0"/>
        <w:tabs>
          <w:tab w:leader="none" w:pos="2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252" w:lineRule="exact"/>
        <w:rPr>
          <w:rFonts w:ascii="Arial" w:cs="Arial" w:eastAsia="Arial" w:hAnsi="Arial"/>
          <w:sz w:val="18"/>
          <w:szCs w:val="18"/>
          <w:color w:val="auto"/>
        </w:rPr>
      </w:pPr>
    </w:p>
    <w:p>
      <w:pPr>
        <w:ind w:left="2000" w:hanging="695"/>
        <w:spacing w:after="0"/>
        <w:tabs>
          <w:tab w:leader="none" w:pos="2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 in Control” means and includes the occurrence of any one of the following events:</w:t>
      </w:r>
    </w:p>
    <w:p>
      <w:pPr>
        <w:spacing w:after="0" w:line="252" w:lineRule="exact"/>
        <w:rPr>
          <w:rFonts w:ascii="Arial" w:cs="Arial" w:eastAsia="Arial" w:hAnsi="Arial"/>
          <w:sz w:val="18"/>
          <w:szCs w:val="18"/>
          <w:color w:val="auto"/>
        </w:rPr>
      </w:pPr>
    </w:p>
    <w:p>
      <w:pPr>
        <w:ind w:left="1300" w:right="40" w:firstLine="653"/>
        <w:spacing w:after="0" w:line="291" w:lineRule="auto"/>
        <w:tabs>
          <w:tab w:leader="none" w:pos="2613" w:val="left"/>
        </w:tabs>
        <w:numPr>
          <w:ilvl w:val="1"/>
          <w:numId w:val="6"/>
        </w:numPr>
        <w:rPr>
          <w:rFonts w:ascii="Arial" w:cs="Arial" w:eastAsia="Arial" w:hAnsi="Arial"/>
          <w:sz w:val="16"/>
          <w:szCs w:val="16"/>
          <w:color w:val="auto"/>
        </w:rPr>
      </w:pPr>
      <w:r>
        <w:rPr>
          <w:rFonts w:ascii="Arial" w:cs="Arial" w:eastAsia="Arial" w:hAnsi="Arial"/>
          <w:sz w:val="16"/>
          <w:szCs w:val="16"/>
          <w:color w:val="auto"/>
        </w:rPr>
        <w:t xml:space="preserve">individuals who, on the Effective Date, constitute the Board of Directors of the Company (the “Incumbent Directors”) cease for any reason to constitute at least a majority of such Board, provided that any person becoming a director after the Effective Date and whose election or nomination for election was approved by a vote of at least a majority of the Incumbent Directors then on the Board shall be an Incumbent Director;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individual initially elected or nominated as a director of the Company as a result of an actual or threatened election contest with respect to the election or removal of directors (“Election Con test”) or other actual or threatened solicitation of proxies or consents by or on behalf of any Person other than the Board (“Proxy Contest”), including by reason of any agreement intended to avoid or settle any Election Contest or Proxy Contest, shall be deemed an Incumbent Director; or</w:t>
      </w:r>
    </w:p>
    <w:p>
      <w:pPr>
        <w:spacing w:after="0" w:line="194" w:lineRule="exact"/>
        <w:rPr>
          <w:rFonts w:ascii="Arial" w:cs="Arial" w:eastAsia="Arial" w:hAnsi="Arial"/>
          <w:sz w:val="16"/>
          <w:szCs w:val="16"/>
          <w:color w:val="auto"/>
        </w:rPr>
      </w:pPr>
    </w:p>
    <w:p>
      <w:pPr>
        <w:ind w:left="1300" w:right="20" w:firstLine="653"/>
        <w:spacing w:after="0" w:line="291" w:lineRule="auto"/>
        <w:tabs>
          <w:tab w:leader="none" w:pos="2663" w:val="left"/>
        </w:tabs>
        <w:numPr>
          <w:ilvl w:val="1"/>
          <w:numId w:val="6"/>
        </w:numPr>
        <w:rPr>
          <w:rFonts w:ascii="Arial" w:cs="Arial" w:eastAsia="Arial" w:hAnsi="Arial"/>
          <w:sz w:val="16"/>
          <w:szCs w:val="16"/>
          <w:color w:val="auto"/>
        </w:rPr>
      </w:pPr>
      <w:r>
        <w:rPr>
          <w:rFonts w:ascii="Arial" w:cs="Arial" w:eastAsia="Arial" w:hAnsi="Arial"/>
          <w:sz w:val="16"/>
          <w:szCs w:val="16"/>
          <w:color w:val="auto"/>
        </w:rPr>
        <w:t xml:space="preserve">any person is or becomes a “beneficial owner” (as defined in Rule 13d-3 under the 1934 Act), directly or indirectly, of either (A) 35% or more of the then-outstanding shares of common stock of the Company (“Company Common Stock”) or (B) securities of the Company representing 35% or more of the combined voting power of the Company’s then outstanding securities eligible to vote for the election of directors (the “Company Voting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for purposes of this subsection (ii), the following acquisitions shall not constitute a Change in Control: (w) an acquisition dir ectly from the Company, (x) an acquisition by the Company or a Subsidiary of the Company, (y) an acquisition by any employee benefit plan (or related trust) sponsored or maintained by the Company or any Subsidiary of the Company, or (z) an acquisition pursuant to a Non-Qualifying Transaction (as defined in subsection (iii) below); or</w:t>
      </w:r>
    </w:p>
    <w:p>
      <w:pPr>
        <w:spacing w:after="0" w:line="194" w:lineRule="exact"/>
        <w:rPr>
          <w:rFonts w:ascii="Arial" w:cs="Arial" w:eastAsia="Arial" w:hAnsi="Arial"/>
          <w:sz w:val="16"/>
          <w:szCs w:val="16"/>
          <w:color w:val="auto"/>
        </w:rPr>
      </w:pPr>
    </w:p>
    <w:p>
      <w:pPr>
        <w:ind w:left="1300" w:right="40" w:firstLine="653"/>
        <w:spacing w:after="0" w:line="285" w:lineRule="auto"/>
        <w:tabs>
          <w:tab w:leader="none" w:pos="2713" w:val="left"/>
        </w:tabs>
        <w:numPr>
          <w:ilvl w:val="1"/>
          <w:numId w:val="6"/>
        </w:numPr>
        <w:rPr>
          <w:rFonts w:ascii="Arial" w:cs="Arial" w:eastAsia="Arial" w:hAnsi="Arial"/>
          <w:sz w:val="16"/>
          <w:szCs w:val="16"/>
          <w:color w:val="auto"/>
        </w:rPr>
      </w:pPr>
      <w:r>
        <w:rPr>
          <w:rFonts w:ascii="Arial" w:cs="Arial" w:eastAsia="Arial" w:hAnsi="Arial"/>
          <w:sz w:val="16"/>
          <w:szCs w:val="16"/>
          <w:color w:val="auto"/>
        </w:rPr>
        <w:t>the consummation of a reorganization, merger, consolidation, statutory share exchange or similar form of corporate transaction involving the Company or a Subsidiary (a “Reorganization”), or the sale or other disposition of all or substantially all of the Company’s assets (a “Sale”) or the acquisition of assets or stock of another corporation (an “Acquisition”), unless immediately following such Reorganization, Sale or Acquisition: (A) all or substantially all of the individuals and entities who were the beneficial owners, respectively, of the outstanding Company Common Stock and outstanding Company Voting Securities immediately prior to such Reorganization, Sale or Acquisition beneficially own, directly or indirectly, mo re than 50% of, respectively, the then outstanding shares of common stock and the combined voting power of the then outstanding voting securities entitled to vote generally in the election of directors, as the case may be, of the corporation resulting from such Reorganization, Sale or Acquisition (including, without limitation, a corporation which as a result of such transaction owns the Company or all or substantially all of the Company’s assets or stock either directly or through one or more subsidiaries, the “Surviving Corporation”) in substantially the same proportions as their ownership, immediately prior to such Reorganization, Sale or Acquisition, of the outstanding Company Common Stock and the outstanding Company Voting Securities, as the case may be, and (B) no person (other than (x) the Company or any Subsidiary of the Company, (y) the Surviving Corporation or its ultimate parent corporation, or (z) any employee benefit plan or related trust) sponsored or maint ained by any of the foregoing is the beneficial owner, directly or indirectly, of 35% or more of the total common stock or 35% or more of the total voting power of the outstanding voting securities eligible to elect directors of the Surviving Corporation, and (C) at least a majority of the members of the board of directors of the Surviving Corporation were Incumbent Directors at the time of the Board’s approval of the execution of the initial</w:t>
      </w:r>
    </w:p>
    <w:p>
      <w:pPr>
        <w:sectPr>
          <w:pgSz w:w="11900" w:h="16838" w:orient="portrait"/>
          <w:cols w:equalWidth="0" w:num="1">
            <w:col w:w="11420"/>
          </w:cols>
          <w:pgMar w:left="240" w:top="364" w:right="239" w:bottom="0" w:gutter="0" w:footer="0" w:header="0"/>
        </w:sectPr>
      </w:pPr>
    </w:p>
    <w:bookmarkStart w:id="9" w:name="page10"/>
    <w:bookmarkEnd w:id="9"/>
    <w:p>
      <w:pPr>
        <w:ind w:left="640" w:right="20"/>
        <w:spacing w:after="0" w:line="277" w:lineRule="auto"/>
        <w:rPr>
          <w:sz w:val="20"/>
          <w:szCs w:val="20"/>
          <w:color w:val="auto"/>
        </w:rPr>
      </w:pPr>
      <w:r>
        <w:rPr>
          <w:rFonts w:ascii="Arial" w:cs="Arial" w:eastAsia="Arial" w:hAnsi="Arial"/>
          <w:sz w:val="18"/>
          <w:szCs w:val="18"/>
          <w:color w:val="auto"/>
        </w:rPr>
        <w:t>agreement providing for such Reorganization, Sale or Acquisition (any Reorganization, Sale or Acquisition which satisfies all of the criteria specified in (A), (B) and (C) above shall be deemed to be a “Non-Qualifying Transaction”); or</w:t>
      </w:r>
    </w:p>
    <w:p>
      <w:pPr>
        <w:spacing w:after="0" w:line="197" w:lineRule="exact"/>
        <w:rPr>
          <w:sz w:val="20"/>
          <w:szCs w:val="20"/>
          <w:color w:val="auto"/>
        </w:rPr>
      </w:pPr>
    </w:p>
    <w:p>
      <w:pPr>
        <w:ind w:left="2040" w:hanging="747"/>
        <w:spacing w:after="0"/>
        <w:tabs>
          <w:tab w:leader="none" w:pos="2040" w:val="left"/>
        </w:tabs>
        <w:numPr>
          <w:ilvl w:val="1"/>
          <w:numId w:val="7"/>
        </w:numPr>
        <w:rPr>
          <w:rFonts w:ascii="Arial" w:cs="Arial" w:eastAsia="Arial" w:hAnsi="Arial"/>
          <w:sz w:val="18"/>
          <w:szCs w:val="18"/>
          <w:color w:val="auto"/>
        </w:rPr>
      </w:pPr>
      <w:r>
        <w:rPr>
          <w:rFonts w:ascii="Arial" w:cs="Arial" w:eastAsia="Arial" w:hAnsi="Arial"/>
          <w:sz w:val="18"/>
          <w:szCs w:val="18"/>
          <w:color w:val="auto"/>
        </w:rPr>
        <w:t>approval by the stockholders of the Company of a complete liquidation or dissolution of the Company.</w:t>
      </w:r>
    </w:p>
    <w:p>
      <w:pPr>
        <w:spacing w:after="0" w:line="252" w:lineRule="exact"/>
        <w:rPr>
          <w:rFonts w:ascii="Arial" w:cs="Arial" w:eastAsia="Arial" w:hAnsi="Arial"/>
          <w:sz w:val="18"/>
          <w:szCs w:val="18"/>
          <w:color w:val="auto"/>
        </w:rPr>
      </w:pPr>
    </w:p>
    <w:p>
      <w:pPr>
        <w:jc w:val="both"/>
        <w:ind w:right="140" w:firstLine="645"/>
        <w:spacing w:after="0" w:line="286" w:lineRule="auto"/>
        <w:tabs>
          <w:tab w:leader="none" w:pos="1323" w:val="left"/>
        </w:tabs>
        <w:numPr>
          <w:ilvl w:val="0"/>
          <w:numId w:val="8"/>
        </w:numPr>
        <w:rPr>
          <w:rFonts w:ascii="Arial" w:cs="Arial" w:eastAsia="Arial" w:hAnsi="Arial"/>
          <w:sz w:val="17"/>
          <w:szCs w:val="17"/>
          <w:color w:val="auto"/>
        </w:rPr>
      </w:pPr>
      <w:r>
        <w:rPr>
          <w:rFonts w:ascii="Arial" w:cs="Arial" w:eastAsia="Arial" w:hAnsi="Arial"/>
          <w:sz w:val="17"/>
          <w:szCs w:val="17"/>
          <w:color w:val="auto"/>
        </w:rPr>
        <w:t>“Code” means the Internal Revenue Code of 1986, as amended from time to time. Reference to a specific Section of the Code or regulation thereunder shall include such Section or regulation, any valid regulation promulgated under such Section, and any comparable provision of any future law, legislation or regulation amending, supplementing or superseding such Section or regulation.</w:t>
      </w:r>
    </w:p>
    <w:p>
      <w:pPr>
        <w:spacing w:after="0" w:line="192" w:lineRule="exact"/>
        <w:rPr>
          <w:rFonts w:ascii="Arial" w:cs="Arial" w:eastAsia="Arial" w:hAnsi="Arial"/>
          <w:sz w:val="17"/>
          <w:szCs w:val="17"/>
          <w:color w:val="auto"/>
        </w:rPr>
      </w:pPr>
    </w:p>
    <w:p>
      <w:pPr>
        <w:ind w:left="1340" w:hanging="695"/>
        <w:spacing w:after="0"/>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“Committee” means the committee of the Board described in Article 4.</w:t>
      </w:r>
    </w:p>
    <w:p>
      <w:pPr>
        <w:spacing w:after="0" w:line="252" w:lineRule="exact"/>
        <w:rPr>
          <w:rFonts w:ascii="Arial" w:cs="Arial" w:eastAsia="Arial" w:hAnsi="Arial"/>
          <w:sz w:val="18"/>
          <w:szCs w:val="18"/>
          <w:color w:val="auto"/>
        </w:rPr>
      </w:pPr>
    </w:p>
    <w:p>
      <w:pPr>
        <w:ind w:left="1340" w:hanging="695"/>
        <w:spacing w:after="0"/>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“Company” means Micron Technology, Inc., a Delaware corporation, or any successor corporation.</w:t>
      </w:r>
    </w:p>
    <w:p>
      <w:pPr>
        <w:spacing w:after="0" w:line="252" w:lineRule="exact"/>
        <w:rPr>
          <w:rFonts w:ascii="Arial" w:cs="Arial" w:eastAsia="Arial" w:hAnsi="Arial"/>
          <w:sz w:val="18"/>
          <w:szCs w:val="18"/>
          <w:color w:val="auto"/>
        </w:rPr>
      </w:pPr>
    </w:p>
    <w:p>
      <w:pPr>
        <w:ind w:firstLine="645"/>
        <w:spacing w:after="0" w:line="289" w:lineRule="auto"/>
        <w:tabs>
          <w:tab w:leader="none" w:pos="1313"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“Continuous Status as a Participant” means the absence of any interruption or termination of service as an employee, officer, consultant or non-employee director of the Company or any Affiliate, as applicable; provided, however, that for purposes of an Incentive Stock Option, or a Stock Appreciation Right issued in tandem with an Incentive Stock Option, “Continuous Status as a Participant” means the absence of any interruption or termination of service as an employee of the Company or any Parent or Subsidiary, as applicable, pursuant to applicable tax regulations. Continuous Status as a Participant shall not be considered interrupted in the case of any leave of absence authorized in writing by the Company prior to its commencement; provided, how ever, that for purposes of Incentive Stock Options, no such leave may exceed 90 days, unless reemployment upon expiration of such leave is guaranteed by statute or contract. If reemployment upon expiration of a leave of absence approved by the Company is not so guaranteed, on the 91st day of such leave any Incentive Stock Option held by the Participant shall cease to be treated as an Incentive Stock Option and shall be treated for tax purposes as a Nonstatutory Stock Option.</w:t>
      </w:r>
    </w:p>
    <w:p>
      <w:pPr>
        <w:spacing w:after="0" w:line="193" w:lineRule="exact"/>
        <w:rPr>
          <w:rFonts w:ascii="Arial" w:cs="Arial" w:eastAsia="Arial" w:hAnsi="Arial"/>
          <w:sz w:val="16"/>
          <w:szCs w:val="16"/>
          <w:color w:val="auto"/>
        </w:rPr>
      </w:pPr>
    </w:p>
    <w:p>
      <w:pPr>
        <w:ind w:left="1300" w:hanging="655"/>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“Covered Employee” means a covered employee as defined in Code Section 162(m)(3).</w:t>
      </w:r>
    </w:p>
    <w:p>
      <w:pPr>
        <w:spacing w:after="0" w:line="252" w:lineRule="exact"/>
        <w:rPr>
          <w:rFonts w:ascii="Arial" w:cs="Arial" w:eastAsia="Arial" w:hAnsi="Arial"/>
          <w:sz w:val="18"/>
          <w:szCs w:val="18"/>
          <w:color w:val="auto"/>
        </w:rPr>
      </w:pPr>
    </w:p>
    <w:p>
      <w:pPr>
        <w:ind w:right="20" w:firstLine="645"/>
        <w:spacing w:after="0" w:line="290" w:lineRule="auto"/>
        <w:tabs>
          <w:tab w:leader="none" w:pos="1353" w:val="left"/>
        </w:tabs>
        <w:numPr>
          <w:ilvl w:val="0"/>
          <w:numId w:val="8"/>
        </w:numPr>
        <w:rPr>
          <w:rFonts w:ascii="Arial" w:cs="Arial" w:eastAsia="Arial" w:hAnsi="Arial"/>
          <w:sz w:val="16"/>
          <w:szCs w:val="16"/>
          <w:color w:val="auto"/>
        </w:rPr>
      </w:pPr>
      <w:r>
        <w:rPr>
          <w:rFonts w:ascii="Arial" w:cs="Arial" w:eastAsia="Arial" w:hAnsi="Arial"/>
          <w:sz w:val="16"/>
          <w:szCs w:val="16"/>
          <w:color w:val="auto"/>
        </w:rPr>
        <w:t>“Disability” or “Disabled” has the same meaning as provided in the long-term disability plan or policy maintained by the Company or if applicable, most recently maintained, by the Company or if applicable, an Affiliate, for the Participant, whether or not such Participant actually receives disability benefits under such plan or policy. If no long-term disability plan or policy was ever maintained on behalf of Participant or if the determination of Disability relates to an Incentive Stock Option, or a Stock Appreciation Right issued in tandem with an Incentive Stock Option, Disability means Permanent and Total Disability as defined in Section 22(e)(3) of the Code. Notwithstanding the foregoing, for any Awards that constitute a nonqualified d eferred compensation plan within the meaning of Section 409A(d) of the Code, Disability has the meaning given such term in Section 409A of the Code. In the event of a dispute, the determination whether a Participant is Disabled will be made by the Committee and may be supported by the advice of a physician competent in the area to which such Disability relates.</w:t>
      </w:r>
    </w:p>
    <w:p>
      <w:pPr>
        <w:spacing w:after="0" w:line="193" w:lineRule="exact"/>
        <w:rPr>
          <w:rFonts w:ascii="Arial" w:cs="Arial" w:eastAsia="Arial" w:hAnsi="Arial"/>
          <w:sz w:val="16"/>
          <w:szCs w:val="16"/>
          <w:color w:val="auto"/>
        </w:rPr>
      </w:pPr>
    </w:p>
    <w:p>
      <w:pPr>
        <w:ind w:left="1300" w:hanging="655"/>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“Deferred Stock Unit” means a right granted to a Participant under Article 11.</w:t>
      </w:r>
    </w:p>
    <w:p>
      <w:pPr>
        <w:spacing w:after="0" w:line="252" w:lineRule="exact"/>
        <w:rPr>
          <w:rFonts w:ascii="Arial" w:cs="Arial" w:eastAsia="Arial" w:hAnsi="Arial"/>
          <w:sz w:val="18"/>
          <w:szCs w:val="18"/>
          <w:color w:val="auto"/>
        </w:rPr>
      </w:pPr>
    </w:p>
    <w:p>
      <w:pPr>
        <w:ind w:left="1400" w:hanging="755"/>
        <w:spacing w:after="0"/>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“Dividend Equivalent” means a right granted to a Participant under Article 12.</w:t>
      </w:r>
    </w:p>
    <w:p>
      <w:pPr>
        <w:spacing w:after="0" w:line="252" w:lineRule="exact"/>
        <w:rPr>
          <w:rFonts w:ascii="Arial" w:cs="Arial" w:eastAsia="Arial" w:hAnsi="Arial"/>
          <w:sz w:val="18"/>
          <w:szCs w:val="18"/>
          <w:color w:val="auto"/>
        </w:rPr>
      </w:pPr>
    </w:p>
    <w:p>
      <w:pPr>
        <w:ind w:left="1340" w:hanging="695"/>
        <w:spacing w:after="0"/>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“Effective Date” has the meaning assigned such term in Section 3.1.</w:t>
      </w:r>
    </w:p>
    <w:p>
      <w:pPr>
        <w:spacing w:after="0" w:line="252" w:lineRule="exact"/>
        <w:rPr>
          <w:rFonts w:ascii="Arial" w:cs="Arial" w:eastAsia="Arial" w:hAnsi="Arial"/>
          <w:sz w:val="18"/>
          <w:szCs w:val="18"/>
          <w:color w:val="auto"/>
        </w:rPr>
      </w:pPr>
    </w:p>
    <w:p>
      <w:pPr>
        <w:ind w:right="540" w:firstLine="645"/>
        <w:spacing w:after="0" w:line="342" w:lineRule="auto"/>
        <w:tabs>
          <w:tab w:leader="none" w:pos="1353" w:val="left"/>
        </w:tabs>
        <w:numPr>
          <w:ilvl w:val="0"/>
          <w:numId w:val="8"/>
        </w:numPr>
        <w:rPr>
          <w:rFonts w:ascii="Arial" w:cs="Arial" w:eastAsia="Arial" w:hAnsi="Arial"/>
          <w:sz w:val="16"/>
          <w:szCs w:val="16"/>
          <w:color w:val="auto"/>
        </w:rPr>
      </w:pPr>
      <w:r>
        <w:rPr>
          <w:rFonts w:ascii="Arial" w:cs="Arial" w:eastAsia="Arial" w:hAnsi="Arial"/>
          <w:sz w:val="16"/>
          <w:szCs w:val="16"/>
          <w:color w:val="auto"/>
        </w:rPr>
        <w:t>“Eligible Participant” means an employee, consultant or non-employee director of the Company or any Affiliate; provided, however, that no officer, including without limitation the chief executive officer of the Company, is eligible to be a Participant in the Plan.</w:t>
      </w:r>
    </w:p>
    <w:p>
      <w:pPr>
        <w:spacing w:after="0" w:line="150" w:lineRule="exact"/>
        <w:rPr>
          <w:rFonts w:ascii="Arial" w:cs="Arial" w:eastAsia="Arial" w:hAnsi="Arial"/>
          <w:sz w:val="16"/>
          <w:szCs w:val="16"/>
          <w:color w:val="auto"/>
        </w:rPr>
      </w:pPr>
    </w:p>
    <w:p>
      <w:pPr>
        <w:ind w:right="160" w:firstLine="645"/>
        <w:spacing w:after="0" w:line="277" w:lineRule="auto"/>
        <w:tabs>
          <w:tab w:leader="none" w:pos="1353"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“Exchange” means the New York Stock Exchange or any other national securities exchange or national market system on which the Stock may from time to time be listed or traded.</w:t>
      </w:r>
    </w:p>
    <w:p>
      <w:pPr>
        <w:spacing w:after="0" w:line="197" w:lineRule="exact"/>
        <w:rPr>
          <w:rFonts w:ascii="Arial" w:cs="Arial" w:eastAsia="Arial" w:hAnsi="Arial"/>
          <w:sz w:val="18"/>
          <w:szCs w:val="18"/>
          <w:color w:val="auto"/>
        </w:rPr>
      </w:pPr>
    </w:p>
    <w:p>
      <w:pPr>
        <w:ind w:right="60" w:firstLine="645"/>
        <w:spacing w:after="0" w:line="270" w:lineRule="auto"/>
        <w:tabs>
          <w:tab w:leader="none" w:pos="1353" w:val="left"/>
        </w:tabs>
        <w:numPr>
          <w:ilvl w:val="0"/>
          <w:numId w:val="8"/>
        </w:numPr>
        <w:rPr>
          <w:rFonts w:ascii="Arial" w:cs="Arial" w:eastAsia="Arial" w:hAnsi="Arial"/>
          <w:sz w:val="17"/>
          <w:szCs w:val="17"/>
          <w:color w:val="auto"/>
        </w:rPr>
      </w:pPr>
      <w:r>
        <w:rPr>
          <w:rFonts w:ascii="Arial" w:cs="Arial" w:eastAsia="Arial" w:hAnsi="Arial"/>
          <w:sz w:val="17"/>
          <w:szCs w:val="17"/>
          <w:color w:val="auto"/>
        </w:rPr>
        <w:t>“Fair Market Value” of the Stock, on any date, means: (i) if the Stock is listed or traded on any Exchange, the closing sales price for such Stock (or the closing bid, if no sales were reported) as quoted on such Exchange (or, if more than one Exchange, the Exchange with the greatest volume of trading in the Stock) for such date, or if no sales or bids were reported for such date, on the last market trading day prior to the day of determination, as reported by Market Sweep, a service from Interactive Data Services, Inc., or such other source as the Committee deems reliable; (ii) if the Stock is quoted on the over-the-counter market or is regularly quoted by a recognized securities dealer, but selling prices are not reported, the Fair Market V alue of the Stock shall be the mean between the high bid and low asked prices for the Stock on such date, or if no sales or bids were reported for such date, on the last market trading day prior to the day of determination, as reported by Market Sweep, a service from Interactive Data Services, Inc. or such other source as the Committee deems reliable, or (iii) in the absence of an established market for the Stock, the Fair Market Value shall be determined by such other method as the Committee determines in good faith to be reasonable and in compliance with Code Section 409A.</w:t>
      </w:r>
    </w:p>
    <w:p>
      <w:pPr>
        <w:spacing w:after="0" w:line="204" w:lineRule="exact"/>
        <w:rPr>
          <w:rFonts w:ascii="Arial" w:cs="Arial" w:eastAsia="Arial" w:hAnsi="Arial"/>
          <w:sz w:val="17"/>
          <w:szCs w:val="17"/>
          <w:color w:val="auto"/>
        </w:rPr>
      </w:pPr>
    </w:p>
    <w:p>
      <w:pPr>
        <w:ind w:left="1320" w:hanging="675"/>
        <w:spacing w:after="0"/>
        <w:tabs>
          <w:tab w:leader="none" w:pos="1320" w:val="left"/>
        </w:tabs>
        <w:numPr>
          <w:ilvl w:val="0"/>
          <w:numId w:val="8"/>
        </w:numPr>
        <w:rPr>
          <w:rFonts w:ascii="Arial" w:cs="Arial" w:eastAsia="Arial" w:hAnsi="Arial"/>
          <w:sz w:val="16"/>
          <w:szCs w:val="16"/>
          <w:color w:val="auto"/>
        </w:rPr>
      </w:pPr>
      <w:r>
        <w:rPr>
          <w:rFonts w:ascii="Arial" w:cs="Arial" w:eastAsia="Arial" w:hAnsi="Arial"/>
          <w:sz w:val="16"/>
          <w:szCs w:val="16"/>
          <w:color w:val="auto"/>
        </w:rPr>
        <w:t>“Full Value Award” means an Award other than in the form of an Option or SAR, and which is settled by the issuance of Stock.</w:t>
      </w:r>
    </w:p>
    <w:p>
      <w:pPr>
        <w:spacing w:after="0" w:line="275" w:lineRule="exact"/>
        <w:rPr>
          <w:rFonts w:ascii="Arial" w:cs="Arial" w:eastAsia="Arial" w:hAnsi="Arial"/>
          <w:sz w:val="16"/>
          <w:szCs w:val="16"/>
          <w:color w:val="auto"/>
        </w:rPr>
      </w:pPr>
    </w:p>
    <w:p>
      <w:pPr>
        <w:ind w:right="140" w:firstLine="645"/>
        <w:spacing w:after="0" w:line="264" w:lineRule="auto"/>
        <w:tabs>
          <w:tab w:leader="none" w:pos="1333" w:val="left"/>
        </w:tabs>
        <w:numPr>
          <w:ilvl w:val="0"/>
          <w:numId w:val="8"/>
        </w:numPr>
        <w:rPr>
          <w:rFonts w:ascii="Arial" w:cs="Arial" w:eastAsia="Arial" w:hAnsi="Arial"/>
          <w:sz w:val="18"/>
          <w:szCs w:val="18"/>
          <w:color w:val="auto"/>
        </w:rPr>
      </w:pPr>
      <w:r>
        <w:rPr>
          <w:rFonts w:ascii="Arial" w:cs="Arial" w:eastAsia="Arial" w:hAnsi="Arial"/>
          <w:sz w:val="18"/>
          <w:szCs w:val="18"/>
          <w:color w:val="auto"/>
        </w:rPr>
        <w:t>“Grant Date” of an Award means the first date on which all necessary corporate action has been taken to approve the grant of the Award as provided in the Plan, or such later date as is determined and specified as part of that authorization process. Notice of the grant shall be provided to the grantee within a reasonable time after the Grant Date.</w:t>
      </w:r>
    </w:p>
    <w:p>
      <w:pPr>
        <w:spacing w:after="0" w:line="208" w:lineRule="exact"/>
        <w:rPr>
          <w:rFonts w:ascii="Arial" w:cs="Arial" w:eastAsia="Arial" w:hAnsi="Arial"/>
          <w:sz w:val="18"/>
          <w:szCs w:val="18"/>
          <w:color w:val="auto"/>
        </w:rPr>
      </w:pPr>
    </w:p>
    <w:p>
      <w:pPr>
        <w:ind w:left="1300" w:hanging="655"/>
        <w:spacing w:after="0"/>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“Incentive Stock Option” means an Option that is intended to be an incentive stock option and meets the requirements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422 of the Code or any successor provision thereto.</w:t>
      </w:r>
    </w:p>
    <w:p>
      <w:pPr>
        <w:spacing w:after="0" w:line="238" w:lineRule="exact"/>
        <w:rPr>
          <w:sz w:val="20"/>
          <w:szCs w:val="20"/>
          <w:color w:val="auto"/>
        </w:rPr>
      </w:pPr>
    </w:p>
    <w:p>
      <w:pPr>
        <w:ind w:left="1340" w:hanging="695"/>
        <w:spacing w:after="0"/>
        <w:tabs>
          <w:tab w:leader="none" w:pos="1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“Non-Employee Director” means a director of the Company who is not a common law employee of the Company or an Affiliate.</w:t>
      </w:r>
    </w:p>
    <w:p>
      <w:pPr>
        <w:spacing w:after="0" w:line="275" w:lineRule="exact"/>
        <w:rPr>
          <w:rFonts w:ascii="Arial" w:cs="Arial" w:eastAsia="Arial" w:hAnsi="Arial"/>
          <w:sz w:val="16"/>
          <w:szCs w:val="16"/>
          <w:color w:val="auto"/>
        </w:rPr>
      </w:pPr>
    </w:p>
    <w:p>
      <w:pPr>
        <w:ind w:left="1340" w:hanging="695"/>
        <w:spacing w:after="0"/>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“Nonstatutory Stock Option” means an Option that is not an Incentive Stock Option.</w:t>
      </w:r>
    </w:p>
    <w:p>
      <w:pPr>
        <w:spacing w:after="0" w:line="252" w:lineRule="exact"/>
        <w:rPr>
          <w:rFonts w:ascii="Arial" w:cs="Arial" w:eastAsia="Arial" w:hAnsi="Arial"/>
          <w:sz w:val="18"/>
          <w:szCs w:val="18"/>
          <w:color w:val="auto"/>
        </w:rPr>
      </w:pPr>
    </w:p>
    <w:p>
      <w:pPr>
        <w:ind w:right="60" w:firstLine="645"/>
        <w:spacing w:after="0" w:line="277" w:lineRule="auto"/>
        <w:tabs>
          <w:tab w:leader="none" w:pos="1393" w:val="left"/>
        </w:tabs>
        <w:numPr>
          <w:ilvl w:val="0"/>
          <w:numId w:val="9"/>
        </w:numPr>
        <w:rPr>
          <w:rFonts w:ascii="Arial" w:cs="Arial" w:eastAsia="Arial" w:hAnsi="Arial"/>
          <w:sz w:val="18"/>
          <w:szCs w:val="18"/>
          <w:color w:val="auto"/>
        </w:rPr>
      </w:pPr>
      <w:r>
        <w:rPr>
          <w:rFonts w:ascii="Arial" w:cs="Arial" w:eastAsia="Arial" w:hAnsi="Arial"/>
          <w:sz w:val="18"/>
          <w:szCs w:val="18"/>
          <w:color w:val="auto"/>
        </w:rPr>
        <w:t>“Option” means a right granted to a Participant under Article 7 of the Plan to purchase Stock at a specified price during specified time periods. An Option may be either an Incentive Stock Option or a Nonstatutory Stock Option.</w:t>
      </w:r>
    </w:p>
    <w:p>
      <w:pPr>
        <w:sectPr>
          <w:pgSz w:w="11900" w:h="16838" w:orient="portrait"/>
          <w:cols w:equalWidth="0" w:num="1">
            <w:col w:w="10740"/>
          </w:cols>
          <w:pgMar w:left="900" w:top="125" w:right="259" w:bottom="31" w:gutter="0" w:footer="0" w:header="0"/>
        </w:sectPr>
      </w:pPr>
    </w:p>
    <w:bookmarkStart w:id="10" w:name="page11"/>
    <w:bookmarkEnd w:id="10"/>
    <w:p>
      <w:pPr>
        <w:spacing w:after="0" w:line="106" w:lineRule="exact"/>
        <w:rPr>
          <w:sz w:val="20"/>
          <w:szCs w:val="20"/>
          <w:color w:val="auto"/>
        </w:rPr>
      </w:pPr>
    </w:p>
    <w:p>
      <w:pPr>
        <w:ind w:left="660" w:right="320" w:firstLine="645"/>
        <w:spacing w:after="0" w:line="277" w:lineRule="auto"/>
        <w:tabs>
          <w:tab w:leader="none" w:pos="2013"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Stock-Based Award” means a right, granted to a Participant under Article 13 that relates to or is valued by reference to Stock or other Awards relating to Stock.</w:t>
      </w:r>
    </w:p>
    <w:p>
      <w:pPr>
        <w:spacing w:after="0" w:line="197" w:lineRule="exact"/>
        <w:rPr>
          <w:rFonts w:ascii="Arial" w:cs="Arial" w:eastAsia="Arial" w:hAnsi="Arial"/>
          <w:sz w:val="18"/>
          <w:szCs w:val="18"/>
          <w:color w:val="auto"/>
        </w:rPr>
      </w:pPr>
    </w:p>
    <w:p>
      <w:pPr>
        <w:ind w:left="660" w:firstLine="645"/>
        <w:spacing w:after="0" w:line="264" w:lineRule="auto"/>
        <w:tabs>
          <w:tab w:leader="none" w:pos="2013"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“Parent” means a corporation, limited liability company, partnership or other entity which owns or beneficially owns a majority of the outstanding voting stock or voting power of the Company. Notwithstanding the above, with respect to an Incentive Stock Option, Parent shall have the meaning set forth in Section 424(e) of the Code.</w:t>
      </w:r>
    </w:p>
    <w:p>
      <w:pPr>
        <w:spacing w:after="0" w:line="208" w:lineRule="exact"/>
        <w:rPr>
          <w:rFonts w:ascii="Arial" w:cs="Arial" w:eastAsia="Arial" w:hAnsi="Arial"/>
          <w:sz w:val="18"/>
          <w:szCs w:val="18"/>
          <w:color w:val="auto"/>
        </w:rPr>
      </w:pPr>
    </w:p>
    <w:p>
      <w:pPr>
        <w:ind w:left="660" w:firstLine="645"/>
        <w:spacing w:after="0" w:line="257" w:lineRule="auto"/>
        <w:tabs>
          <w:tab w:leader="none" w:pos="2003"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“Participant” means a person who, as an employee, non-employee director or consultant of the Company or any Affiliate, has been granted an Award under the Plan; provided that in the case of the death of a Participant, the term “Participant” refers to a beneficiary designated pursuant to Section 14.5 or the legal guardian or other legal representative acting in a fiduciary capacity on behalf of the Participant under applicable state law and court supervision. Notwithstanding the foregoing, a Participant shall not include the chief executive officer or any other officers of the Company.</w:t>
      </w:r>
    </w:p>
    <w:p>
      <w:pPr>
        <w:spacing w:after="0" w:line="215" w:lineRule="exact"/>
        <w:rPr>
          <w:sz w:val="20"/>
          <w:szCs w:val="20"/>
          <w:color w:val="auto"/>
        </w:rPr>
      </w:pPr>
    </w:p>
    <w:p>
      <w:pPr>
        <w:ind w:left="660" w:right="120" w:firstLine="645"/>
        <w:spacing w:after="0" w:line="342" w:lineRule="auto"/>
        <w:tabs>
          <w:tab w:leader="none" w:pos="2083" w:val="left"/>
        </w:tabs>
        <w:numPr>
          <w:ilvl w:val="0"/>
          <w:numId w:val="11"/>
        </w:numPr>
        <w:rPr>
          <w:rFonts w:ascii="Arial" w:cs="Arial" w:eastAsia="Arial" w:hAnsi="Arial"/>
          <w:sz w:val="16"/>
          <w:szCs w:val="16"/>
          <w:color w:val="auto"/>
        </w:rPr>
      </w:pPr>
      <w:r>
        <w:rPr>
          <w:rFonts w:ascii="Arial" w:cs="Arial" w:eastAsia="Arial" w:hAnsi="Arial"/>
          <w:sz w:val="16"/>
          <w:szCs w:val="16"/>
          <w:color w:val="auto"/>
        </w:rPr>
        <w:t>“Performance Share” means any right granted to a Participant under Article 9 to a unit to be valued by reference to a designated number of Shares to be paid upon achievement of such performance goals as the Committee establishes with regard to such Performance Share.</w:t>
      </w:r>
    </w:p>
    <w:p>
      <w:pPr>
        <w:spacing w:after="0" w:line="150" w:lineRule="exact"/>
        <w:rPr>
          <w:rFonts w:ascii="Arial" w:cs="Arial" w:eastAsia="Arial" w:hAnsi="Arial"/>
          <w:sz w:val="16"/>
          <w:szCs w:val="16"/>
          <w:color w:val="auto"/>
        </w:rPr>
      </w:pPr>
    </w:p>
    <w:p>
      <w:pPr>
        <w:ind w:left="2100" w:hanging="795"/>
        <w:spacing w:after="0"/>
        <w:tabs>
          <w:tab w:leader="none" w:pos="2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“Person” means any individual, entity or group, within the meaning of Section 3(a)(9) of the 1934 Act and as used in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13(d)(3) or 14(d)(2) of the 1934 Act.</w:t>
      </w:r>
    </w:p>
    <w:p>
      <w:pPr>
        <w:spacing w:after="0" w:line="238" w:lineRule="exact"/>
        <w:rPr>
          <w:sz w:val="20"/>
          <w:szCs w:val="20"/>
          <w:color w:val="auto"/>
        </w:rPr>
      </w:pPr>
    </w:p>
    <w:p>
      <w:pPr>
        <w:ind w:left="2080" w:hanging="775"/>
        <w:spacing w:after="0"/>
        <w:tabs>
          <w:tab w:leader="none" w:pos="2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“Plan” means the Micron Technology, Inc. 2007 Equity Incentive Plan, as amended from time to time.</w:t>
      </w:r>
    </w:p>
    <w:p>
      <w:pPr>
        <w:spacing w:after="0" w:line="252" w:lineRule="exact"/>
        <w:rPr>
          <w:rFonts w:ascii="Arial" w:cs="Arial" w:eastAsia="Arial" w:hAnsi="Arial"/>
          <w:sz w:val="18"/>
          <w:szCs w:val="18"/>
          <w:color w:val="auto"/>
        </w:rPr>
      </w:pPr>
    </w:p>
    <w:p>
      <w:pPr>
        <w:ind w:left="660" w:right="180" w:firstLine="645"/>
        <w:spacing w:after="0" w:line="342" w:lineRule="auto"/>
        <w:tabs>
          <w:tab w:leader="none" w:pos="2103" w:val="left"/>
        </w:tabs>
        <w:numPr>
          <w:ilvl w:val="0"/>
          <w:numId w:val="12"/>
        </w:numPr>
        <w:rPr>
          <w:rFonts w:ascii="Arial" w:cs="Arial" w:eastAsia="Arial" w:hAnsi="Arial"/>
          <w:sz w:val="16"/>
          <w:szCs w:val="16"/>
          <w:color w:val="auto"/>
        </w:rPr>
      </w:pPr>
      <w:r>
        <w:rPr>
          <w:rFonts w:ascii="Arial" w:cs="Arial" w:eastAsia="Arial" w:hAnsi="Arial"/>
          <w:sz w:val="16"/>
          <w:szCs w:val="16"/>
          <w:color w:val="auto"/>
        </w:rPr>
        <w:t>“Qualified Performance-Based Award” means an Award that is either (i) intended to qualify for the Section 162(m) Exemption and is made subject to performance goals based on Qualified Business Criteria as set forth in Section 14.10(b), or (ii) an Option or SAR.</w:t>
      </w:r>
    </w:p>
    <w:p>
      <w:pPr>
        <w:spacing w:after="0" w:line="150" w:lineRule="exact"/>
        <w:rPr>
          <w:rFonts w:ascii="Arial" w:cs="Arial" w:eastAsia="Arial" w:hAnsi="Arial"/>
          <w:sz w:val="16"/>
          <w:szCs w:val="16"/>
          <w:color w:val="auto"/>
        </w:rPr>
      </w:pPr>
    </w:p>
    <w:p>
      <w:pPr>
        <w:ind w:left="660" w:right="340" w:firstLine="645"/>
        <w:spacing w:after="0" w:line="277" w:lineRule="auto"/>
        <w:tabs>
          <w:tab w:leader="none" w:pos="2083"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“Qualified Business Criteria” means one or more of the Business Criteria listed in Section 14.10(b) upon which performance goals for certain Qualified Performance-Based Awards may be established by the Committee.</w:t>
      </w:r>
    </w:p>
    <w:p>
      <w:pPr>
        <w:spacing w:after="0" w:line="197" w:lineRule="exact"/>
        <w:rPr>
          <w:rFonts w:ascii="Arial" w:cs="Arial" w:eastAsia="Arial" w:hAnsi="Arial"/>
          <w:sz w:val="18"/>
          <w:szCs w:val="18"/>
          <w:color w:val="auto"/>
        </w:rPr>
      </w:pPr>
    </w:p>
    <w:p>
      <w:pPr>
        <w:ind w:left="2040" w:hanging="735"/>
        <w:spacing w:after="0"/>
        <w:tabs>
          <w:tab w:leader="none" w:pos="20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“Restricted Stock Award” means Stock granted to a Participant under Article 10 that is subject to certain restrictions and to risk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forfeiture.</w:t>
      </w:r>
    </w:p>
    <w:p>
      <w:pPr>
        <w:spacing w:after="0" w:line="237" w:lineRule="exact"/>
        <w:rPr>
          <w:rFonts w:ascii="Arial" w:cs="Arial" w:eastAsia="Arial" w:hAnsi="Arial"/>
          <w:sz w:val="16"/>
          <w:szCs w:val="16"/>
          <w:color w:val="auto"/>
        </w:rPr>
      </w:pPr>
    </w:p>
    <w:p>
      <w:pPr>
        <w:ind w:left="660" w:right="420" w:firstLine="645"/>
        <w:spacing w:after="0" w:line="264" w:lineRule="auto"/>
        <w:tabs>
          <w:tab w:leader="none" w:pos="2103"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“Restricted Stock Unit Award” means the right granted to a Participant under Article 10 to receive shares of Stock (or the equivalent value in cash or other property if the Committee so provides) in the future, which right is subject to certain restrictions and to risk of forfeiture.</w:t>
      </w:r>
    </w:p>
    <w:p>
      <w:pPr>
        <w:spacing w:after="0" w:line="208" w:lineRule="exact"/>
        <w:rPr>
          <w:rFonts w:ascii="Arial" w:cs="Arial" w:eastAsia="Arial" w:hAnsi="Arial"/>
          <w:sz w:val="18"/>
          <w:szCs w:val="18"/>
          <w:color w:val="auto"/>
        </w:rPr>
      </w:pPr>
    </w:p>
    <w:p>
      <w:pPr>
        <w:ind w:left="660" w:right="100" w:firstLine="645"/>
        <w:spacing w:after="0" w:line="277" w:lineRule="auto"/>
        <w:tabs>
          <w:tab w:leader="none" w:pos="2103"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“Section 162(m) Exemption” means the exemption from the limitation on deductibility imposed by Section 162(m) of the Code that is set forth in Section 162(m)(4)(C) of the Code or any successor provision thereto.</w:t>
      </w:r>
    </w:p>
    <w:p>
      <w:pPr>
        <w:spacing w:after="0" w:line="197" w:lineRule="exact"/>
        <w:rPr>
          <w:rFonts w:ascii="Arial" w:cs="Arial" w:eastAsia="Arial" w:hAnsi="Arial"/>
          <w:sz w:val="18"/>
          <w:szCs w:val="18"/>
          <w:color w:val="auto"/>
        </w:rPr>
      </w:pPr>
    </w:p>
    <w:p>
      <w:pPr>
        <w:ind w:left="660" w:right="60" w:firstLine="645"/>
        <w:spacing w:after="0" w:line="264" w:lineRule="auto"/>
        <w:tabs>
          <w:tab w:leader="none" w:pos="20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“Shares” means shares of the Company’s Stock. If there has been an adjustment or substitution pursuant to Section 15.1, the term “Shares” shall also include any shares of stock or other securities that are substituted for Shares or into which Shares are adjusted pursuant to Section 15.1.</w:t>
      </w:r>
    </w:p>
    <w:p>
      <w:pPr>
        <w:spacing w:after="0" w:line="208" w:lineRule="exact"/>
        <w:rPr>
          <w:rFonts w:ascii="Arial" w:cs="Arial" w:eastAsia="Arial" w:hAnsi="Arial"/>
          <w:sz w:val="18"/>
          <w:szCs w:val="18"/>
          <w:color w:val="auto"/>
        </w:rPr>
      </w:pPr>
    </w:p>
    <w:p>
      <w:pPr>
        <w:ind w:left="660" w:right="60" w:firstLine="645"/>
        <w:spacing w:after="0" w:line="277" w:lineRule="auto"/>
        <w:tabs>
          <w:tab w:leader="none" w:pos="20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“Stock” means the $.10 par value common stock of the Company and such other securities of the Company as may be substituted for Stock pursuant to Article 15.</w:t>
      </w:r>
    </w:p>
    <w:p>
      <w:pPr>
        <w:spacing w:after="0" w:line="197" w:lineRule="exact"/>
        <w:rPr>
          <w:rFonts w:ascii="Arial" w:cs="Arial" w:eastAsia="Arial" w:hAnsi="Arial"/>
          <w:sz w:val="18"/>
          <w:szCs w:val="18"/>
          <w:color w:val="auto"/>
        </w:rPr>
      </w:pPr>
    </w:p>
    <w:p>
      <w:pPr>
        <w:ind w:left="660" w:right="60" w:firstLine="645"/>
        <w:spacing w:after="0" w:line="264" w:lineRule="auto"/>
        <w:tabs>
          <w:tab w:leader="none" w:pos="2103"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“Stock Appreciation Right” or “SAR” means a right granted to a Participant under Article 8 to receive a payment equal to the difference between the Fair Market Value of a Share as of the date of exercise of the SAR over the base price of the SAR, all as determined pursuant to Article 8.</w:t>
      </w:r>
    </w:p>
    <w:p>
      <w:pPr>
        <w:spacing w:after="0" w:line="208" w:lineRule="exact"/>
        <w:rPr>
          <w:rFonts w:ascii="Arial" w:cs="Arial" w:eastAsia="Arial" w:hAnsi="Arial"/>
          <w:sz w:val="18"/>
          <w:szCs w:val="18"/>
          <w:color w:val="auto"/>
        </w:rPr>
      </w:pPr>
    </w:p>
    <w:p>
      <w:pPr>
        <w:ind w:left="660" w:right="100" w:firstLine="645"/>
        <w:spacing w:after="0" w:line="264" w:lineRule="auto"/>
        <w:tabs>
          <w:tab w:leader="none" w:pos="20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“Subsidiary” means any corporation, limited liability company, partnership or other entity of which a majority of the outstanding voting stock or voting power is beneficially owned directly or indirectly by the Company. Notwithstanding the above, with respect to an Incentive Stock Option, Subsidiary shall have the meaning set forth in Section 424(f) of the Code.</w:t>
      </w:r>
    </w:p>
    <w:p>
      <w:pPr>
        <w:spacing w:after="0" w:line="208" w:lineRule="exact"/>
        <w:rPr>
          <w:rFonts w:ascii="Arial" w:cs="Arial" w:eastAsia="Arial" w:hAnsi="Arial"/>
          <w:sz w:val="18"/>
          <w:szCs w:val="18"/>
          <w:color w:val="auto"/>
        </w:rPr>
      </w:pPr>
    </w:p>
    <w:p>
      <w:pPr>
        <w:ind w:left="2200" w:hanging="895"/>
        <w:spacing w:after="0"/>
        <w:tabs>
          <w:tab w:leader="none" w:pos="2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“1933 Act” means the Securities Act of 1933, as amended from time to time.</w:t>
      </w:r>
    </w:p>
    <w:p>
      <w:pPr>
        <w:spacing w:after="0" w:line="252" w:lineRule="exact"/>
        <w:rPr>
          <w:rFonts w:ascii="Arial" w:cs="Arial" w:eastAsia="Arial" w:hAnsi="Arial"/>
          <w:sz w:val="18"/>
          <w:szCs w:val="18"/>
          <w:color w:val="auto"/>
        </w:rPr>
      </w:pPr>
    </w:p>
    <w:p>
      <w:pPr>
        <w:ind w:left="2100" w:hanging="795"/>
        <w:spacing w:after="0"/>
        <w:tabs>
          <w:tab w:leader="none" w:pos="2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“1934 Act” means the Securities Exchange Act of 1934, as amended from time to time.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EFFECTIVE TERM OF PLAN</w:t>
      </w:r>
    </w:p>
    <w:p>
      <w:pPr>
        <w:spacing w:after="0" w:line="23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i w:val="1"/>
          <w:iCs w:val="1"/>
          <w:color w:val="auto"/>
        </w:rPr>
        <w:t>EFFECTIVE DATE.</w:t>
      </w:r>
      <w:r>
        <w:rPr>
          <w:rFonts w:ascii="Arial" w:cs="Arial" w:eastAsia="Arial" w:hAnsi="Arial"/>
          <w:sz w:val="18"/>
          <w:szCs w:val="18"/>
          <w:color w:val="auto"/>
        </w:rPr>
        <w:t xml:space="preserve"> The Plan shall be effective as of the date it is approved by both the Board and the stockholders of the Company (the “Effective Date”).</w:t>
      </w:r>
    </w:p>
    <w:p>
      <w:pPr>
        <w:spacing w:after="0" w:line="19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i w:val="1"/>
          <w:iCs w:val="1"/>
          <w:color w:val="auto"/>
        </w:rPr>
        <w:t>TERMINATION OF PLAN.</w:t>
      </w:r>
      <w:r>
        <w:rPr>
          <w:rFonts w:ascii="Arial" w:cs="Arial" w:eastAsia="Arial" w:hAnsi="Arial"/>
          <w:sz w:val="18"/>
          <w:szCs w:val="18"/>
          <w:color w:val="auto"/>
        </w:rPr>
        <w:t xml:space="preserve"> The Plan shall terminate on the tenth anniversary of the Effective Date unless earlier terminated as provided herein, which shall continue to be governed by the applicable terms and conditions of this Plan. The termination of the Plan on such date shall not affect the validity of any Award outstanding on the date of termination. No Incentive Stock Options may be granted more than ten years after the earlier of (a) adoption of this Plan by the Board, or (b) the Effective Date.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ADMINISTRATION</w:t>
      </w:r>
    </w:p>
    <w:p>
      <w:pPr>
        <w:spacing w:after="0" w:line="238"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i w:val="1"/>
          <w:iCs w:val="1"/>
          <w:color w:val="auto"/>
        </w:rPr>
        <w:t>COMMITTEE.</w:t>
      </w:r>
      <w:r>
        <w:rPr>
          <w:rFonts w:ascii="Arial" w:cs="Arial" w:eastAsia="Arial" w:hAnsi="Arial"/>
          <w:sz w:val="16"/>
          <w:szCs w:val="16"/>
          <w:color w:val="auto"/>
        </w:rPr>
        <w:t xml:space="preserve"> The Plan shall be administered by a Committee appointed by the Board (which Committee shall consist of at least two directors) or, at the discretion of the Board from time to time, the Plan may be administered by the Board. It is intended that at least two of the directors appointed to serve on the Committee shall be “non-employee directors” (within the meaning of Rule 16b-3 promulgated under the 1934 Act) and “outside directors” (within the meaning of Code Section 162(m)) and that any such members of the Committee who do not so qualify shall abstain from participating</w:t>
      </w:r>
    </w:p>
    <w:p>
      <w:pPr>
        <w:sectPr>
          <w:pgSz w:w="11900" w:h="16945" w:orient="portrait"/>
          <w:cols w:equalWidth="0" w:num="1">
            <w:col w:w="11400"/>
          </w:cols>
          <w:pgMar w:left="240" w:top="125" w:right="259" w:bottom="0" w:gutter="0" w:footer="0" w:header="0"/>
        </w:sectPr>
      </w:pPr>
    </w:p>
    <w:bookmarkStart w:id="11" w:name="page12"/>
    <w:bookmarkEnd w:id="11"/>
    <w:p>
      <w:pPr>
        <w:spacing w:after="0" w:line="270" w:lineRule="auto"/>
        <w:rPr>
          <w:sz w:val="20"/>
          <w:szCs w:val="20"/>
          <w:color w:val="auto"/>
        </w:rPr>
      </w:pPr>
      <w:r>
        <w:rPr>
          <w:rFonts w:ascii="Arial" w:cs="Arial" w:eastAsia="Arial" w:hAnsi="Arial"/>
          <w:sz w:val="17"/>
          <w:szCs w:val="17"/>
          <w:color w:val="auto"/>
        </w:rPr>
        <w:t>in any decision to make or administer Awards that are made to Eligible Participants who at the time of consideration for such Award (i) are persons subject to the short-swing profit rules of Section 16 of the 1934 Act, or (ii) are reasonably anticipated to become Covered Employees during the term of the Award. However, the mere fact that a Committee member shall fail to qualify under either of the foregoing requirements or shall fail to abstain from such action shall not invalidate any Award made by the Committee which Award is otherwise validly made under the Plan. The members of the Committee shall be appointed by, and may be changed at any time and from time to time in the discretion of, the Board. The Board may reserve to itself any or all of the authority and responsibility of the Committee under the Plan or may act as administrator of the Plan for any and all purposes. To the extent the Board has reserved any authority and responsibility or during any time that the Board is acting as administrator of the Plan, it shall have all the powers of the Committee hereunder, and any r eference herein to the Committee (other than in this Section 4.1) shall include the Board. To the extent any action of the Board under the Plan conflicts with actions taken by the Committee, the actions of the Board shall control.</w:t>
      </w:r>
    </w:p>
    <w:p>
      <w:pPr>
        <w:spacing w:after="0" w:line="209" w:lineRule="exact"/>
        <w:rPr>
          <w:sz w:val="20"/>
          <w:szCs w:val="20"/>
          <w:color w:val="auto"/>
        </w:rPr>
      </w:pPr>
    </w:p>
    <w:p>
      <w:pPr>
        <w:ind w:right="220" w:firstLine="648"/>
        <w:spacing w:after="0" w:line="291"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i w:val="1"/>
          <w:iCs w:val="1"/>
          <w:color w:val="auto"/>
        </w:rPr>
        <w:t>ACTION AND INTERPRETATIONS BY THE COMMITTEE.</w:t>
      </w:r>
      <w:r>
        <w:rPr>
          <w:rFonts w:ascii="Arial" w:cs="Arial" w:eastAsia="Arial" w:hAnsi="Arial"/>
          <w:sz w:val="16"/>
          <w:szCs w:val="16"/>
          <w:color w:val="auto"/>
        </w:rPr>
        <w:t xml:space="preserve"> For purposes of administering the Plan, the Committee may from time to time adopt rules, regulations, guidelines and procedures for carrying out the provisions and purposes of the Plan and make such other determinations, not inconsistent with the Plan, as the Committee may deem appropriate. The Committee’s interpretation of the Plan, any Awards granted under the Plan, any Award Certificate and all decisions and determinations by the Committee with respect to the Plan are final, binding, and conclusive on all parties. Each member of the Committee is entitled to, in good faith, rely or act upon any report or other information furnished to that member by any officer or other employee of the Company or any Affiliate, the Company’s or an Affiliate’s independent certified public accountants, Company counsel or any executive compensation consultant or other professional retained by the Company to assist in the administration of the Plan.</w:t>
      </w:r>
    </w:p>
    <w:p>
      <w:pPr>
        <w:spacing w:after="0" w:line="194"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i w:val="1"/>
          <w:iCs w:val="1"/>
          <w:color w:val="auto"/>
        </w:rPr>
        <w:t xml:space="preserve">AUTHORITY OF COMMITTEE. </w:t>
      </w:r>
      <w:r>
        <w:rPr>
          <w:rFonts w:ascii="Arial" w:cs="Arial" w:eastAsia="Arial" w:hAnsi="Arial"/>
          <w:sz w:val="16"/>
          <w:szCs w:val="16"/>
          <w:color w:val="auto"/>
        </w:rPr>
        <w:t>Except as provided below, the Committee has the exclusive power, authority and discretion to:</w:t>
      </w:r>
    </w:p>
    <w:p>
      <w:pPr>
        <w:spacing w:after="0" w:line="252" w:lineRule="exact"/>
        <w:rPr>
          <w:sz w:val="20"/>
          <w:szCs w:val="20"/>
          <w:color w:val="auto"/>
        </w:rPr>
      </w:pPr>
    </w:p>
    <w:p>
      <w:pPr>
        <w:ind w:left="2000" w:hanging="695"/>
        <w:spacing w:after="0"/>
        <w:tabs>
          <w:tab w:leader="none" w:pos="2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Grant Awards;</w:t>
      </w:r>
    </w:p>
    <w:p>
      <w:pPr>
        <w:spacing w:after="0" w:line="252" w:lineRule="exact"/>
        <w:rPr>
          <w:rFonts w:ascii="Arial" w:cs="Arial" w:eastAsia="Arial" w:hAnsi="Arial"/>
          <w:sz w:val="18"/>
          <w:szCs w:val="18"/>
          <w:color w:val="auto"/>
        </w:rPr>
      </w:pPr>
    </w:p>
    <w:p>
      <w:pPr>
        <w:ind w:left="2000" w:hanging="695"/>
        <w:spacing w:after="0"/>
        <w:tabs>
          <w:tab w:leader="none" w:pos="2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Designate Participants;</w:t>
      </w:r>
    </w:p>
    <w:p>
      <w:pPr>
        <w:spacing w:after="0" w:line="252" w:lineRule="exact"/>
        <w:rPr>
          <w:rFonts w:ascii="Arial" w:cs="Arial" w:eastAsia="Arial" w:hAnsi="Arial"/>
          <w:sz w:val="18"/>
          <w:szCs w:val="18"/>
          <w:color w:val="auto"/>
        </w:rPr>
      </w:pPr>
    </w:p>
    <w:p>
      <w:pPr>
        <w:ind w:left="2000" w:hanging="695"/>
        <w:spacing w:after="0"/>
        <w:tabs>
          <w:tab w:leader="none" w:pos="2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to each Participant;</w:t>
      </w:r>
    </w:p>
    <w:p>
      <w:pPr>
        <w:spacing w:after="0" w:line="252" w:lineRule="exact"/>
        <w:rPr>
          <w:rFonts w:ascii="Arial" w:cs="Arial" w:eastAsia="Arial" w:hAnsi="Arial"/>
          <w:sz w:val="18"/>
          <w:szCs w:val="18"/>
          <w:color w:val="auto"/>
        </w:rPr>
      </w:pPr>
    </w:p>
    <w:p>
      <w:pPr>
        <w:ind w:left="2000" w:hanging="695"/>
        <w:spacing w:after="0"/>
        <w:tabs>
          <w:tab w:leader="none" w:pos="2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Determine the number of Awards to be granted and the number of Shares or dollar amount to which an Award will relate;</w:t>
      </w:r>
    </w:p>
    <w:p>
      <w:pPr>
        <w:spacing w:after="0" w:line="263" w:lineRule="exact"/>
        <w:rPr>
          <w:rFonts w:ascii="Arial" w:cs="Arial" w:eastAsia="Arial" w:hAnsi="Arial"/>
          <w:sz w:val="17"/>
          <w:szCs w:val="17"/>
          <w:color w:val="auto"/>
        </w:rPr>
      </w:pPr>
    </w:p>
    <w:p>
      <w:pPr>
        <w:ind w:left="660" w:right="220" w:firstLine="645"/>
        <w:spacing w:after="0" w:line="259" w:lineRule="auto"/>
        <w:tabs>
          <w:tab w:leader="none" w:pos="2003"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Determine the terms and conditions of any Award granted under the Plan, including but not limited to, the exercise price, base price, or purchase price, any restrictions or limitations on the Award, any schedule for lapse of forfeiture restrictions or restrictions on the exercisability of an Award, and accelerations or waivers thereof, based in each case on such considerations as the Committee in its sole discretion determines;</w:t>
      </w:r>
    </w:p>
    <w:p>
      <w:pPr>
        <w:spacing w:after="0" w:line="213" w:lineRule="exact"/>
        <w:rPr>
          <w:rFonts w:ascii="Arial" w:cs="Arial" w:eastAsia="Arial" w:hAnsi="Arial"/>
          <w:sz w:val="18"/>
          <w:szCs w:val="18"/>
          <w:color w:val="auto"/>
        </w:rPr>
      </w:pPr>
    </w:p>
    <w:p>
      <w:pPr>
        <w:ind w:left="660" w:right="280" w:firstLine="645"/>
        <w:spacing w:after="0" w:line="277" w:lineRule="auto"/>
        <w:tabs>
          <w:tab w:leader="none" w:pos="1973"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Accelerate the vesting, exercisability or lapse of restrictions of any outstanding Award, in accordance with Article 14, based in each case on such considerations as the Committee in its sole discretion determines;</w:t>
      </w:r>
    </w:p>
    <w:p>
      <w:pPr>
        <w:spacing w:after="0" w:line="197" w:lineRule="exact"/>
        <w:rPr>
          <w:rFonts w:ascii="Arial" w:cs="Arial" w:eastAsia="Arial" w:hAnsi="Arial"/>
          <w:sz w:val="18"/>
          <w:szCs w:val="18"/>
          <w:color w:val="auto"/>
        </w:rPr>
      </w:pPr>
    </w:p>
    <w:p>
      <w:pPr>
        <w:ind w:left="660" w:right="120" w:firstLine="645"/>
        <w:spacing w:after="0" w:line="277" w:lineRule="auto"/>
        <w:tabs>
          <w:tab w:leader="none" w:pos="2013"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Determine whether, to what extent, and under what circumstances an Award may be settled in, or the exercise price of an Award may be paid in, cash, Stock, other Awards, or other property, or an Award may be canceled, forfeited, or surrendered;</w:t>
      </w:r>
    </w:p>
    <w:p>
      <w:pPr>
        <w:spacing w:after="0" w:line="197" w:lineRule="exact"/>
        <w:rPr>
          <w:rFonts w:ascii="Arial" w:cs="Arial" w:eastAsia="Arial" w:hAnsi="Arial"/>
          <w:sz w:val="18"/>
          <w:szCs w:val="18"/>
          <w:color w:val="auto"/>
        </w:rPr>
      </w:pPr>
    </w:p>
    <w:p>
      <w:pPr>
        <w:ind w:left="2000" w:hanging="695"/>
        <w:spacing w:after="0"/>
        <w:tabs>
          <w:tab w:leader="none" w:pos="2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Prescribe the form of each Award Certificate, which need not be identical for each Participant;</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Decide all other matters that must be determined in connection with an Award;</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Establish, adopt or revise any rules, regulations, guidelines or procedures as it may deem necessary or advisable to administer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237" w:lineRule="exact"/>
        <w:rPr>
          <w:rFonts w:ascii="Arial" w:cs="Arial" w:eastAsia="Arial" w:hAnsi="Arial"/>
          <w:sz w:val="16"/>
          <w:szCs w:val="16"/>
          <w:color w:val="auto"/>
        </w:rPr>
      </w:pPr>
    </w:p>
    <w:p>
      <w:pPr>
        <w:ind w:left="660" w:right="600" w:firstLine="645"/>
        <w:spacing w:after="0" w:line="277" w:lineRule="auto"/>
        <w:tabs>
          <w:tab w:leader="none" w:pos="2013"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all other decisions and determinations that may be required under the Plan or as the Committee deems necessary or advisable to administer the Plan;</w:t>
      </w:r>
    </w:p>
    <w:p>
      <w:pPr>
        <w:spacing w:after="0" w:line="197" w:lineRule="exact"/>
        <w:rPr>
          <w:rFonts w:ascii="Arial" w:cs="Arial" w:eastAsia="Arial" w:hAnsi="Arial"/>
          <w:sz w:val="18"/>
          <w:szCs w:val="18"/>
          <w:color w:val="auto"/>
        </w:rPr>
      </w:pPr>
    </w:p>
    <w:p>
      <w:pPr>
        <w:ind w:left="1960" w:hanging="655"/>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Amend the Plan or any Award Certificate as provided herein; and</w:t>
      </w:r>
    </w:p>
    <w:p>
      <w:pPr>
        <w:spacing w:after="0" w:line="252" w:lineRule="exact"/>
        <w:rPr>
          <w:rFonts w:ascii="Arial" w:cs="Arial" w:eastAsia="Arial" w:hAnsi="Arial"/>
          <w:sz w:val="18"/>
          <w:szCs w:val="18"/>
          <w:color w:val="auto"/>
        </w:rPr>
      </w:pPr>
    </w:p>
    <w:p>
      <w:pPr>
        <w:ind w:left="660" w:right="180" w:firstLine="645"/>
        <w:spacing w:after="0" w:line="264" w:lineRule="auto"/>
        <w:tabs>
          <w:tab w:leader="none" w:pos="2053"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Adopt such modifications, procedures, and subplans as may be necessary or desirable to comply with provisions of the laws of non-U.S. jurisdictions in which the Company or any Affiliate may operate, in order to assure the viability of the benefits of Awards granted to participants located in such other jurisdictions and to meet the objectives of the Plan.</w:t>
      </w:r>
    </w:p>
    <w:p>
      <w:pPr>
        <w:spacing w:after="0" w:line="20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Notwithstanding the foregoing, grants of Awards to Non-Employee Directors hereunder shall be made only in accordance with the terms, conditions and parameters of a plan, program or policy for the compensation of Non-Employee Directors as in effect from time to time, and the Committee may not make discretionary grants hereunder to Non-Employee Directors.</w:t>
      </w:r>
    </w:p>
    <w:p>
      <w:pPr>
        <w:spacing w:after="0" w:line="20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Notwithstanding the above, the Board may, by resolution, expressly delegate to a special committee, consisting of one or more directors who may but need not be officers of the Company, the authority, within specified parameters, to (i) designate officers, employees and/or consultants of the Company or any of its Affiliates to be recipients of Awards under the Plan, and (ii) to determine the number of such Awards to be received by any such Participants; provided, however, that such delegation of duties and responsibilities to an officer of the Company may not be made with respect to the grant of Awards to eligible participants (a) who are subject to Section 16(a) of the 1934 Act at the Grant Date, or (b) who as of the Grant Date are reasonably anticipated to be become Covered Employees during the term of the Award . The acts of such delegates shall be treated hereunder as acts of the Board and such delegates shall report regularly to the Board and the Compensation Committee regarding the delegated duties and responsibilities and any Awards so granted.</w:t>
      </w:r>
    </w:p>
    <w:p>
      <w:pPr>
        <w:spacing w:after="0" w:line="19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i w:val="1"/>
          <w:iCs w:val="1"/>
          <w:color w:val="auto"/>
        </w:rPr>
        <w:t>AWARD CERTIFICATES.</w:t>
      </w:r>
      <w:r>
        <w:rPr>
          <w:rFonts w:ascii="Arial" w:cs="Arial" w:eastAsia="Arial" w:hAnsi="Arial"/>
          <w:sz w:val="18"/>
          <w:szCs w:val="18"/>
          <w:color w:val="auto"/>
        </w:rPr>
        <w:t xml:space="preserve"> Each Award shall be evidenced by an Award Certificate. Each Award Certificate shall include such provisions, not inconsistent with the Plan, as may be specified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707"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SUBJECT TO THE PLAN</w:t>
      </w:r>
    </w:p>
    <w:p>
      <w:pPr>
        <w:spacing w:after="0" w:line="23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i w:val="1"/>
          <w:iCs w:val="1"/>
          <w:color w:val="auto"/>
        </w:rPr>
        <w:t>NUMBER OF SHARES.</w:t>
      </w:r>
      <w:r>
        <w:rPr>
          <w:rFonts w:ascii="Arial" w:cs="Arial" w:eastAsia="Arial" w:hAnsi="Arial"/>
          <w:sz w:val="18"/>
          <w:szCs w:val="18"/>
          <w:color w:val="auto"/>
        </w:rPr>
        <w:t xml:space="preserve"> Subject to adjustment as provided in Sections 5.2 and 15.1, the aggregate number of Shares reserved and available for issuance pursuant to Awards granted under the Plan shall be 60,000,000; provided, however, that each Share issued under the Plan pursuant to a Full Value Award shall reduce the number of available Shares by two (2) shares. The maximum number of Shares that may be issued upon exercise of Incentive Stock Options granted under the Plan shall be 2,000,000.</w:t>
      </w:r>
    </w:p>
    <w:p>
      <w:pPr>
        <w:spacing w:after="0" w:line="214"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i w:val="1"/>
          <w:iCs w:val="1"/>
          <w:color w:val="auto"/>
        </w:rPr>
        <w:t>SHARE COUNTING.</w:t>
      </w:r>
      <w:r>
        <w:rPr>
          <w:rFonts w:ascii="Arial" w:cs="Arial" w:eastAsia="Arial" w:hAnsi="Arial"/>
          <w:sz w:val="18"/>
          <w:szCs w:val="18"/>
          <w:color w:val="auto"/>
        </w:rPr>
        <w:t xml:space="preserve"> Shares covered by an Award shall be subtracted from the Plan share reserve as of the date of grant, but shall be added back to the Plan share reserve in accordance with this Section 5.2.</w:t>
      </w:r>
    </w:p>
    <w:p>
      <w:pPr>
        <w:spacing w:after="0" w:line="197" w:lineRule="exact"/>
        <w:rPr>
          <w:sz w:val="20"/>
          <w:szCs w:val="20"/>
          <w:color w:val="auto"/>
        </w:rPr>
      </w:pPr>
    </w:p>
    <w:p>
      <w:pPr>
        <w:ind w:left="660" w:right="120" w:firstLine="645"/>
        <w:spacing w:after="0" w:line="277" w:lineRule="auto"/>
        <w:tabs>
          <w:tab w:leader="none" w:pos="2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the extent that an Award is canceled, terminates, expires, is forfeited or lapses for any reason, any unissued or forfeited Shares subject to the Award will again be available for issuance pursuant to Awards granted under the Plan.</w:t>
      </w:r>
    </w:p>
    <w:p>
      <w:pPr>
        <w:spacing w:after="0" w:line="197" w:lineRule="exact"/>
        <w:rPr>
          <w:rFonts w:ascii="Arial" w:cs="Arial" w:eastAsia="Arial" w:hAnsi="Arial"/>
          <w:sz w:val="18"/>
          <w:szCs w:val="18"/>
          <w:color w:val="auto"/>
        </w:rPr>
      </w:pPr>
    </w:p>
    <w:p>
      <w:pPr>
        <w:ind w:left="2000" w:hanging="695"/>
        <w:spacing w:after="0"/>
        <w:tabs>
          <w:tab w:leader="none" w:pos="2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Shares subject to Awards settled in cash will again be available for issuance pursuant to Awards granted under the Plan.</w:t>
      </w:r>
    </w:p>
    <w:p>
      <w:pPr>
        <w:spacing w:after="0" w:line="263" w:lineRule="exact"/>
        <w:rPr>
          <w:rFonts w:ascii="Arial" w:cs="Arial" w:eastAsia="Arial" w:hAnsi="Arial"/>
          <w:sz w:val="17"/>
          <w:szCs w:val="17"/>
          <w:color w:val="auto"/>
        </w:rPr>
      </w:pPr>
    </w:p>
    <w:p>
      <w:pPr>
        <w:ind w:left="660" w:right="20" w:firstLine="645"/>
        <w:spacing w:after="0" w:line="277" w:lineRule="auto"/>
        <w:tabs>
          <w:tab w:leader="none" w:pos="2003"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Substitute Awards granted pursuant to Section 14.14 of the Plan shall not count against the Shares otherwise available for issuance under the Plan under Section 5.1.</w:t>
      </w:r>
    </w:p>
    <w:p>
      <w:pPr>
        <w:spacing w:after="0" w:line="19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STOCK DISTRIBUTED.</w:t>
      </w:r>
      <w:r>
        <w:rPr>
          <w:rFonts w:ascii="Arial" w:cs="Arial" w:eastAsia="Arial" w:hAnsi="Arial"/>
          <w:sz w:val="18"/>
          <w:szCs w:val="18"/>
          <w:color w:val="auto"/>
        </w:rPr>
        <w:t xml:space="preserve"> Any Stock distributed pursuant to an Award may consist, in whole or in part, of authorized and unissued Stock, treasury Stock or Stock purchased on the open market.</w:t>
      </w:r>
    </w:p>
    <w:p>
      <w:pPr>
        <w:spacing w:after="0" w:line="19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i w:val="1"/>
          <w:iCs w:val="1"/>
          <w:color w:val="auto"/>
        </w:rPr>
        <w:t xml:space="preserve">LIMITATION ON AWARDS. </w:t>
      </w:r>
      <w:r>
        <w:rPr>
          <w:rFonts w:ascii="Arial" w:cs="Arial" w:eastAsia="Arial" w:hAnsi="Arial"/>
          <w:sz w:val="16"/>
          <w:szCs w:val="16"/>
          <w:color w:val="auto"/>
        </w:rPr>
        <w:t>Notwithstanding any provision in the Plan to the contrary (but subject to adjustment as provided in</w:t>
      </w:r>
    </w:p>
    <w:p>
      <w:pPr>
        <w:spacing w:after="0" w:line="2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Section 15.1), the maximum number of Shares with respect to one or more Options and/or SARs that may be granted during any one calendar year under the Plan to any one Participant shall be 2,000,000. The maximum aggregate grant with respect to Awards of Restricted Stock, Restricted Stock Units, Deferred Stock Units, Performance Shares or other Stock-Based Awards (other than Options or SARs) granted in any one calendar year to any one Participant shall be 2,000,000.</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ELIGIBILITY</w:t>
      </w:r>
    </w:p>
    <w:p>
      <w:pPr>
        <w:spacing w:after="0" w:line="23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GENERAL.</w:t>
      </w:r>
      <w:r>
        <w:rPr>
          <w:rFonts w:ascii="Arial" w:cs="Arial" w:eastAsia="Arial" w:hAnsi="Arial"/>
          <w:sz w:val="18"/>
          <w:szCs w:val="18"/>
          <w:color w:val="auto"/>
        </w:rPr>
        <w:t xml:space="preserve"> Awards may be granted only to Eligible Participants; except that Incentive Stock Options may be granted to only to Eligible Participants who are employees of the Company or a Parent or Subsidiary as defined in Section 424(e) and (f) of the Code. Eligible Participants who are service providers to an Affiliate may be granted Options or SARs under this Plan only if the Affiliate qualifies as an “eligible issuer of service recipient stock” within the meaning of §1.409A-1(b)(5)(iii)(E) of the final regulations under Code Section 409A.</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OPTIONS</w:t>
      </w:r>
    </w:p>
    <w:p>
      <w:pPr>
        <w:spacing w:after="0" w:line="238"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i w:val="1"/>
          <w:iCs w:val="1"/>
          <w:color w:val="auto"/>
        </w:rPr>
        <w:t xml:space="preserve">GENERAL. </w:t>
      </w:r>
      <w:r>
        <w:rPr>
          <w:rFonts w:ascii="Arial" w:cs="Arial" w:eastAsia="Arial" w:hAnsi="Arial"/>
          <w:sz w:val="16"/>
          <w:szCs w:val="16"/>
          <w:color w:val="auto"/>
        </w:rPr>
        <w:t>The Committee is authorized to grant Options to Participants on the following terms and conditions:</w:t>
      </w:r>
    </w:p>
    <w:p>
      <w:pPr>
        <w:spacing w:after="0" w:line="252" w:lineRule="exact"/>
        <w:rPr>
          <w:sz w:val="20"/>
          <w:szCs w:val="20"/>
          <w:color w:val="auto"/>
        </w:rPr>
      </w:pPr>
    </w:p>
    <w:p>
      <w:pPr>
        <w:ind w:left="660" w:right="360" w:firstLine="645"/>
        <w:spacing w:after="0" w:line="264" w:lineRule="auto"/>
        <w:tabs>
          <w:tab w:leader="none" w:pos="2003"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EXERCISE PRICE. The exercise price per Share under an Option shall be determined by the Committee; provided that the exercise price for any Option (other than an Option issued as a substitute Award pursuant to Section 14.14) shall not be less than the Fair Market Value as of the Grant Date.</w:t>
      </w:r>
    </w:p>
    <w:p>
      <w:pPr>
        <w:spacing w:after="0" w:line="208" w:lineRule="exact"/>
        <w:rPr>
          <w:rFonts w:ascii="Arial" w:cs="Arial" w:eastAsia="Arial" w:hAnsi="Arial"/>
          <w:sz w:val="18"/>
          <w:szCs w:val="18"/>
          <w:color w:val="auto"/>
        </w:rPr>
      </w:pPr>
    </w:p>
    <w:p>
      <w:pPr>
        <w:ind w:left="660" w:right="460" w:firstLine="645"/>
        <w:spacing w:after="0" w:line="308" w:lineRule="auto"/>
        <w:tabs>
          <w:tab w:leader="none" w:pos="2013"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PROHIBITION ON REPRICING. Except as otherwise provided in Section 15.1, the exercise price of an Option may not be reduced, directly or indirectly by cancellation and regrant or otherwise, without the prior approval of the shareholders of the Company.</w:t>
      </w:r>
    </w:p>
    <w:p>
      <w:pPr>
        <w:spacing w:after="0" w:line="173" w:lineRule="exact"/>
        <w:rPr>
          <w:rFonts w:ascii="Arial" w:cs="Arial" w:eastAsia="Arial" w:hAnsi="Arial"/>
          <w:sz w:val="17"/>
          <w:szCs w:val="17"/>
          <w:color w:val="auto"/>
        </w:rPr>
      </w:pPr>
    </w:p>
    <w:p>
      <w:pPr>
        <w:ind w:left="660" w:right="80" w:firstLine="645"/>
        <w:spacing w:after="0" w:line="264" w:lineRule="auto"/>
        <w:tabs>
          <w:tab w:leader="none" w:pos="2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TIME AND CONDITIONS OF EXERCISE. The Committee shall determine the time or times at which an Option may be exercised in whole or in part, subject to Section 7.1(e). The Committee shall also determine the performance or other conditions, if any, that must be satisfied before all or part of an Option may be exercised or vested.</w:t>
      </w:r>
    </w:p>
    <w:p>
      <w:pPr>
        <w:spacing w:after="0" w:line="208" w:lineRule="exact"/>
        <w:rPr>
          <w:rFonts w:ascii="Arial" w:cs="Arial" w:eastAsia="Arial" w:hAnsi="Arial"/>
          <w:sz w:val="18"/>
          <w:szCs w:val="18"/>
          <w:color w:val="auto"/>
        </w:rPr>
      </w:pPr>
    </w:p>
    <w:p>
      <w:pPr>
        <w:ind w:left="660" w:right="440" w:firstLine="645"/>
        <w:spacing w:after="0" w:line="264" w:lineRule="auto"/>
        <w:tabs>
          <w:tab w:leader="none" w:pos="2013"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PAYMENT. The Committee shall determine the methods by which the exercise price of an Option may be paid, the form of payment, including, without limitation, cash, Shares, or other property (including “cashless exercise” arrangements), and the methods by which Shares shall be delivered or deemed to be delivered to Participants.</w:t>
      </w:r>
    </w:p>
    <w:p>
      <w:pPr>
        <w:spacing w:after="0" w:line="208" w:lineRule="exact"/>
        <w:rPr>
          <w:rFonts w:ascii="Arial" w:cs="Arial" w:eastAsia="Arial" w:hAnsi="Arial"/>
          <w:sz w:val="18"/>
          <w:szCs w:val="18"/>
          <w:color w:val="auto"/>
        </w:rPr>
      </w:pPr>
    </w:p>
    <w:p>
      <w:pPr>
        <w:ind w:left="2000" w:hanging="695"/>
        <w:spacing w:after="0"/>
        <w:tabs>
          <w:tab w:leader="none" w:pos="2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EXERCISE TERM. No option granted under the Plan shall be exercisable for more than six years from the Grant Date.</w:t>
      </w:r>
    </w:p>
    <w:p>
      <w:pPr>
        <w:spacing w:after="0" w:line="263" w:lineRule="exact"/>
        <w:rPr>
          <w:rFonts w:ascii="Arial" w:cs="Arial" w:eastAsia="Arial" w:hAnsi="Arial"/>
          <w:sz w:val="17"/>
          <w:szCs w:val="17"/>
          <w:color w:val="auto"/>
        </w:rPr>
      </w:pPr>
    </w:p>
    <w:p>
      <w:pPr>
        <w:ind w:left="660" w:right="240" w:firstLine="645"/>
        <w:spacing w:after="0" w:line="277" w:lineRule="auto"/>
        <w:tabs>
          <w:tab w:leader="none" w:pos="1983"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DEFERRAL FEATURE. No Option shall provide for any feature for the deferral of compensation other than the deferral of recognition of income until the exercise or disposition of the Option.</w:t>
      </w:r>
    </w:p>
    <w:p>
      <w:pPr>
        <w:spacing w:after="0" w:line="197" w:lineRule="exact"/>
        <w:rPr>
          <w:rFonts w:ascii="Arial" w:cs="Arial" w:eastAsia="Arial" w:hAnsi="Arial"/>
          <w:sz w:val="18"/>
          <w:szCs w:val="18"/>
          <w:color w:val="auto"/>
        </w:rPr>
      </w:pPr>
    </w:p>
    <w:p>
      <w:pPr>
        <w:ind w:left="660" w:right="380" w:firstLine="645"/>
        <w:spacing w:after="0" w:line="264" w:lineRule="auto"/>
        <w:tabs>
          <w:tab w:leader="none" w:pos="2013"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SUSPENSION. Any Participant who is also a participant in the Retirement at Micron (“RAM”) Section 401(k) Plan and who requests and receives a hardship distribution from the RAM Plan, is prohibited from making, and must suspend, his or her employee elective contributions to the Plan.</w:t>
      </w:r>
    </w:p>
    <w:p>
      <w:pPr>
        <w:spacing w:after="0" w:line="20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INCENTIVE STOCK OPTIONS.</w:t>
      </w:r>
      <w:r>
        <w:rPr>
          <w:rFonts w:ascii="Arial" w:cs="Arial" w:eastAsia="Arial" w:hAnsi="Arial"/>
          <w:sz w:val="18"/>
          <w:szCs w:val="18"/>
          <w:color w:val="auto"/>
        </w:rPr>
        <w:t xml:space="preserve"> The terms of any Incentive Stock Options granted under the Plan must comply with the requirements of Section 422 of the Code. If all of the requirements of Section 422 of the Code are not met, the Option shall automatically become a Nonstatutory Stock Option.</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APPRECIATION RIGHTS</w:t>
      </w:r>
    </w:p>
    <w:p>
      <w:pPr>
        <w:sectPr>
          <w:pgSz w:w="11900" w:h="16838" w:orient="portrait"/>
          <w:cols w:equalWidth="0" w:num="1">
            <w:col w:w="11420"/>
          </w:cols>
          <w:pgMar w:left="240" w:top="513" w:right="239" w:bottom="0" w:gutter="0" w:footer="0" w:header="0"/>
        </w:sectPr>
      </w:pPr>
    </w:p>
    <w:bookmarkStart w:id="13" w:name="page14"/>
    <w:bookmarkEnd w:id="13"/>
    <w:p>
      <w:pPr>
        <w:ind w:right="220" w:firstLine="648"/>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i w:val="1"/>
          <w:iCs w:val="1"/>
          <w:color w:val="auto"/>
        </w:rPr>
        <w:t>GRANT OF STOCK APPRECIATION RIGHTS.</w:t>
      </w:r>
      <w:r>
        <w:rPr>
          <w:rFonts w:ascii="Arial" w:cs="Arial" w:eastAsia="Arial" w:hAnsi="Arial"/>
          <w:sz w:val="18"/>
          <w:szCs w:val="18"/>
          <w:color w:val="auto"/>
        </w:rPr>
        <w:t xml:space="preserve"> The Committee is authorized to grant Stock Appreciation Rights to Participants on the following terms and conditions:</w:t>
      </w:r>
    </w:p>
    <w:p>
      <w:pPr>
        <w:spacing w:after="0" w:line="197" w:lineRule="exact"/>
        <w:rPr>
          <w:sz w:val="20"/>
          <w:szCs w:val="20"/>
          <w:color w:val="auto"/>
        </w:rPr>
      </w:pPr>
    </w:p>
    <w:p>
      <w:pPr>
        <w:ind w:left="660" w:right="280" w:firstLine="645"/>
        <w:spacing w:after="0" w:line="277" w:lineRule="auto"/>
        <w:tabs>
          <w:tab w:leader="none" w:pos="2003"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RIGHT TO PAYMENT. Upon the exercise of a Stock Appreciation Right, the Participant to whom it is granted has the right to receive the excess, if any, of:</w:t>
      </w:r>
    </w:p>
    <w:p>
      <w:pPr>
        <w:spacing w:after="0" w:line="197" w:lineRule="exact"/>
        <w:rPr>
          <w:rFonts w:ascii="Arial" w:cs="Arial" w:eastAsia="Arial" w:hAnsi="Arial"/>
          <w:sz w:val="18"/>
          <w:szCs w:val="18"/>
          <w:color w:val="auto"/>
        </w:rPr>
      </w:pPr>
    </w:p>
    <w:p>
      <w:pPr>
        <w:ind w:left="2660" w:hanging="707"/>
        <w:spacing w:after="0"/>
        <w:tabs>
          <w:tab w:leader="none" w:pos="2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Fair Market Value of one Share on the date of exercise; over</w:t>
      </w:r>
    </w:p>
    <w:p>
      <w:pPr>
        <w:spacing w:after="0" w:line="252" w:lineRule="exact"/>
        <w:rPr>
          <w:rFonts w:ascii="Arial" w:cs="Arial" w:eastAsia="Arial" w:hAnsi="Arial"/>
          <w:sz w:val="18"/>
          <w:szCs w:val="18"/>
          <w:color w:val="auto"/>
        </w:rPr>
      </w:pPr>
    </w:p>
    <w:p>
      <w:pPr>
        <w:ind w:left="1300" w:right="300" w:firstLine="653"/>
        <w:spacing w:after="0" w:line="277" w:lineRule="auto"/>
        <w:tabs>
          <w:tab w:leader="none" w:pos="265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base price of the Stock Appreciation Right as determined by the Committee, which shall not be less than the Fair Market Value of one Share on the Grant Date.</w:t>
      </w:r>
    </w:p>
    <w:p>
      <w:pPr>
        <w:spacing w:after="0" w:line="197" w:lineRule="exact"/>
        <w:rPr>
          <w:rFonts w:ascii="Arial" w:cs="Arial" w:eastAsia="Arial" w:hAnsi="Arial"/>
          <w:sz w:val="18"/>
          <w:szCs w:val="18"/>
          <w:color w:val="auto"/>
        </w:rPr>
      </w:pPr>
    </w:p>
    <w:p>
      <w:pPr>
        <w:ind w:left="660" w:right="300" w:firstLine="645"/>
        <w:spacing w:after="0" w:line="308" w:lineRule="auto"/>
        <w:tabs>
          <w:tab w:leader="none" w:pos="2013"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PROHIBITION ON REPRICING. Except as otherwise provided in Section 15.1, the base price of a SAR may not be reduced, directly or indirectly by cancellation and regrant or otherwise, without the prior approval of the shareholders of the Company.</w:t>
      </w:r>
    </w:p>
    <w:p>
      <w:pPr>
        <w:spacing w:after="0" w:line="173" w:lineRule="exact"/>
        <w:rPr>
          <w:rFonts w:ascii="Arial" w:cs="Arial" w:eastAsia="Arial" w:hAnsi="Arial"/>
          <w:sz w:val="17"/>
          <w:szCs w:val="17"/>
          <w:color w:val="auto"/>
        </w:rPr>
      </w:pPr>
    </w:p>
    <w:p>
      <w:pPr>
        <w:ind w:left="2000" w:hanging="695"/>
        <w:spacing w:after="0"/>
        <w:tabs>
          <w:tab w:leader="none" w:pos="2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EXERCISE TERM. No SAR granted under the Plan shall be exercisable for more than six years from the Grant Date.</w:t>
      </w:r>
    </w:p>
    <w:p>
      <w:pPr>
        <w:spacing w:after="0" w:line="252" w:lineRule="exact"/>
        <w:rPr>
          <w:rFonts w:ascii="Arial" w:cs="Arial" w:eastAsia="Arial" w:hAnsi="Arial"/>
          <w:sz w:val="18"/>
          <w:szCs w:val="18"/>
          <w:color w:val="auto"/>
        </w:rPr>
      </w:pPr>
    </w:p>
    <w:p>
      <w:pPr>
        <w:ind w:left="660" w:right="340" w:firstLine="645"/>
        <w:spacing w:after="0" w:line="277" w:lineRule="auto"/>
        <w:tabs>
          <w:tab w:leader="none" w:pos="2013"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DEFERRAL FEATURE. No SAR shall provide for any feature for the deferral of compensation other than the deferral of recognition of income until the exercise or disposition of the SAR.</w:t>
      </w:r>
    </w:p>
    <w:p>
      <w:pPr>
        <w:spacing w:after="0" w:line="197" w:lineRule="exact"/>
        <w:rPr>
          <w:rFonts w:ascii="Arial" w:cs="Arial" w:eastAsia="Arial" w:hAnsi="Arial"/>
          <w:sz w:val="18"/>
          <w:szCs w:val="18"/>
          <w:color w:val="auto"/>
        </w:rPr>
      </w:pPr>
    </w:p>
    <w:p>
      <w:pPr>
        <w:ind w:left="660" w:right="100" w:firstLine="645"/>
        <w:spacing w:after="0" w:line="259" w:lineRule="auto"/>
        <w:tabs>
          <w:tab w:leader="none" w:pos="2003"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TERMS. All awards of Stock Appreciation Rights shall be evidenced by an Award Certificate. Subject to the limitations of this Article 8, the terms, methods of exercise, methods of settlement, form of consideration payable in settlement, and any other terms and conditions of any Stock Appreciation Right shall be determined by the Committee at the time of the grant of the Award and shall be reflected in the Award Certificate.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PERFORMANCE SHARES</w:t>
      </w:r>
    </w:p>
    <w:p>
      <w:pPr>
        <w:spacing w:after="0" w:line="238"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i w:val="1"/>
          <w:iCs w:val="1"/>
          <w:color w:val="auto"/>
        </w:rPr>
        <w:t>GRANT OF PERFORMANCE SHARES.</w:t>
      </w:r>
      <w:r>
        <w:rPr>
          <w:rFonts w:ascii="Arial" w:cs="Arial" w:eastAsia="Arial" w:hAnsi="Arial"/>
          <w:sz w:val="17"/>
          <w:szCs w:val="17"/>
          <w:color w:val="auto"/>
        </w:rPr>
        <w:t xml:space="preserve"> The Committee is authorized to grant Performance Shares to Participants on such terms and conditions as may be selected by the Committee. The Committee shall have the complete discretion to determine the number of Performance Shares granted to each Participant, subject to Section 5.4, and to designate the provisions of such Performance Shares as provided in Section 4.3. All Performance Shares shall be evidenced by an Award Certificate or a written program established by the Committee, pursuant to which Performance Shares are awarded under the Plan under uniform terms, conditions and restrictions set forth in such written program.</w:t>
      </w:r>
    </w:p>
    <w:p>
      <w:pPr>
        <w:spacing w:after="0" w:line="200"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i w:val="1"/>
          <w:iCs w:val="1"/>
          <w:color w:val="auto"/>
        </w:rPr>
        <w:t>PERFORMANCE GOALS.</w:t>
      </w:r>
      <w:r>
        <w:rPr>
          <w:rFonts w:ascii="Arial" w:cs="Arial" w:eastAsia="Arial" w:hAnsi="Arial"/>
          <w:sz w:val="16"/>
          <w:szCs w:val="16"/>
          <w:color w:val="auto"/>
        </w:rPr>
        <w:t xml:space="preserve"> The Committee may establish performance goals for Performance Shares which may be based on any criteria selected by the Committee. Such performance goals may be described in terms of Company-wide objectives or in terms of objectives that relate to the performance of the Participant, an Affiliate or a division, region, department or function within the Company or an Affiliate. If the Committee determines that a change in the business, operations, corporate structure or capital structure of the Company or the manner in which the Company or an Affiliate conducts its business, or other events or circumstances render performance goals to be unsuitable, the Committee may modify such perfor mance goals in whole or in part, as the Committee deems appropriate. If a Participant is promoted, demoted or transferred to a different business unit or function during a performance period, the Committee may determine that the performance goals or performance period are no longer appropriate and may (i) adjust, change or eliminate the performance goals or the applicable performance period as it deems appropriate to make such goals and period comparable to the initial goals and period, or</w:t>
      </w:r>
    </w:p>
    <w:p>
      <w:pPr>
        <w:spacing w:after="0" w:line="1" w:lineRule="exact"/>
        <w:rPr>
          <w:sz w:val="20"/>
          <w:szCs w:val="20"/>
          <w:color w:val="auto"/>
        </w:rPr>
      </w:pPr>
    </w:p>
    <w:p>
      <w:pPr>
        <w:ind w:right="60" w:firstLine="8"/>
        <w:spacing w:after="0" w:line="261" w:lineRule="auto"/>
        <w:tabs>
          <w:tab w:leader="none" w:pos="265"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a cash payment to the participant in amount determined by the Committee. The foregoing two sentences shall not apply with respect to an Award of Performance Shares that is intended to be a Qualified Performance-Based Award.</w:t>
      </w:r>
    </w:p>
    <w:p>
      <w:pPr>
        <w:spacing w:after="0" w:line="21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i w:val="1"/>
          <w:iCs w:val="1"/>
          <w:color w:val="auto"/>
        </w:rPr>
        <w:t>RIGHT TO PAYMENT.</w:t>
      </w:r>
      <w:r>
        <w:rPr>
          <w:rFonts w:ascii="Arial" w:cs="Arial" w:eastAsia="Arial" w:hAnsi="Arial"/>
          <w:sz w:val="18"/>
          <w:szCs w:val="18"/>
          <w:color w:val="auto"/>
        </w:rPr>
        <w:t xml:space="preserve"> The grant of a Performance Share to a Participant will entitle the Participant to receive at a specified later time a specified number of Shares, or the equivalent value in cash or other property, if the performance goals established by the Committee are achieved and the other terms and conditions thereof are satisfied. The Committee shall set performance goals and other terms or conditions to payment of the Performance Shares in its discretion which, depending on the extent to which they are met, will determine the number of the Performance Shares that will be earned by the Participant.</w:t>
      </w:r>
    </w:p>
    <w:p>
      <w:pPr>
        <w:spacing w:after="0" w:line="21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i w:val="1"/>
          <w:iCs w:val="1"/>
          <w:color w:val="auto"/>
        </w:rPr>
        <w:t>OTHER TERMS.</w:t>
      </w:r>
      <w:r>
        <w:rPr>
          <w:rFonts w:ascii="Arial" w:cs="Arial" w:eastAsia="Arial" w:hAnsi="Arial"/>
          <w:sz w:val="18"/>
          <w:szCs w:val="18"/>
          <w:color w:val="auto"/>
        </w:rPr>
        <w:t xml:space="preserve"> Performance Shares may be payable in cash, Stock, or other property, and have such other terms and conditions as determined by the Committee and reflected in the Award Certificate.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STOCK AND RESTRICTED STOCK UNIT AWARDS</w:t>
      </w:r>
    </w:p>
    <w:p>
      <w:pPr>
        <w:spacing w:after="0" w:line="23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i w:val="1"/>
          <w:iCs w:val="1"/>
          <w:color w:val="auto"/>
        </w:rPr>
        <w:t>GRANT OF RESTRICTED STOCK AND RESTRICTED STOCK UNITS.</w:t>
      </w:r>
      <w:r>
        <w:rPr>
          <w:rFonts w:ascii="Arial" w:cs="Arial" w:eastAsia="Arial" w:hAnsi="Arial"/>
          <w:sz w:val="18"/>
          <w:szCs w:val="18"/>
          <w:color w:val="auto"/>
        </w:rPr>
        <w:t xml:space="preserve"> Subject to the terms and conditions of this Article 10, the Committee is authorized to make Awards of Restricted Stock or Restricted Stock Units to Participants in such amounts and subject to such terms and conditions as may be selected by the Committee. An Award of Restricted Stock or Restricted Stock Units shall be evidenced by an Award Certificate setting forth the terms, conditions, and restrictions applicable to the Award.</w:t>
      </w:r>
    </w:p>
    <w:p>
      <w:pPr>
        <w:spacing w:after="0" w:line="21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i w:val="1"/>
          <w:iCs w:val="1"/>
          <w:color w:val="auto"/>
        </w:rPr>
        <w:t>ISSUANCE AND RESTRICTIONS.</w:t>
      </w:r>
      <w:r>
        <w:rPr>
          <w:rFonts w:ascii="Arial" w:cs="Arial" w:eastAsia="Arial" w:hAnsi="Arial"/>
          <w:sz w:val="16"/>
          <w:szCs w:val="16"/>
          <w:color w:val="auto"/>
        </w:rPr>
        <w:t xml:space="preserve"> Restricted Stock or Restricted Stock Units shall be subject to such restrictions on transferability and other restrictions as the Committee may impose (including, without limitation, limitations on the right to vote Restricted Stock or the right to receive dividends on the Restricted Stock); provided, however, at a minimum, all Restricted Stock and Restricted Stock Units shall be subject to the restrictions set forth in Section 14.4 for a period of no less than (a) one year from the date of award with respect to Restricted Stock or Restricted Stock Units subject to restrictions that lapse based upon satisfaction of performance goals, and (b) three years from t he date of award with respect to Restricted Stock or Restricted Stock Units subject to time-based restrictions that lapse based upon one’s Continuous Status as a Participant. For avoidance of doubt, nothing in the foregoing shall preclude any applicable restriction, including those set forth in Section 14.4 hereof, from lapsing ratably, including, but not limited to, roughly annual increments over three years, with respect to the Restricted Stock or Restricted Stock Units referred to in Section 10.2(b). Moreover, nothing in the foregoing shall preclude or be interpreted to preclude Awards to Non-employee Directors from containing a period of restriction shorter than that set forth above. Finally, nothing in this Section 10.2 shall be deemed or interpreted to preclude the waiver, lapse or the acceleration of lapse, of any restrictions with respect to Restricted Stock or Restricted Stock Units in accordance with or as permitted by Sections 14.7 through Section 14.9, respectively, Article 15 or any other provision of the Plan. Subject to the remaining terms and conditions of the Plan, these restrictions may lapse separately or in combination at such times, under such circumstances, in such installments, upon the satisfaction of performance goals or otherwise, as the Committee determines at the time of the grant of the</w:t>
      </w:r>
    </w:p>
    <w:p>
      <w:pPr>
        <w:sectPr>
          <w:pgSz w:w="11900" w:h="16838" w:orient="portrait"/>
          <w:cols w:equalWidth="0" w:num="1">
            <w:col w:w="11400"/>
          </w:cols>
          <w:pgMar w:left="240" w:top="125" w:right="259" w:bottom="0" w:gutter="0" w:footer="0" w:header="0"/>
        </w:sectPr>
      </w:pPr>
    </w:p>
    <w:bookmarkStart w:id="14" w:name="page15"/>
    <w:bookmarkEnd w:id="14"/>
    <w:p>
      <w:pPr>
        <w:ind w:right="80"/>
        <w:spacing w:after="0" w:line="264" w:lineRule="auto"/>
        <w:rPr>
          <w:sz w:val="20"/>
          <w:szCs w:val="20"/>
          <w:color w:val="auto"/>
        </w:rPr>
      </w:pPr>
      <w:r>
        <w:rPr>
          <w:rFonts w:ascii="Arial" w:cs="Arial" w:eastAsia="Arial" w:hAnsi="Arial"/>
          <w:sz w:val="18"/>
          <w:szCs w:val="18"/>
          <w:color w:val="auto"/>
        </w:rPr>
        <w:t>Award or thereafter. Except as otherwise provided in an Award Certificate or any special Plan document governing an Award, the Participant shall have all of the rights of a stockholder with respect to the Restricted Stock, and the Participant shall have none of the rights of a stockholder with respect to Restricted Stock Units until such time as Shares of Stock are paid in settlement of the Restricted Stock Units.</w:t>
      </w:r>
    </w:p>
    <w:p>
      <w:pPr>
        <w:spacing w:after="0" w:line="208"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i w:val="1"/>
          <w:iCs w:val="1"/>
          <w:color w:val="auto"/>
        </w:rPr>
        <w:t>FORFEITURE.</w:t>
      </w:r>
      <w:r>
        <w:rPr>
          <w:rFonts w:ascii="Arial" w:cs="Arial" w:eastAsia="Arial" w:hAnsi="Arial"/>
          <w:sz w:val="18"/>
          <w:szCs w:val="18"/>
          <w:color w:val="auto"/>
        </w:rPr>
        <w:t xml:space="preserve"> Except as otherwise determined by the Committee at the time of the grant of the Award or thereafter, upon termination of Continuous Status as a Participant during the applicable restriction period or upon failure to satisfy a performance goal during the applicable restriction period, Restricted Stock or Restricted Stock Units that are at that time subject to restrictions shall be forfeited; provided, however, that the Committee may provide in any Award Certificate, subject to the terms and conditions of the Plan, that restrictions or forfeiture conditions relating to Restricted Stock or Restricted Stock Units will be waived in whole or in part in the event of terminations resulting from sp ecified causes, including, but not limited to, death, Disability, or for the convenience or in the best interests of the Company.</w:t>
      </w:r>
    </w:p>
    <w:p>
      <w:pPr>
        <w:spacing w:after="0" w:line="22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i w:val="1"/>
          <w:iCs w:val="1"/>
          <w:color w:val="auto"/>
        </w:rPr>
        <w:t>DELIVERY OF RESTRICTED STOCK.</w:t>
      </w:r>
      <w:r>
        <w:rPr>
          <w:rFonts w:ascii="Arial" w:cs="Arial" w:eastAsia="Arial" w:hAnsi="Arial"/>
          <w:sz w:val="18"/>
          <w:szCs w:val="18"/>
          <w:color w:val="auto"/>
        </w:rPr>
        <w:t xml:space="preserve"> Shares of Restricted Stock shall be delivered to the Participant at the time of grant either by book-entry registration or by delivering to the Participant, or a custodian or escrow agent (including, without limitation, the Company or one or more of its employees) designated by the Committee, a stock certificate or certificates registered in the name of the Participant. If physical certificates representing shares of Restricted Stock are registered in the name of the Participant, such certificates must bear an appropriate legend referring to the terms, conditions, and restrictions applicable to such Restricted Stock.</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DEFERRED STOCK UNITS</w:t>
      </w:r>
    </w:p>
    <w:p>
      <w:pPr>
        <w:spacing w:after="0" w:line="23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i w:val="1"/>
          <w:iCs w:val="1"/>
          <w:color w:val="auto"/>
        </w:rPr>
        <w:t>GRANT OF DEFERRED STOCK UNITS.</w:t>
      </w:r>
      <w:r>
        <w:rPr>
          <w:rFonts w:ascii="Arial" w:cs="Arial" w:eastAsia="Arial" w:hAnsi="Arial"/>
          <w:sz w:val="18"/>
          <w:szCs w:val="18"/>
          <w:color w:val="auto"/>
        </w:rPr>
        <w:t xml:space="preserve"> The Committee is authorized to grant Deferred Stock Units to Participants subject to such terms and conditions as may be selected by the Committee. Deferred Stock Units shall entitle the Participant to receive Shares of Stock (or the equivalent value in cash or other property if so determined by the Committee) at a future time as determined by the Committee, or as determined by the Participant within guidelines established by the Committee in the case of voluntary deferral elections. An Award of Deferred Stock Units shall be evidenced by an Award Certificate setting forth the terms and conditions applicable to the Award.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EQUIVALENTS</w:t>
      </w:r>
    </w:p>
    <w:p>
      <w:pPr>
        <w:spacing w:after="0" w:line="238" w:lineRule="exact"/>
        <w:rPr>
          <w:sz w:val="20"/>
          <w:szCs w:val="20"/>
          <w:color w:val="auto"/>
        </w:rPr>
      </w:pPr>
    </w:p>
    <w:p>
      <w:pPr>
        <w:ind w:right="40" w:firstLine="648"/>
        <w:spacing w:after="0" w:line="266"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i w:val="1"/>
          <w:iCs w:val="1"/>
          <w:color w:val="auto"/>
        </w:rPr>
        <w:t>GRANT OF DIVIDEND EQUIVALENTS.</w:t>
      </w:r>
      <w:r>
        <w:rPr>
          <w:rFonts w:ascii="Arial" w:cs="Arial" w:eastAsia="Arial" w:hAnsi="Arial"/>
          <w:sz w:val="16"/>
          <w:szCs w:val="16"/>
          <w:color w:val="auto"/>
        </w:rPr>
        <w:t xml:space="preserve"> The Committee is authorized to grant Dividend Equivalents to Participants subject to such terms and conditions as may be selected by the Committee. Dividend Equivalents shall entitle the Participant to receive payments equal to dividends with respect to all or a portion of the number of Shares subject to an Award, as determined by the Committee. The Committee may provide that Dividend Equivalents be paid or distributed when accrued or be deemed to have been reinvested in additional Shares, or otherwise reinvested. Unless otherwise provided in the applicable Award Certificate, Dividend Equivalents will be paid or distributed no later than the 15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of the 3</w:t>
      </w:r>
      <w:r>
        <w:rPr>
          <w:rFonts w:ascii="Arial" w:cs="Arial" w:eastAsia="Arial" w:hAnsi="Arial"/>
          <w:sz w:val="22"/>
          <w:szCs w:val="22"/>
          <w:color w:val="auto"/>
          <w:vertAlign w:val="superscript"/>
        </w:rPr>
        <w:t>rd</w:t>
      </w:r>
      <w:r>
        <w:rPr>
          <w:rFonts w:ascii="Arial" w:cs="Arial" w:eastAsia="Arial" w:hAnsi="Arial"/>
          <w:sz w:val="16"/>
          <w:szCs w:val="16"/>
          <w:color w:val="auto"/>
        </w:rPr>
        <w:t xml:space="preserve"> month following the later of</w:t>
      </w:r>
    </w:p>
    <w:p>
      <w:pPr>
        <w:ind w:right="380" w:firstLine="8"/>
        <w:spacing w:after="0" w:line="259" w:lineRule="auto"/>
        <w:tabs>
          <w:tab w:leader="none" w:pos="2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calendar year in which the corresponding dividends were paid to shareholders, or (ii) the first calendar year in which the Participant’s right to such Dividends Equivalents is no longer subject to a substantial risk of forfeiture.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OR OTHER STOCK-BASED AWARDS</w:t>
      </w:r>
    </w:p>
    <w:p>
      <w:pPr>
        <w:spacing w:after="0" w:line="23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i w:val="1"/>
          <w:iCs w:val="1"/>
          <w:color w:val="auto"/>
        </w:rPr>
        <w:t>GRANT OF STOCK OR OTHER STOCK-BASED AWARDS.</w:t>
      </w:r>
      <w:r>
        <w:rPr>
          <w:rFonts w:ascii="Arial" w:cs="Arial" w:eastAsia="Arial" w:hAnsi="Arial"/>
          <w:sz w:val="18"/>
          <w:szCs w:val="18"/>
          <w:color w:val="auto"/>
        </w:rPr>
        <w:t xml:space="preserve"> The Committee is authorized, subject to limitations under applicable law, to grant to Participants such other Awards that are payable in, valued in whole or in part by reference to, or otherwise based on or related to Shares, as deemed by the Committee to be consistent with the purposes of the Plan, including without limitation Shares awarded purely as a “bonus” and not subject to any restrictions or conditions, convertible or exchangeable debt securities, other rights convertible or exchangeable into Shares, and Awards valued by reference to book value of Shares or the value of securities of or the performance of specified Parents or Subsidiarie s. The Committee shall determine the terms and conditions of such Awards.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PROVISIONS APPLICABLE TO AWARDS</w:t>
      </w:r>
    </w:p>
    <w:p>
      <w:pPr>
        <w:spacing w:after="0" w:line="23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i w:val="1"/>
          <w:iCs w:val="1"/>
          <w:color w:val="auto"/>
        </w:rPr>
        <w:t>STAND-ALONE AND TANDEM AWARDS.</w:t>
      </w:r>
      <w:r>
        <w:rPr>
          <w:rFonts w:ascii="Arial" w:cs="Arial" w:eastAsia="Arial" w:hAnsi="Arial"/>
          <w:sz w:val="18"/>
          <w:szCs w:val="18"/>
          <w:color w:val="auto"/>
        </w:rPr>
        <w:t xml:space="preserve"> Awards granted under the Plan may, in the discretion of the Committee, be granted either alone or in addition to, in tandem with, any other Award granted under the Plan. Subject to Section 16.2, awards granted in addition to or in tandem with other Awards may be granted either at the same time as or at a different time from the grant of such other Awards.</w:t>
      </w:r>
    </w:p>
    <w:p>
      <w:pPr>
        <w:spacing w:after="0" w:line="20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i w:val="1"/>
          <w:iCs w:val="1"/>
          <w:color w:val="auto"/>
        </w:rPr>
        <w:t>TERM OF AWARD.</w:t>
      </w:r>
      <w:r>
        <w:rPr>
          <w:rFonts w:ascii="Arial" w:cs="Arial" w:eastAsia="Arial" w:hAnsi="Arial"/>
          <w:sz w:val="18"/>
          <w:szCs w:val="18"/>
          <w:color w:val="auto"/>
        </w:rPr>
        <w:t xml:space="preserve"> The term of each Award shall be for the period as determined by the Committee, provided that in no event shall the term of any Incentive Stock Option or a Stock Appreciation Right granted in tandem with the Incentive Stock Option exceed a period of ten years from its Grant Date.</w:t>
      </w:r>
    </w:p>
    <w:p>
      <w:pPr>
        <w:spacing w:after="0" w:line="20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i w:val="1"/>
          <w:iCs w:val="1"/>
          <w:color w:val="auto"/>
        </w:rPr>
        <w:t>FORM OF PAYMENT FOR AWARDS.</w:t>
      </w:r>
      <w:r>
        <w:rPr>
          <w:rFonts w:ascii="Arial" w:cs="Arial" w:eastAsia="Arial" w:hAnsi="Arial"/>
          <w:sz w:val="18"/>
          <w:szCs w:val="18"/>
          <w:color w:val="auto"/>
        </w:rPr>
        <w:t xml:space="preserve"> Subject to the terms of the Plan and any applicable law or Award Certificate, payments or transfers to be made by the Company or an Affiliate on the grant or exercise of an Award may be made in such form as the Committee determines at or after the Grant Date, including without limitation, cash, Stock, other Awards, or other property, or any combination, and may be made in a single payment or transfer, in installments, or (except with respect to Options or SARs) on a deferred basis, in each case determined in accordance with rules adopted by, and at the discretion of, the Committee.</w:t>
      </w:r>
    </w:p>
    <w:p>
      <w:pPr>
        <w:spacing w:after="0" w:line="21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14.4. </w:t>
      </w:r>
      <w:r>
        <w:rPr>
          <w:rFonts w:ascii="Arial" w:cs="Arial" w:eastAsia="Arial" w:hAnsi="Arial"/>
          <w:sz w:val="17"/>
          <w:szCs w:val="17"/>
          <w:i w:val="1"/>
          <w:iCs w:val="1"/>
          <w:color w:val="auto"/>
        </w:rPr>
        <w:t>LIMITS ON TRANSFER.</w:t>
      </w:r>
      <w:r>
        <w:rPr>
          <w:rFonts w:ascii="Arial" w:cs="Arial" w:eastAsia="Arial" w:hAnsi="Arial"/>
          <w:sz w:val="17"/>
          <w:szCs w:val="17"/>
          <w:color w:val="auto"/>
        </w:rPr>
        <w:t xml:space="preserve"> No right or interest of a Participant in any unexercised or restricted Award may be pledged, encumbered, or hypothecated to or in favor of any party other than the Company or an Affiliate, or shall be subject to any lien, obligation, or liability of such Participant to any other party other than the Company or an Affiliate. No unexercised or restricted Award shall be assignable or transferable by a Participant other than by will or the laws of descent and distribution or, except in the case of an Incentive Stock Option, pursuant to a domestic relations order that would satisfy Section 414(p)(1)(A) of the Code if such Section applied to an Award under the Plan; provided, howeve r, that the Committee may (but need not) permit other transfers where the Committee concludes that such transferability (i) does not result in accelerated taxation, (ii) does not cause any Option intended to be an Incentive Stock Option to fail to be described in Code Section 422(b), and (iii) is otherwise appropriate and desirable, taking into account any factors deemed relevant, including without limitation, state or federal tax or securities laws applicable to transferable Awards.</w:t>
      </w:r>
    </w:p>
    <w:p>
      <w:pPr>
        <w:sectPr>
          <w:pgSz w:w="11900" w:h="16838" w:orient="portrait"/>
          <w:cols w:equalWidth="0" w:num="1">
            <w:col w:w="11420"/>
          </w:cols>
          <w:pgMar w:left="240" w:top="125" w:right="239" w:bottom="202" w:gutter="0" w:footer="0" w:header="0"/>
        </w:sectPr>
      </w:pPr>
    </w:p>
    <w:bookmarkStart w:id="15" w:name="page16"/>
    <w:bookmarkEnd w:id="15"/>
    <w:p>
      <w:pPr>
        <w:spacing w:after="0" w:line="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i w:val="1"/>
          <w:iCs w:val="1"/>
          <w:color w:val="auto"/>
        </w:rPr>
        <w:t>BENEFICIARIES.</w:t>
      </w:r>
      <w:r>
        <w:rPr>
          <w:rFonts w:ascii="Arial" w:cs="Arial" w:eastAsia="Arial" w:hAnsi="Arial"/>
          <w:sz w:val="18"/>
          <w:szCs w:val="18"/>
          <w:color w:val="auto"/>
        </w:rPr>
        <w:t xml:space="preserve"> Notwithstanding Section 14.4, a Participant may, in the manner determined by the Committee, designate a beneficiary to exercise the rights of the Participant and to receive any distribution with respect to any Award upon the Participant’s death. A beneficiary, legal guardian, legal representative, or other person claiming any rights under the Plan is subject to all terms and conditions of the Plan and any Award Certificate applicable to the Participant, except to the extent the Plan and Award Certificate otherwise provide, and to any additional restrictions deemed necessary or appropriate by the Committee. If no beneficiary has been designated or survives the Participant, pay ment shall be made to the Participant’s estate. Subject to the foregoing, a beneficiary designation may be changed or revoked by a Participant at any time provided the change or revocation is filed with the Committee.</w:t>
      </w:r>
    </w:p>
    <w:p>
      <w:pPr>
        <w:spacing w:after="0" w:line="21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i w:val="1"/>
          <w:iCs w:val="1"/>
          <w:color w:val="auto"/>
        </w:rPr>
        <w:t>STOCK TRADING RESTRICTIONS.</w:t>
      </w:r>
      <w:r>
        <w:rPr>
          <w:rFonts w:ascii="Arial" w:cs="Arial" w:eastAsia="Arial" w:hAnsi="Arial"/>
          <w:sz w:val="18"/>
          <w:szCs w:val="18"/>
          <w:color w:val="auto"/>
        </w:rPr>
        <w:t xml:space="preserve"> All Stock issuable under the Plan is subject to any stop-transfer orders and other restrictions as the Committee deems necessary or advisable to comply with federal or state securities laws, rules and regulations and the rules of any national securities exchange or automated quotation system on which the Stock is listed, quoted, or traded. The Committee may place legends on any Stock certificate or issue instructions to the transfer agent to reference restrictions applicable to the Stock.</w:t>
      </w:r>
    </w:p>
    <w:p>
      <w:pPr>
        <w:spacing w:after="0" w:line="214"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 xml:space="preserve">14.7. </w:t>
      </w:r>
      <w:r>
        <w:rPr>
          <w:rFonts w:ascii="Arial" w:cs="Arial" w:eastAsia="Arial" w:hAnsi="Arial"/>
          <w:sz w:val="17"/>
          <w:szCs w:val="17"/>
          <w:i w:val="1"/>
          <w:iCs w:val="1"/>
          <w:color w:val="auto"/>
        </w:rPr>
        <w:t>ACCELERATION UPON A CHANGE IN CONTROL.</w:t>
      </w:r>
      <w:r>
        <w:rPr>
          <w:rFonts w:ascii="Arial" w:cs="Arial" w:eastAsia="Arial" w:hAnsi="Arial"/>
          <w:sz w:val="17"/>
          <w:szCs w:val="17"/>
          <w:color w:val="auto"/>
        </w:rPr>
        <w:t xml:space="preserve"> Except as otherwise provided in the Award Certificate or any special Plan document governing an Award, upon the occurrence of a Change in Control, all outstanding Options, SARs, and other Awards in the nature of rights that may be exercised shall become fully exercisable, and all time-based vesting restrictions on outstanding Awards shall lapse. Except as otherwise provided in the Award Certificate or any special Plan document governing an Award, upon the occurrence of a Change in Control, the target payout opportunities attainable under all outstanding performance-based Awards shall be deemed to have been fully earned as of the effective date of the Change in Co ntrol based upon an assumed achievement of all relevant performance goals at the “target” level and there shall be prorata payout to Participants within thirty (30) days following the effective date of the Change in Control (or any later date required by Section 17.3 of the Plan) based upon the length of time within the performance period that has elapsed prior to the Change in Control.</w:t>
      </w:r>
    </w:p>
    <w:p>
      <w:pPr>
        <w:spacing w:after="0" w:line="206"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i w:val="1"/>
          <w:iCs w:val="1"/>
          <w:color w:val="auto"/>
        </w:rPr>
        <w:t>ACCELERATION UPON DEATH OR DISABILITY.</w:t>
      </w:r>
      <w:r>
        <w:rPr>
          <w:rFonts w:ascii="Arial" w:cs="Arial" w:eastAsia="Arial" w:hAnsi="Arial"/>
          <w:sz w:val="18"/>
          <w:szCs w:val="18"/>
          <w:color w:val="auto"/>
        </w:rPr>
        <w:t xml:space="preserve"> Except as otherwise provided in the Award Certificate or any special Plan document governing an Award, upon the Participant’s death or Disability during his or her Continuous Status as a Participant, (i) all of such Participant’s outstanding Options, SARs, and other Awards in the nature of rights that may be exercised shall become fully exercisable, (ii) all time-based vesting restrictions on the Participant’s outstanding Awards shall lapse, and (iii) the target payout opportunities attainable under all of such Participant’s outstanding performance-based Awards shall be deemed to have been fully earned as of the date of term ination based upon an assumed achievement of all relevant performance goals at the “target” level and there shall be a prorata payout to the Participant or his or her estate within thirty (30) days following the date of termination (or any later date required by Section 17.3 of the Plan) based upon the length of time within the performance period that has elapsed prior to the date of termination. Any Awards shall thereafter continue or lapse in accordance with the other provisions of the Plan and the Awards Certificate. To the extent that this provision causes Incentive Stock Options to exceed the dollar limitation set forth in Code Section 422(d), the excess Options shall be deemed to be Nonstatutory Stock Options.</w:t>
      </w:r>
    </w:p>
    <w:p>
      <w:pPr>
        <w:spacing w:after="0" w:line="22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14.9. </w:t>
      </w:r>
      <w:r>
        <w:rPr>
          <w:rFonts w:ascii="Arial" w:cs="Arial" w:eastAsia="Arial" w:hAnsi="Arial"/>
          <w:sz w:val="16"/>
          <w:szCs w:val="16"/>
          <w:i w:val="1"/>
          <w:iCs w:val="1"/>
          <w:color w:val="auto"/>
        </w:rPr>
        <w:t>ACCELERATION FOR ANY OTHER REASON.</w:t>
      </w:r>
      <w:r>
        <w:rPr>
          <w:rFonts w:ascii="Arial" w:cs="Arial" w:eastAsia="Arial" w:hAnsi="Arial"/>
          <w:sz w:val="16"/>
          <w:szCs w:val="16"/>
          <w:color w:val="auto"/>
        </w:rPr>
        <w:t xml:space="preserve"> Regardless of whether an event has occurred as described in Section 14.7 or 14.8 above, and subject to Section 14.11 as to Qualified Performance-Based Awards, the Committee may in its sole discretion at any time determine that all or a portion of a Participant’s Options, SARs, and other Awards in the nature of rights that may be exercised shall become fully or partially exercisable, that all or a part of the time-based vesting restrictions on all or a portion of the outstanding Awards shall lapse, and/or that any performance-based criteria with respect to any Awards shall be deemed to be wholly or partially satisfied, in each case, as of such date as the Committee may, in its sole discretion, declare; provided, however, the Committee shall not exercise such discretion with respect to Full Value Awards comprised of Shares of Restricted Stock or Restricted Stock Units which, in the aggregate, exceed five percent (5%) of the aggregate number of Shares reserved and available for issuance pursuant to Awards granted under the Plan; provided, further, that when calculating whether the five percent (5%) maximum has been reached, the Committee shall not count or consider any Shares of Restricted Stock or Restricted Stock Units granted to Non-Employee Directors or regarding which the Committee accelerated vesting rights, waived restrictions or determined performance-based criteria had been satisfied resulting from an event described in Section 14.7, Article 15, a Participant’s termination of employment or separation from service resulting from death, Disability or for the convenience or in the bests interests of the Company. The Committee may discr iminate among Participants and among Awards granted to a Participant in exercising its discretion pursuant to this Section 14.9.</w:t>
      </w:r>
    </w:p>
    <w:p>
      <w:pPr>
        <w:spacing w:after="0" w:line="19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14.10. </w:t>
      </w:r>
      <w:r>
        <w:rPr>
          <w:rFonts w:ascii="Arial" w:cs="Arial" w:eastAsia="Arial" w:hAnsi="Arial"/>
          <w:sz w:val="17"/>
          <w:szCs w:val="17"/>
          <w:i w:val="1"/>
          <w:iCs w:val="1"/>
          <w:color w:val="auto"/>
        </w:rPr>
        <w:t>EFFECT OF ACCELERATION.</w:t>
      </w:r>
      <w:r>
        <w:rPr>
          <w:rFonts w:ascii="Arial" w:cs="Arial" w:eastAsia="Arial" w:hAnsi="Arial"/>
          <w:sz w:val="17"/>
          <w:szCs w:val="17"/>
          <w:color w:val="auto"/>
        </w:rPr>
        <w:t xml:space="preserve"> If an Award is accelerated under Section 14.7, Section 14.8 or Section 14.9, the Committee may, in its sole discretion, provide (i) that the Award will expire after a designated period of time after such acceleration to the extent not then exercised, (ii) that the Award will be settled in cash rather than Stock, (iii) that the Award will be assumed by another party to a transaction giving rise to the acceleration or otherwise be equitably converted or substituted in connection with such transaction, (iv) that the Award may be settled by payment in cash or cash equivalents equal to the excess of the Fair Market Value of the underlying Stock, a s of a specified date associated with the transaction, over the exercise price of the Award, or (v) any combination of the foregoing. The Committee’s determination need not be uniform and may be different for different Participants whether or not such Participants are similarly situated. To the extent that such acceleration causes Incentive Stock Options to exceed the dollar limitation set forth in Code Section 422(d), the excess Options shall be deemed to be Nonstatutory Stock Options.</w:t>
      </w:r>
    </w:p>
    <w:p>
      <w:pPr>
        <w:spacing w:after="0" w:line="206"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i w:val="1"/>
          <w:iCs w:val="1"/>
          <w:color w:val="auto"/>
        </w:rPr>
        <w:t>14.11.</w:t>
      </w:r>
      <w:r>
        <w:rPr>
          <w:sz w:val="20"/>
          <w:szCs w:val="20"/>
          <w:color w:val="auto"/>
        </w:rPr>
        <w:tab/>
      </w:r>
      <w:r>
        <w:rPr>
          <w:rFonts w:ascii="Arial" w:cs="Arial" w:eastAsia="Arial" w:hAnsi="Arial"/>
          <w:sz w:val="16"/>
          <w:szCs w:val="16"/>
          <w:i w:val="1"/>
          <w:iCs w:val="1"/>
          <w:color w:val="auto"/>
        </w:rPr>
        <w:t>QUALIFIED PERFORMANCE-BASED AWARDS.</w:t>
      </w:r>
    </w:p>
    <w:p>
      <w:pPr>
        <w:spacing w:after="0" w:line="252" w:lineRule="exact"/>
        <w:rPr>
          <w:sz w:val="20"/>
          <w:szCs w:val="20"/>
          <w:color w:val="auto"/>
        </w:rPr>
      </w:pPr>
    </w:p>
    <w:p>
      <w:pPr>
        <w:ind w:left="660" w:right="200" w:firstLine="645"/>
        <w:spacing w:after="0" w:line="264" w:lineRule="auto"/>
        <w:tabs>
          <w:tab w:leader="none" w:pos="2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provisions of the Plan are intended to ensure that all Options and Stock Appreciation Rights granted hereunder to any Covered Employee shall qualify for the Section 162(m) Exemption; provided that the exercise or base price of such Award is not less than the Fair Market Value of the Shares on the Grant Date.</w:t>
      </w:r>
    </w:p>
    <w:p>
      <w:pPr>
        <w:spacing w:after="0" w:line="208" w:lineRule="exact"/>
        <w:rPr>
          <w:rFonts w:ascii="Arial" w:cs="Arial" w:eastAsia="Arial" w:hAnsi="Arial"/>
          <w:sz w:val="18"/>
          <w:szCs w:val="18"/>
          <w:color w:val="auto"/>
        </w:rPr>
      </w:pPr>
    </w:p>
    <w:p>
      <w:pPr>
        <w:ind w:left="660" w:firstLine="645"/>
        <w:spacing w:after="0" w:line="255" w:lineRule="auto"/>
        <w:tabs>
          <w:tab w:leader="none" w:pos="201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When granting any other Award, the Committee may designate such Award as a Qualified Performance-Based Award, based upon a determination that the recipient is or may be a Covered Employee with respect to such Award, and the Committee wishes such Award to qualify for the Section 162(m) Exemption. If an Award is so designated, the Committee shall establish performance goals for such Award within the time period prescribed by Section 162(m) of the Code based on one or more of the following Qualified Business Criteria, which may be expressed in terms of Company-wide objectives or in terms of objectives that relate to the performance of an Affiliate or a unit, division, region, department or function within the Company or an Affiliate:</w:t>
      </w:r>
    </w:p>
    <w:p>
      <w:pPr>
        <w:spacing w:after="0" w:line="220" w:lineRule="exact"/>
        <w:rPr>
          <w:sz w:val="20"/>
          <w:szCs w:val="20"/>
          <w:color w:val="auto"/>
        </w:rPr>
      </w:pPr>
    </w:p>
    <w:p>
      <w:pPr>
        <w:ind w:left="1620" w:hanging="315"/>
        <w:spacing w:after="0"/>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Gross and/or net revenue (including whether in the aggregate or attributable to specific products)</w:t>
      </w:r>
    </w:p>
    <w:p>
      <w:pPr>
        <w:spacing w:after="0" w:line="252" w:lineRule="exact"/>
        <w:rPr>
          <w:rFonts w:ascii="Arial" w:cs="Arial" w:eastAsia="Arial" w:hAnsi="Arial"/>
          <w:sz w:val="18"/>
          <w:szCs w:val="18"/>
          <w:color w:val="auto"/>
        </w:rPr>
      </w:pPr>
    </w:p>
    <w:p>
      <w:pPr>
        <w:ind w:left="1620" w:hanging="315"/>
        <w:spacing w:after="0"/>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 of Goods Sold and Gross Margin</w:t>
      </w:r>
    </w:p>
    <w:p>
      <w:pPr>
        <w:spacing w:after="0" w:line="252" w:lineRule="exact"/>
        <w:rPr>
          <w:rFonts w:ascii="Arial" w:cs="Arial" w:eastAsia="Arial" w:hAnsi="Arial"/>
          <w:sz w:val="18"/>
          <w:szCs w:val="18"/>
          <w:color w:val="auto"/>
        </w:rPr>
      </w:pPr>
    </w:p>
    <w:p>
      <w:pPr>
        <w:ind w:left="1620" w:hanging="315"/>
        <w:spacing w:after="0"/>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and expenses, including Research &amp; Development and Selling, General &amp; Administrative</w:t>
      </w:r>
    </w:p>
    <w:p>
      <w:pPr>
        <w:spacing w:after="0" w:line="252" w:lineRule="exact"/>
        <w:rPr>
          <w:rFonts w:ascii="Arial" w:cs="Arial" w:eastAsia="Arial" w:hAnsi="Arial"/>
          <w:sz w:val="18"/>
          <w:szCs w:val="18"/>
          <w:color w:val="auto"/>
        </w:rPr>
      </w:pPr>
    </w:p>
    <w:p>
      <w:pPr>
        <w:ind w:left="1620" w:hanging="315"/>
        <w:spacing w:after="0"/>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Income (gross, operating, net, etc.)</w:t>
      </w:r>
    </w:p>
    <w:p>
      <w:pPr>
        <w:sectPr>
          <w:pgSz w:w="11900" w:h="16847" w:orient="portrait"/>
          <w:cols w:equalWidth="0" w:num="1">
            <w:col w:w="11400"/>
          </w:cols>
          <w:pgMar w:left="240" w:top="125" w:right="259" w:bottom="0" w:gutter="0" w:footer="0" w:header="0"/>
        </w:sectPr>
      </w:pPr>
    </w:p>
    <w:bookmarkStart w:id="16" w:name="page17"/>
    <w:bookmarkEnd w:id="16"/>
    <w:p>
      <w:pPr>
        <w:spacing w:after="0" w:line="2" w:lineRule="exact"/>
        <w:rPr>
          <w:sz w:val="20"/>
          <w:szCs w:val="20"/>
          <w:color w:val="auto"/>
        </w:rPr>
      </w:pPr>
    </w:p>
    <w:p>
      <w:pPr>
        <w:ind w:left="1620" w:hanging="315"/>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Earnings, including before interest, taxes, depreciation and amortization (whether in the aggregate or on a per share basis</w:t>
      </w:r>
    </w:p>
    <w:p>
      <w:pPr>
        <w:spacing w:after="0" w:line="252" w:lineRule="exact"/>
        <w:rPr>
          <w:rFonts w:ascii="Arial" w:cs="Arial" w:eastAsia="Arial" w:hAnsi="Arial"/>
          <w:sz w:val="18"/>
          <w:szCs w:val="18"/>
          <w:color w:val="auto"/>
        </w:rPr>
      </w:pPr>
    </w:p>
    <w:p>
      <w:pPr>
        <w:ind w:left="1620" w:hanging="315"/>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Cash flows and share price</w:t>
      </w:r>
    </w:p>
    <w:p>
      <w:pPr>
        <w:spacing w:after="0" w:line="252" w:lineRule="exact"/>
        <w:rPr>
          <w:rFonts w:ascii="Arial" w:cs="Arial" w:eastAsia="Arial" w:hAnsi="Arial"/>
          <w:sz w:val="18"/>
          <w:szCs w:val="18"/>
          <w:color w:val="auto"/>
        </w:rPr>
      </w:pPr>
    </w:p>
    <w:p>
      <w:pPr>
        <w:ind w:left="1620" w:hanging="315"/>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Return on investment, capital, equity</w:t>
      </w:r>
    </w:p>
    <w:p>
      <w:pPr>
        <w:spacing w:after="0" w:line="252" w:lineRule="exact"/>
        <w:rPr>
          <w:rFonts w:ascii="Arial" w:cs="Arial" w:eastAsia="Arial" w:hAnsi="Arial"/>
          <w:sz w:val="18"/>
          <w:szCs w:val="18"/>
          <w:color w:val="auto"/>
        </w:rPr>
      </w:pPr>
    </w:p>
    <w:p>
      <w:pPr>
        <w:ind w:left="1620" w:hanging="315"/>
        <w:spacing w:after="0"/>
        <w:tabs>
          <w:tab w:leader="none" w:pos="16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Manufacturing efficiency (including yield enhancement and cycle time reductions), quality improvements and customer satisfaction</w:t>
      </w:r>
    </w:p>
    <w:p>
      <w:pPr>
        <w:spacing w:after="0" w:line="275" w:lineRule="exact"/>
        <w:rPr>
          <w:rFonts w:ascii="Arial" w:cs="Arial" w:eastAsia="Arial" w:hAnsi="Arial"/>
          <w:sz w:val="16"/>
          <w:szCs w:val="16"/>
          <w:color w:val="auto"/>
        </w:rPr>
      </w:pPr>
    </w:p>
    <w:p>
      <w:pPr>
        <w:ind w:left="1620" w:right="20" w:hanging="315"/>
        <w:spacing w:after="0" w:line="277" w:lineRule="auto"/>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life cycle management (including product and technology design, development, transfer, manufacturing introduction, and sales price optimization and management)</w:t>
      </w:r>
    </w:p>
    <w:p>
      <w:pPr>
        <w:spacing w:after="0" w:line="197" w:lineRule="exact"/>
        <w:rPr>
          <w:rFonts w:ascii="Arial" w:cs="Arial" w:eastAsia="Arial" w:hAnsi="Arial"/>
          <w:sz w:val="18"/>
          <w:szCs w:val="18"/>
          <w:color w:val="auto"/>
        </w:rPr>
      </w:pPr>
    </w:p>
    <w:p>
      <w:pPr>
        <w:ind w:left="1620" w:hanging="315"/>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Economic profit or loss</w:t>
      </w:r>
    </w:p>
    <w:p>
      <w:pPr>
        <w:spacing w:after="0" w:line="252" w:lineRule="exact"/>
        <w:rPr>
          <w:rFonts w:ascii="Arial" w:cs="Arial" w:eastAsia="Arial" w:hAnsi="Arial"/>
          <w:sz w:val="18"/>
          <w:szCs w:val="18"/>
          <w:color w:val="auto"/>
        </w:rPr>
      </w:pPr>
    </w:p>
    <w:p>
      <w:pPr>
        <w:ind w:left="1620" w:hanging="315"/>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252" w:lineRule="exact"/>
        <w:rPr>
          <w:rFonts w:ascii="Arial" w:cs="Arial" w:eastAsia="Arial" w:hAnsi="Arial"/>
          <w:sz w:val="18"/>
          <w:szCs w:val="18"/>
          <w:color w:val="auto"/>
        </w:rPr>
      </w:pPr>
    </w:p>
    <w:p>
      <w:pPr>
        <w:ind w:left="1620" w:hanging="315"/>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Employee retention, compensation, training and development, including succession planning</w:t>
      </w:r>
    </w:p>
    <w:p>
      <w:pPr>
        <w:spacing w:after="0" w:line="252" w:lineRule="exact"/>
        <w:rPr>
          <w:rFonts w:ascii="Arial" w:cs="Arial" w:eastAsia="Arial" w:hAnsi="Arial"/>
          <w:sz w:val="18"/>
          <w:szCs w:val="18"/>
          <w:color w:val="auto"/>
        </w:rPr>
      </w:pPr>
    </w:p>
    <w:p>
      <w:pPr>
        <w:ind w:left="1620" w:right="180" w:hanging="315"/>
        <w:spacing w:after="0" w:line="342" w:lineRule="auto"/>
        <w:tabs>
          <w:tab w:leader="none" w:pos="16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Objective goals consistent with the Participant’s specific duties and responsibilities, designed to further the financial, operational and other business interests of the Company, including goals and objectives with respect to regulatory compliance matters.</w:t>
      </w:r>
    </w:p>
    <w:p>
      <w:pPr>
        <w:spacing w:after="0" w:line="151" w:lineRule="exact"/>
        <w:rPr>
          <w:sz w:val="20"/>
          <w:szCs w:val="20"/>
          <w:color w:val="auto"/>
        </w:rPr>
      </w:pPr>
    </w:p>
    <w:p>
      <w:pPr>
        <w:ind w:left="660" w:right="60" w:firstLine="648"/>
        <w:spacing w:after="0" w:line="293" w:lineRule="auto"/>
        <w:rPr>
          <w:sz w:val="20"/>
          <w:szCs w:val="20"/>
          <w:color w:val="auto"/>
        </w:rPr>
      </w:pPr>
      <w:r>
        <w:rPr>
          <w:rFonts w:ascii="Arial" w:cs="Arial" w:eastAsia="Arial" w:hAnsi="Arial"/>
          <w:sz w:val="16"/>
          <w:szCs w:val="16"/>
          <w:color w:val="auto"/>
        </w:rPr>
        <w:t>Performance goals with respect to the foregoing Qualified Business Criteria may be specified in absolute terms (including completion of pre-established projects, such as the introduction of specified products), in percentages, or in terms of growth from period to period or growth rates over time as well as measured relative to an established or specially-created performance index of Company competitors, peers or other members of high tech industries. Any member of an index that disappears during a measurement period shall be disregarded for the entire measurement period. Performance Goals need not be based upon an increase or positive result under a business criterion and could include, for example, the maintenance of the status quo or the limitation of economic losses (measured, in each case, by reference to a specific business criteri on).</w:t>
      </w:r>
    </w:p>
    <w:p>
      <w:pPr>
        <w:spacing w:after="0" w:line="192" w:lineRule="exact"/>
        <w:rPr>
          <w:sz w:val="20"/>
          <w:szCs w:val="20"/>
          <w:color w:val="auto"/>
        </w:rPr>
      </w:pPr>
    </w:p>
    <w:p>
      <w:pPr>
        <w:ind w:left="660" w:right="20" w:firstLine="645"/>
        <w:spacing w:after="0" w:line="270" w:lineRule="auto"/>
        <w:tabs>
          <w:tab w:leader="none" w:pos="2003" w:val="left"/>
        </w:tabs>
        <w:numPr>
          <w:ilvl w:val="1"/>
          <w:numId w:val="22"/>
        </w:numPr>
        <w:rPr>
          <w:rFonts w:ascii="Arial" w:cs="Arial" w:eastAsia="Arial" w:hAnsi="Arial"/>
          <w:sz w:val="17"/>
          <w:szCs w:val="17"/>
          <w:color w:val="auto"/>
        </w:rPr>
      </w:pPr>
      <w:r>
        <w:rPr>
          <w:rFonts w:ascii="Arial" w:cs="Arial" w:eastAsia="Arial" w:hAnsi="Arial"/>
          <w:sz w:val="17"/>
          <w:szCs w:val="17"/>
          <w:color w:val="auto"/>
        </w:rPr>
        <w:t>Each Qualified Performance-Based Award (other than an Option or SAR) shall be earned, vested and payable (as applicable) only upon the achievement of performance goals established by the Committee based upon one or more of the Qualified Business Criteria, together with the satisfaction of any other conditions, including the condition as to continued employment as set forth in subsection (g) below, as the Committee may determine to be appropriate; provided, however, that the Committee may provide, in its sole and absolute discretion, either in connection with the grant thereof or by amendment thereafter, that achievement of such performance goals will be waived upon the death or Disability of the Participant, or upon a Change in Control. In addition, the Committee has the right, in connection with the grant of a Qualified Performance-Based Award, to exercise negative discretion to determine that the portion of such Award actually earned, vested and /or payable (as applicable) shall be less than the portion that would be earned, vested and/or payable based solely upon application of the applicable performance goals. Performance periods established by the Committee for any such Qualified Performance-Based Award may be as short as ninety (90) days and may be any longer period.</w:t>
      </w:r>
    </w:p>
    <w:p>
      <w:pPr>
        <w:spacing w:after="0" w:line="204" w:lineRule="exact"/>
        <w:rPr>
          <w:rFonts w:ascii="Arial" w:cs="Arial" w:eastAsia="Arial" w:hAnsi="Arial"/>
          <w:sz w:val="17"/>
          <w:szCs w:val="17"/>
          <w:color w:val="auto"/>
        </w:rPr>
      </w:pPr>
    </w:p>
    <w:p>
      <w:pPr>
        <w:jc w:val="both"/>
        <w:ind w:left="660" w:right="80" w:firstLine="645"/>
        <w:spacing w:after="0" w:line="286" w:lineRule="auto"/>
        <w:tabs>
          <w:tab w:leader="none" w:pos="2010"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Committee may provide in any Qualified Performance-Based Award, at the time the performance goals are established, that any evaluation of performance shall include, exclude or otherwise equitably adjust for any of the following events that occurs during a performance period: (a) asset write- downs or impairment charges; (b) litigation or claim judgments or settlements; (c) the effect of changes in tax laws, accounting principles or other laws or provisions affecting reported results; (d) accruals for reorganization and restructuring programs;</w:t>
      </w:r>
    </w:p>
    <w:p>
      <w:pPr>
        <w:spacing w:after="0" w:line="1" w:lineRule="exact"/>
        <w:rPr>
          <w:rFonts w:ascii="Arial" w:cs="Arial" w:eastAsia="Arial" w:hAnsi="Arial"/>
          <w:sz w:val="16"/>
          <w:szCs w:val="16"/>
          <w:color w:val="auto"/>
        </w:rPr>
      </w:pPr>
    </w:p>
    <w:p>
      <w:pPr>
        <w:jc w:val="both"/>
        <w:ind w:left="660" w:right="80" w:hanging="4"/>
        <w:spacing w:after="0" w:line="273" w:lineRule="auto"/>
        <w:tabs>
          <w:tab w:leader="none" w:pos="905" w:val="left"/>
        </w:tabs>
        <w:numPr>
          <w:ilvl w:val="0"/>
          <w:numId w:val="23"/>
        </w:numPr>
        <w:rPr>
          <w:rFonts w:ascii="Arial" w:cs="Arial" w:eastAsia="Arial" w:hAnsi="Arial"/>
          <w:sz w:val="17"/>
          <w:szCs w:val="17"/>
          <w:color w:val="auto"/>
        </w:rPr>
      </w:pPr>
      <w:r>
        <w:rPr>
          <w:rFonts w:ascii="Arial" w:cs="Arial" w:eastAsia="Arial" w:hAnsi="Arial"/>
          <w:sz w:val="17"/>
          <w:szCs w:val="17"/>
          <w:color w:val="auto"/>
        </w:rPr>
        <w:t>extraordinary nonrecurring items as described in Accounting Principles Board Opinion No. 30 and /or in management’s discussion and analysis of financial condition and results of operatio ns appearing in the Company’s annual report to stockholders for the applicable year; (f) acquisitions or divestitures; and (g) foreign exchange gains and losses. To the extent such inclusions or exclusions affect Awards to Covered Employees, they shall be prescribed in a form and at a time that meets the requirements of Code Section 162(m) for deductibility.</w:t>
      </w:r>
    </w:p>
    <w:p>
      <w:pPr>
        <w:spacing w:after="0" w:line="203" w:lineRule="exact"/>
        <w:rPr>
          <w:rFonts w:ascii="Arial" w:cs="Arial" w:eastAsia="Arial" w:hAnsi="Arial"/>
          <w:sz w:val="17"/>
          <w:szCs w:val="17"/>
          <w:color w:val="auto"/>
        </w:rPr>
      </w:pPr>
    </w:p>
    <w:p>
      <w:pPr>
        <w:ind w:left="660" w:firstLine="645"/>
        <w:spacing w:after="0" w:line="287" w:lineRule="auto"/>
        <w:tabs>
          <w:tab w:leader="none" w:pos="1993" w:val="left"/>
        </w:tabs>
        <w:numPr>
          <w:ilvl w:val="1"/>
          <w:numId w:val="23"/>
        </w:numPr>
        <w:rPr>
          <w:rFonts w:ascii="Arial" w:cs="Arial" w:eastAsia="Arial" w:hAnsi="Arial"/>
          <w:sz w:val="16"/>
          <w:szCs w:val="16"/>
          <w:color w:val="auto"/>
        </w:rPr>
      </w:pPr>
      <w:r>
        <w:rPr>
          <w:rFonts w:ascii="Arial" w:cs="Arial" w:eastAsia="Arial" w:hAnsi="Arial"/>
          <w:sz w:val="16"/>
          <w:szCs w:val="16"/>
          <w:color w:val="auto"/>
        </w:rPr>
        <w:t>Any payment of a Qualified Performance-Based Award granted with performance goals pursuant to subsection (c) above shall be conditioned on the written certification of the Committee in each case that the performance goals and any other material conditions were satisfied. Written certification may take the form of a Committee resolution passed by a majority of the Committee at a properly convened meeting or through unanimous action by the Committee via action by written consent. The certification requirement also may be satisfied by a separate writing executed by the Chairman of the Committee, acting in his capacity as such, following the foregoing Committee action or by the Chairman executing approved minutes of the Committee in which such determinations were made . Except as specifically provided in subsection (c), no Qualified Performance-Based Award held by a Covered Employee or an employee who in the reasonable judgment of the Committee may be a Covered Employee on the date of payment, may be amended, nor may the Committee exercise any discretionary authority it may otherwise have under the Plan with respect to a Qualified Performance-Based Award under the Plan, in any manner to waive the achievement of the applicable performance goal based on Qualified Business Criteria or to increase the amount payable pursuant thereto or the value thereof, or otherwise in a manner that would cause the Qualified Performance- Based Award to cease to qualify for the Section 162(m) Exemption.</w:t>
      </w:r>
    </w:p>
    <w:p>
      <w:pPr>
        <w:spacing w:after="0" w:line="199" w:lineRule="exact"/>
        <w:rPr>
          <w:rFonts w:ascii="Arial" w:cs="Arial" w:eastAsia="Arial" w:hAnsi="Arial"/>
          <w:sz w:val="16"/>
          <w:szCs w:val="16"/>
          <w:color w:val="auto"/>
        </w:rPr>
      </w:pPr>
    </w:p>
    <w:p>
      <w:pPr>
        <w:ind w:left="660" w:right="260" w:firstLine="645"/>
        <w:spacing w:after="0" w:line="277" w:lineRule="auto"/>
        <w:tabs>
          <w:tab w:leader="none" w:pos="1983" w:val="left"/>
        </w:tabs>
        <w:numPr>
          <w:ilvl w:val="1"/>
          <w:numId w:val="23"/>
        </w:numPr>
        <w:rPr>
          <w:rFonts w:ascii="Arial" w:cs="Arial" w:eastAsia="Arial" w:hAnsi="Arial"/>
          <w:sz w:val="18"/>
          <w:szCs w:val="18"/>
          <w:color w:val="auto"/>
        </w:rPr>
      </w:pPr>
      <w:r>
        <w:rPr>
          <w:rFonts w:ascii="Arial" w:cs="Arial" w:eastAsia="Arial" w:hAnsi="Arial"/>
          <w:sz w:val="18"/>
          <w:szCs w:val="18"/>
          <w:color w:val="auto"/>
        </w:rPr>
        <w:t>Section 5.4 sets forth the maximum number of Shares that may be granted in any one-year period to a Participant in designated forms of stock-based Awards.</w:t>
      </w:r>
    </w:p>
    <w:p>
      <w:pPr>
        <w:spacing w:after="0" w:line="197" w:lineRule="exact"/>
        <w:rPr>
          <w:rFonts w:ascii="Arial" w:cs="Arial" w:eastAsia="Arial" w:hAnsi="Arial"/>
          <w:sz w:val="18"/>
          <w:szCs w:val="18"/>
          <w:color w:val="auto"/>
        </w:rPr>
      </w:pPr>
    </w:p>
    <w:p>
      <w:pPr>
        <w:ind w:left="660" w:right="60" w:firstLine="645"/>
        <w:spacing w:after="0" w:line="290" w:lineRule="auto"/>
        <w:tabs>
          <w:tab w:leader="none" w:pos="2010" w:val="left"/>
        </w:tabs>
        <w:numPr>
          <w:ilvl w:val="1"/>
          <w:numId w:val="23"/>
        </w:numPr>
        <w:rPr>
          <w:rFonts w:ascii="Arial" w:cs="Arial" w:eastAsia="Arial" w:hAnsi="Arial"/>
          <w:sz w:val="16"/>
          <w:szCs w:val="16"/>
          <w:color w:val="auto"/>
        </w:rPr>
      </w:pPr>
      <w:r>
        <w:rPr>
          <w:rFonts w:ascii="Arial" w:cs="Arial" w:eastAsia="Arial" w:hAnsi="Arial"/>
          <w:sz w:val="16"/>
          <w:szCs w:val="16"/>
          <w:color w:val="auto"/>
        </w:rPr>
        <w:t>With respect to a Participant who is an officer of the Company, any payment of a Qualified Performance-Based Award granted with performance goals pursuant to subsection (c) above shall be conditioned on the officer having remained continuously employed by the Company or an Affiliate for the entire performance or measurement period, including, as well, through the date of determination and certification of the payment of any such Award pursuant to subsection (e) above (the “Certification Date”). For purposes of the Plan, with respect to any given performance or measurement period, an officer of the Company (i) who terminates employment (regardless of cause) or who otherwise ceases to be an officer, prior to the Certification Date, and (ii) 0;who, pursuant to a separate contractual arrangement with the Company is entitled to receive payments from the Company thereunder extending to or beyond such Certification Date as a result of such termination or cessation in officer status, shall be deemed to have been employed by the Company as an officer through the Certification Date for purposes of payment eligibility.</w:t>
      </w:r>
    </w:p>
    <w:p>
      <w:pPr>
        <w:spacing w:after="0" w:line="193"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 xml:space="preserve">14.12. </w:t>
      </w:r>
      <w:r>
        <w:rPr>
          <w:rFonts w:ascii="Arial" w:cs="Arial" w:eastAsia="Arial" w:hAnsi="Arial"/>
          <w:sz w:val="16"/>
          <w:szCs w:val="16"/>
          <w:i w:val="1"/>
          <w:iCs w:val="1"/>
          <w:color w:val="auto"/>
        </w:rPr>
        <w:t>TERMINATION OF EMPLOYMENT.</w:t>
      </w:r>
      <w:r>
        <w:rPr>
          <w:rFonts w:ascii="Arial" w:cs="Arial" w:eastAsia="Arial" w:hAnsi="Arial"/>
          <w:sz w:val="16"/>
          <w:szCs w:val="16"/>
          <w:color w:val="auto"/>
        </w:rPr>
        <w:t xml:space="preserve"> Whether military, government or other service or other leave of absence shall constitute a termination of employment shall be determined in each case by the Committee at its discretion, and any determination by the Committee shall be final and</w:t>
      </w:r>
    </w:p>
    <w:p>
      <w:pPr>
        <w:sectPr>
          <w:pgSz w:w="11900" w:h="16840" w:orient="portrait"/>
          <w:cols w:equalWidth="0" w:num="1">
            <w:col w:w="11380"/>
          </w:cols>
          <w:pgMar w:left="240" w:top="368" w:right="279" w:bottom="0" w:gutter="0" w:footer="0" w:header="0"/>
        </w:sectPr>
      </w:pPr>
    </w:p>
    <w:bookmarkStart w:id="17" w:name="page18"/>
    <w:bookmarkEnd w:id="17"/>
    <w:p>
      <w:pPr>
        <w:spacing w:after="0" w:line="13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conclusive. A Participant’s Continuous Status as a Participant shall not be deemed to terminate (i) in a circumstance in which a Participant transfers from the Company to an Affiliate, transfers from an Affiliate to the Company, or transfers from one Affiliate to another Affiliate, or (ii) in the discretion of the Committee as specified at or prior to such occurrence, in the case of a spin-off, sale or disposition of t he Participant’s employer from the Company or any Affiliate. To the extent that this provision causes Incentive Stock Options to extend beyond three months from the date a Participant is deemed to be an employee of the Company, a Parent or Subsidiary for purposes of Sections 424(e) and 424(f) of the Code, the Options held by such Participant shall be deemed to be Nonstatutory Stock Options.</w:t>
      </w:r>
    </w:p>
    <w:p>
      <w:pPr>
        <w:spacing w:after="0" w:line="22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14.13. </w:t>
      </w:r>
      <w:r>
        <w:rPr>
          <w:rFonts w:ascii="Arial" w:cs="Arial" w:eastAsia="Arial" w:hAnsi="Arial"/>
          <w:sz w:val="17"/>
          <w:szCs w:val="17"/>
          <w:i w:val="1"/>
          <w:iCs w:val="1"/>
          <w:color w:val="auto"/>
        </w:rPr>
        <w:t>FORFEITURE EVENTS.</w:t>
      </w:r>
      <w:r>
        <w:rPr>
          <w:rFonts w:ascii="Arial" w:cs="Arial" w:eastAsia="Arial" w:hAnsi="Arial"/>
          <w:sz w:val="17"/>
          <w:szCs w:val="17"/>
          <w:color w:val="auto"/>
        </w:rPr>
        <w:t xml:space="preserve"> The Committee may specify in an Award Certificate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shall include, but shall not be limited to, termination of employment for cause, violation of material Company or Affiliate policies, breach of noncompetition, confidentiality or other restrictive covenants that may apply to the Participant, or other conduct by the Participant that is detrimental to the business or reputation of the Com pany or any Affiliate.</w:t>
      </w:r>
    </w:p>
    <w:p>
      <w:pPr>
        <w:spacing w:after="0" w:line="200"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 xml:space="preserve">14.14. </w:t>
      </w:r>
      <w:r>
        <w:rPr>
          <w:rFonts w:ascii="Arial" w:cs="Arial" w:eastAsia="Arial" w:hAnsi="Arial"/>
          <w:sz w:val="16"/>
          <w:szCs w:val="16"/>
          <w:i w:val="1"/>
          <w:iCs w:val="1"/>
          <w:color w:val="auto"/>
        </w:rPr>
        <w:t>SUBSTITUTE AWARDS.</w:t>
      </w:r>
      <w:r>
        <w:rPr>
          <w:rFonts w:ascii="Arial" w:cs="Arial" w:eastAsia="Arial" w:hAnsi="Arial"/>
          <w:sz w:val="16"/>
          <w:szCs w:val="16"/>
          <w:color w:val="auto"/>
        </w:rPr>
        <w:t xml:space="preserve"> The Committee may grant Awards under the Plan in substitution for stock and stock-based awards held by employees of another entity who become employees of the Company or an Affiliate as a result of a merger or consolidation of the former employing entity with the Company or an Affiliate or the acquisition by the Company or an Affiliate of property or stock of the former employing corporation. The Committee may direct that the substitute awards be granted on such terms and conditions as the Committee considers appropriate in the circumstances.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CHANGES IN CAPITAL STRUCTURE</w:t>
      </w:r>
    </w:p>
    <w:p>
      <w:pPr>
        <w:spacing w:after="0" w:line="23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15.1. </w:t>
      </w:r>
      <w:r>
        <w:rPr>
          <w:rFonts w:ascii="Arial" w:cs="Arial" w:eastAsia="Arial" w:hAnsi="Arial"/>
          <w:sz w:val="17"/>
          <w:szCs w:val="17"/>
          <w:i w:val="1"/>
          <w:iCs w:val="1"/>
          <w:color w:val="auto"/>
        </w:rPr>
        <w:t>MANDATORY ADJUSTMENTS.</w:t>
      </w:r>
      <w:r>
        <w:rPr>
          <w:rFonts w:ascii="Arial" w:cs="Arial" w:eastAsia="Arial" w:hAnsi="Arial"/>
          <w:sz w:val="17"/>
          <w:szCs w:val="17"/>
          <w:color w:val="auto"/>
        </w:rPr>
        <w:t xml:space="preserve"> In the event of a nonreciprocal transaction between the Company and its stockholders that causes the per-share value of the Stock to change (including, without limitation, any stock dividend, stock split, spin-off, rights offering, or large nonrecurring cash dividend), the authorization limits under Section 5.1 and 5.4 shall be adjusted proportionately, and the Committee shall make such adjustments to the Plan and Awards as it deems necessary, in its sole discretion, to prevent dilution or enlargement of rights immediately resulting from such transaction. Action by the Committee may include: (i) adjustment of the number and kind of shares that may be delivered under th e Plan; (ii) adjustment of the number and kind of shares subject to outstanding Awards; (iii) adjustment of the exercise price of outstanding Awards or the measure to be used to determine the amount of the benefit payable on an Award; and (iv) any other adjustments that the Committee determines to be equitable. Without limiting the foregoing, in the event of a subdivision of the outstanding Stock (stock-split), a declaration of a dividend payable in Shares, or a combination or consolidation of the outstanding Stock into a lesser number of Shares, the authorization limits under Section 5.1 and 5.4 shall automatically be adjusted proportionately, and the Shares then subject to each Award shall automatically, without the necessity for any additional action by the Committee, be adjusted proportionately without any change in the aggregate purchase price therefor.</w:t>
      </w:r>
    </w:p>
    <w:p>
      <w:pPr>
        <w:spacing w:after="0" w:line="210"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 xml:space="preserve">15.2. </w:t>
      </w:r>
      <w:r>
        <w:rPr>
          <w:rFonts w:ascii="Arial" w:cs="Arial" w:eastAsia="Arial" w:hAnsi="Arial"/>
          <w:sz w:val="17"/>
          <w:szCs w:val="17"/>
          <w:i w:val="1"/>
          <w:iCs w:val="1"/>
          <w:color w:val="auto"/>
        </w:rPr>
        <w:t>DISCRETIONARY ADJUSTMENTS.</w:t>
      </w:r>
      <w:r>
        <w:rPr>
          <w:rFonts w:ascii="Arial" w:cs="Arial" w:eastAsia="Arial" w:hAnsi="Arial"/>
          <w:sz w:val="17"/>
          <w:szCs w:val="17"/>
          <w:color w:val="auto"/>
        </w:rPr>
        <w:t xml:space="preserve"> Upon the occurrence or in anticipation of any corporate event or transaction involving the Company (including, without limitation, any merger, reorganization, recapitalization, combination or exchange of shares, or any transaction described in Section 15.1), the Committee may, in its sole discretion, provide (i) that Awards will be settled in cash rather than Stock, (ii) that Awards will become immediately vested and exercisable and will expire after a designated period of time to the extent not then exercised, (iii) that Awards will be assumed by another party to a transaction or otherwise be equitably converted or substituted in connection with such tra nsaction, (iv) that outstanding Awards may be settled by payment in cash or cash equivalents equal to the excess of the Fair Market Value of the underlying Stock, as of a specified date associated with the transaction, over the exercise price of the Award, (v) that performance targets and performance periods for Performance Awards will be modified, consistent with Code Section 162(m) where applicable, or (vi) any combination of the foregoing. The Committee’s determination need not be uniform and may be different for different Participants whether or not such Participants are similarly situated.</w:t>
      </w:r>
    </w:p>
    <w:p>
      <w:pPr>
        <w:spacing w:after="0" w:line="20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i w:val="1"/>
          <w:iCs w:val="1"/>
          <w:color w:val="auto"/>
        </w:rPr>
        <w:t>GENERAL.</w:t>
      </w:r>
      <w:r>
        <w:rPr>
          <w:rFonts w:ascii="Arial" w:cs="Arial" w:eastAsia="Arial" w:hAnsi="Arial"/>
          <w:sz w:val="18"/>
          <w:szCs w:val="18"/>
          <w:color w:val="auto"/>
        </w:rPr>
        <w:t xml:space="preserve"> Any discretionary adjustments made pursuant to this Article 15 shall be subject to the provisions of Section 16.2. To the extent that any adjustments made pursuant to this Article 15 cause Incentive Stock Options to cease to qualify as Incentive Stock Options, such Options shall be deemed to be Nonstatutory Stock Options.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MODIFICATION AND TERMINATION</w:t>
      </w:r>
    </w:p>
    <w:p>
      <w:pPr>
        <w:spacing w:after="0" w:line="238" w:lineRule="exact"/>
        <w:rPr>
          <w:sz w:val="20"/>
          <w:szCs w:val="20"/>
          <w:color w:val="auto"/>
        </w:rPr>
      </w:pPr>
    </w:p>
    <w:p>
      <w:pPr>
        <w:ind w:right="160" w:firstLine="648"/>
        <w:spacing w:after="0" w:line="288" w:lineRule="auto"/>
        <w:rPr>
          <w:sz w:val="20"/>
          <w:szCs w:val="20"/>
          <w:color w:val="auto"/>
        </w:rPr>
      </w:pPr>
      <w:r>
        <w:rPr>
          <w:rFonts w:ascii="Arial" w:cs="Arial" w:eastAsia="Arial" w:hAnsi="Arial"/>
          <w:sz w:val="16"/>
          <w:szCs w:val="16"/>
          <w:color w:val="auto"/>
        </w:rPr>
        <w:t xml:space="preserve">16.1. </w:t>
      </w:r>
      <w:r>
        <w:rPr>
          <w:rFonts w:ascii="Arial" w:cs="Arial" w:eastAsia="Arial" w:hAnsi="Arial"/>
          <w:sz w:val="16"/>
          <w:szCs w:val="16"/>
          <w:i w:val="1"/>
          <w:iCs w:val="1"/>
          <w:color w:val="auto"/>
        </w:rPr>
        <w:t>AMENDMENT, MODIFICATION AND TERMINATION.</w:t>
      </w:r>
      <w:r>
        <w:rPr>
          <w:rFonts w:ascii="Arial" w:cs="Arial" w:eastAsia="Arial" w:hAnsi="Arial"/>
          <w:sz w:val="16"/>
          <w:szCs w:val="16"/>
          <w:color w:val="auto"/>
        </w:rPr>
        <w:t xml:space="preserve"> The Board or the Committee may, at any time and from time to time, amend, modify or terminate the Plan without stockholder approval; provided, however, that if an amendment to the Plan would, in the reasonable opinion of the Board or the Committee, either (i) materially increase the number of Shares available under the Plan, (ii) expand the types of awards under the Plan,</w:t>
      </w:r>
    </w:p>
    <w:p>
      <w:pPr>
        <w:ind w:right="100" w:firstLine="8"/>
        <w:spacing w:after="0" w:line="281" w:lineRule="auto"/>
        <w:tabs>
          <w:tab w:leader="none" w:pos="315"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materially expand the class of participants eligible to participate in the Plan, (iv) materially extend the term of the Plan, or (v) otherwise constitute a material change requiring stockholder approval under applicable laws, policies or regulations or the applic able listing or other requirements of an Exchange, then such amendment shall be subject to stockholder approval; and provided, further, that the Board or Committee may condition any other amendment or modification on the approval of stockholders of the Company for any reason, including by reason of such approval being necessary or deemed advisable to</w:t>
      </w:r>
    </w:p>
    <w:p>
      <w:pPr>
        <w:spacing w:after="0" w:line="2" w:lineRule="exact"/>
        <w:rPr>
          <w:rFonts w:ascii="Arial" w:cs="Arial" w:eastAsia="Arial" w:hAnsi="Arial"/>
          <w:sz w:val="16"/>
          <w:szCs w:val="16"/>
          <w:color w:val="auto"/>
        </w:rPr>
      </w:pPr>
    </w:p>
    <w:p>
      <w:pPr>
        <w:ind w:left="220" w:hanging="212"/>
        <w:spacing w:after="0"/>
        <w:tabs>
          <w:tab w:leader="none" w:pos="2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to comply with the listing or other requirements of an Exchange, or (ii) to satisfy any other tax, securities or other applicable laws, policies or regulations.</w:t>
      </w:r>
    </w:p>
    <w:p>
      <w:pPr>
        <w:spacing w:after="0" w:line="261"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i w:val="1"/>
          <w:iCs w:val="1"/>
          <w:color w:val="auto"/>
        </w:rPr>
        <w:t>AWARDS PREVIOUSLY GRANTED.</w:t>
      </w:r>
      <w:r>
        <w:rPr>
          <w:rFonts w:ascii="Arial" w:cs="Arial" w:eastAsia="Arial" w:hAnsi="Arial"/>
          <w:sz w:val="18"/>
          <w:szCs w:val="18"/>
          <w:color w:val="auto"/>
        </w:rPr>
        <w:t xml:space="preserve"> At any time and from time to time, the Committee may amend, modify or terminate any outstanding Award without approval of the Participant; provided, however:</w:t>
      </w:r>
    </w:p>
    <w:p>
      <w:pPr>
        <w:spacing w:after="0" w:line="197" w:lineRule="exact"/>
        <w:rPr>
          <w:sz w:val="20"/>
          <w:szCs w:val="20"/>
          <w:color w:val="auto"/>
        </w:rPr>
      </w:pPr>
    </w:p>
    <w:p>
      <w:pPr>
        <w:ind w:left="660" w:right="360" w:firstLine="645"/>
        <w:spacing w:after="0" w:line="257" w:lineRule="auto"/>
        <w:tabs>
          <w:tab w:leader="none" w:pos="2003"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Subject to the terms of the applicable Award Certificate, such amendment, modification or termination shall not, without the Participant’s consent, reduce or diminish the value of such Award determined as if the Award had been exercised, vested, cashed in or otherwise settled on the date of such amendment or termination (with the per-share value of an Option or Stock Appreciation Right for this purpose being calculated as the excess, if any, of the Fair Market Value as of the date of such amendment or termination over the exercise or base price of such Award);</w:t>
      </w:r>
    </w:p>
    <w:p>
      <w:pPr>
        <w:spacing w:after="0" w:line="215" w:lineRule="exact"/>
        <w:rPr>
          <w:rFonts w:ascii="Arial" w:cs="Arial" w:eastAsia="Arial" w:hAnsi="Arial"/>
          <w:sz w:val="18"/>
          <w:szCs w:val="18"/>
          <w:color w:val="auto"/>
        </w:rPr>
      </w:pPr>
    </w:p>
    <w:p>
      <w:pPr>
        <w:ind w:left="2000" w:hanging="695"/>
        <w:spacing w:after="0"/>
        <w:tabs>
          <w:tab w:leader="none" w:pos="2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original term of an Option may not be extended without the prior approval of the stockholders of the Company;</w:t>
      </w:r>
    </w:p>
    <w:p>
      <w:pPr>
        <w:spacing w:after="0" w:line="252" w:lineRule="exact"/>
        <w:rPr>
          <w:rFonts w:ascii="Arial" w:cs="Arial" w:eastAsia="Arial" w:hAnsi="Arial"/>
          <w:sz w:val="18"/>
          <w:szCs w:val="18"/>
          <w:color w:val="auto"/>
        </w:rPr>
      </w:pPr>
    </w:p>
    <w:p>
      <w:pPr>
        <w:ind w:left="660" w:right="100" w:firstLine="645"/>
        <w:spacing w:after="0" w:line="277" w:lineRule="auto"/>
        <w:tabs>
          <w:tab w:leader="none" w:pos="2003"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Except as otherwise provided in Article 15, the exercise price of an Option may not be reduced, directly or indirectly, without the prior approval of the stockholders of the Company; and</w:t>
      </w:r>
    </w:p>
    <w:p>
      <w:pPr>
        <w:spacing w:after="0" w:line="197" w:lineRule="exact"/>
        <w:rPr>
          <w:rFonts w:ascii="Arial" w:cs="Arial" w:eastAsia="Arial" w:hAnsi="Arial"/>
          <w:sz w:val="18"/>
          <w:szCs w:val="18"/>
          <w:color w:val="auto"/>
        </w:rPr>
      </w:pPr>
    </w:p>
    <w:p>
      <w:pPr>
        <w:jc w:val="both"/>
        <w:ind w:left="660" w:right="420" w:firstLine="645"/>
        <w:spacing w:after="0" w:line="342" w:lineRule="auto"/>
        <w:tabs>
          <w:tab w:leader="none" w:pos="2013" w:val="left"/>
        </w:tabs>
        <w:numPr>
          <w:ilvl w:val="0"/>
          <w:numId w:val="26"/>
        </w:numPr>
        <w:rPr>
          <w:rFonts w:ascii="Arial" w:cs="Arial" w:eastAsia="Arial" w:hAnsi="Arial"/>
          <w:sz w:val="16"/>
          <w:szCs w:val="16"/>
          <w:color w:val="auto"/>
        </w:rPr>
      </w:pPr>
      <w:r>
        <w:rPr>
          <w:rFonts w:ascii="Arial" w:cs="Arial" w:eastAsia="Arial" w:hAnsi="Arial"/>
          <w:sz w:val="16"/>
          <w:szCs w:val="16"/>
          <w:color w:val="auto"/>
        </w:rPr>
        <w:t>No termination, amendment, or modification of the Plan shall adversely affect any Award previously granted under the Plan, without the written consent of the Participant affected thereby. An outstanding Award shall not be deemed to be “adversely affected” by a Plan</w:t>
      </w:r>
    </w:p>
    <w:p>
      <w:pPr>
        <w:sectPr>
          <w:pgSz w:w="11900" w:h="16975" w:orient="portrait"/>
          <w:cols w:equalWidth="0" w:num="1">
            <w:col w:w="11400"/>
          </w:cols>
          <w:pgMar w:left="240" w:top="125" w:right="259" w:bottom="0" w:gutter="0" w:footer="0" w:header="0"/>
        </w:sectPr>
      </w:pPr>
    </w:p>
    <w:bookmarkStart w:id="18" w:name="page19"/>
    <w:bookmarkEnd w:id="18"/>
    <w:p>
      <w:pPr>
        <w:ind w:left="660"/>
        <w:spacing w:after="0" w:line="312" w:lineRule="auto"/>
        <w:rPr>
          <w:sz w:val="20"/>
          <w:szCs w:val="20"/>
          <w:color w:val="auto"/>
        </w:rPr>
      </w:pPr>
      <w:r>
        <w:rPr>
          <w:rFonts w:ascii="Arial" w:cs="Arial" w:eastAsia="Arial" w:hAnsi="Arial"/>
          <w:sz w:val="16"/>
          <w:szCs w:val="16"/>
          <w:color w:val="auto"/>
        </w:rPr>
        <w:t>amendment if such amendment would not reduce or diminish the value of such Award determined as if the Award had been exercised, vested, cashed in or otherwise settled on the date of such amendment (with the per-share value of an Option or Stock Appreciation Right for this purpose being calculated as the excess, if any, of the Fair Market Value as of the date of such amendment over the exercise or base price of such Award).</w:t>
      </w:r>
    </w:p>
    <w:p>
      <w:pPr>
        <w:spacing w:after="0" w:line="174"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 xml:space="preserve">16.3. </w:t>
      </w:r>
      <w:r>
        <w:rPr>
          <w:rFonts w:ascii="Arial" w:cs="Arial" w:eastAsia="Arial" w:hAnsi="Arial"/>
          <w:sz w:val="17"/>
          <w:szCs w:val="17"/>
          <w:i w:val="1"/>
          <w:iCs w:val="1"/>
          <w:color w:val="auto"/>
        </w:rPr>
        <w:t>COMPLIANCE AMENDMENTS.</w:t>
      </w:r>
      <w:r>
        <w:rPr>
          <w:rFonts w:ascii="Arial" w:cs="Arial" w:eastAsia="Arial" w:hAnsi="Arial"/>
          <w:sz w:val="17"/>
          <w:szCs w:val="17"/>
          <w:color w:val="auto"/>
        </w:rPr>
        <w:t xml:space="preserve"> Notwithstanding anything in the Plan or in any Award Certificate to the contrary, the Committee may amend the Plan or an Award Certificate, to take effect retroactively or otherwise, as deemed necessary or advisable for the purpose of conforming the Plan or Award Certificate to any present or future law relating to plans of this or similar nature (including, but not limited to, Section 409A of the Code), and to the administrative regulations and rulings promulgated thereunder. By accepting an Award under this Plan, a Participant agrees to any amendment made pursuant to this Section 16.3 to any Award granted under the Plan without further consideration or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545465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9" w:name="page20"/>
    <w:bookmarkEnd w:id="19"/>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23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i w:val="1"/>
          <w:iCs w:val="1"/>
          <w:color w:val="auto"/>
        </w:rPr>
        <w:t>NO RIGHTS TO AWARDS; NON-UNIFORM DETERMINATIONS.</w:t>
      </w:r>
      <w:r>
        <w:rPr>
          <w:rFonts w:ascii="Arial" w:cs="Arial" w:eastAsia="Arial" w:hAnsi="Arial"/>
          <w:sz w:val="18"/>
          <w:szCs w:val="18"/>
          <w:color w:val="auto"/>
        </w:rPr>
        <w:t xml:space="preserve"> No Participant or any Eligible Participant shall have any claim to be granted any Award under the Plan. Neither the Company, its Affiliates nor the Committee is obligated to treat Participants or Eligible Participants uniformly, and determinations made under the Plan may be made by the Committee selectively among Eligible Participants who receive, or are eligible to receive, Awards (whether or not such Eligible Participants are similarly situated).</w:t>
      </w:r>
    </w:p>
    <w:p>
      <w:pPr>
        <w:spacing w:after="0" w:line="21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17.2. </w:t>
      </w:r>
      <w:r>
        <w:rPr>
          <w:rFonts w:ascii="Arial" w:cs="Arial" w:eastAsia="Arial" w:hAnsi="Arial"/>
          <w:sz w:val="18"/>
          <w:szCs w:val="18"/>
          <w:i w:val="1"/>
          <w:iCs w:val="1"/>
          <w:color w:val="auto"/>
        </w:rPr>
        <w:t>NO STOCKHOLDER RIGHTS.</w:t>
      </w:r>
      <w:r>
        <w:rPr>
          <w:rFonts w:ascii="Arial" w:cs="Arial" w:eastAsia="Arial" w:hAnsi="Arial"/>
          <w:sz w:val="18"/>
          <w:szCs w:val="18"/>
          <w:color w:val="auto"/>
        </w:rPr>
        <w:t xml:space="preserve"> No Award gives a Participant any of the rights of a stockholder of the Company unless and until Shares are in fact issued to such person in connection with such Award.</w:t>
      </w:r>
    </w:p>
    <w:p>
      <w:pPr>
        <w:spacing w:after="0" w:line="197"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i w:val="1"/>
          <w:iCs w:val="1"/>
          <w:color w:val="auto"/>
        </w:rPr>
        <w:t>17.3.</w:t>
      </w:r>
      <w:r>
        <w:rPr>
          <w:sz w:val="20"/>
          <w:szCs w:val="20"/>
          <w:color w:val="auto"/>
        </w:rPr>
        <w:tab/>
      </w:r>
      <w:r>
        <w:rPr>
          <w:rFonts w:ascii="Arial" w:cs="Arial" w:eastAsia="Arial" w:hAnsi="Arial"/>
          <w:sz w:val="16"/>
          <w:szCs w:val="16"/>
          <w:i w:val="1"/>
          <w:iCs w:val="1"/>
          <w:color w:val="auto"/>
        </w:rPr>
        <w:t>SPECIAL PROVISIONS RELATED TO SECTION 409A OF THE CODE.</w:t>
      </w:r>
    </w:p>
    <w:p>
      <w:pPr>
        <w:spacing w:after="0" w:line="252" w:lineRule="exact"/>
        <w:rPr>
          <w:sz w:val="20"/>
          <w:szCs w:val="20"/>
          <w:color w:val="auto"/>
        </w:rPr>
      </w:pPr>
    </w:p>
    <w:p>
      <w:pPr>
        <w:ind w:left="660" w:right="60" w:firstLine="645"/>
        <w:spacing w:after="0" w:line="269" w:lineRule="auto"/>
        <w:tabs>
          <w:tab w:leader="none" w:pos="2003"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Notwithstanding anything in the Plan or in any Award Certificate to the contrary, to the extent that any amount or benefit that would constitute non-exempt “deferred compensation” for purposes of Section 409A of the Code would otherwise be payable or distributable under the Plan or any Award Certificate by reason of the occurrence of a Change in Control, or the Participant’s Disability or separation from service, such amount or benefit will not be payable or distributable to the Participant by reason of such circumstance unless (i) the circumstances giving rise to such Change in Control, Disability or separation from service meet any description or definition of “change in control event”, “disability” or “separa tion from service”, as the case may be, in Section 409A of the Code and applicable regulations (without giving effect to any elective provisions that may be available under such definition), or (ii) the payment or distribution of such amount or benefit would be exempt from the application of Section 409A of the Code by reason of the short-term deferral exemption or otherwise. This provision does not prohibit the </w:t>
      </w:r>
      <w:r>
        <w:rPr>
          <w:rFonts w:ascii="Arial" w:cs="Arial" w:eastAsia="Arial" w:hAnsi="Arial"/>
          <w:sz w:val="17"/>
          <w:szCs w:val="17"/>
          <w:i w:val="1"/>
          <w:iCs w:val="1"/>
          <w:color w:val="auto"/>
        </w:rPr>
        <w:t>vesting</w:t>
      </w:r>
      <w:r>
        <w:rPr>
          <w:rFonts w:ascii="Arial" w:cs="Arial" w:eastAsia="Arial" w:hAnsi="Arial"/>
          <w:sz w:val="17"/>
          <w:szCs w:val="17"/>
          <w:color w:val="auto"/>
        </w:rPr>
        <w:t xml:space="preserve"> of any Award upon a Change in Control, Disability or separation from service, however defined. If this provision prevents the payment or distribution of any amount or benefit, such payment or distribution shall be made on the next earliest payment or distribution date or event specified in the Award Certificate that is permissible under Section 409A.</w:t>
      </w:r>
    </w:p>
    <w:p>
      <w:pPr>
        <w:spacing w:after="0" w:line="209" w:lineRule="exact"/>
        <w:rPr>
          <w:rFonts w:ascii="Arial" w:cs="Arial" w:eastAsia="Arial" w:hAnsi="Arial"/>
          <w:sz w:val="17"/>
          <w:szCs w:val="17"/>
          <w:color w:val="auto"/>
        </w:rPr>
      </w:pPr>
    </w:p>
    <w:p>
      <w:pPr>
        <w:ind w:left="660" w:right="300" w:firstLine="645"/>
        <w:spacing w:after="0" w:line="259" w:lineRule="auto"/>
        <w:tabs>
          <w:tab w:leader="none" w:pos="2013"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any one or more Awards granted under the Plan to a Participant could qualify for any separation pay exemption described in Treas. Reg. Section 1.409A-1(b)(9), but such Awards in the aggregate exceed the dollar limit permitted for the separation pay exemptions, the Company (acting through the Committee or the Company’s President) shall determine which Awards or portions thereof will be subject to such exemptions.</w:t>
      </w:r>
    </w:p>
    <w:p>
      <w:pPr>
        <w:spacing w:after="0" w:line="213" w:lineRule="exact"/>
        <w:rPr>
          <w:rFonts w:ascii="Arial" w:cs="Arial" w:eastAsia="Arial" w:hAnsi="Arial"/>
          <w:sz w:val="18"/>
          <w:szCs w:val="18"/>
          <w:color w:val="auto"/>
        </w:rPr>
      </w:pPr>
    </w:p>
    <w:p>
      <w:pPr>
        <w:ind w:left="660" w:right="140" w:firstLine="645"/>
        <w:spacing w:after="0" w:line="276" w:lineRule="auto"/>
        <w:tabs>
          <w:tab w:leader="none" w:pos="2003" w:val="left"/>
        </w:tabs>
        <w:numPr>
          <w:ilvl w:val="0"/>
          <w:numId w:val="27"/>
        </w:numPr>
        <w:rPr>
          <w:rFonts w:ascii="Arial" w:cs="Arial" w:eastAsia="Arial" w:hAnsi="Arial"/>
          <w:sz w:val="17"/>
          <w:szCs w:val="17"/>
          <w:color w:val="auto"/>
        </w:rPr>
      </w:pPr>
      <w:r>
        <w:rPr>
          <w:rFonts w:ascii="Arial" w:cs="Arial" w:eastAsia="Arial" w:hAnsi="Arial"/>
          <w:sz w:val="17"/>
          <w:szCs w:val="17"/>
          <w:color w:val="auto"/>
        </w:rPr>
        <w:t>Notwithstanding anything in the Plan or in any Award Certificate to the contrary, if any amount or benefit that would constitute non-exempt “deferred compensation” for purposes of Section 409A of the Code would otherwise be payable or distributable under this Plan or any Award Certificate by reason of a Participant’s separation from service during a period in which the Participant is a Specified Employee (as defined below), then, subject to any permissible acceleration of payment by the Committee under Treas. Reg. Section 1.409A-3(j)(4)(ii) (domestic relations order), (j)(4)(iii) (conflicts of interest), or (j)(4)(vi) (payment of employment taxes):</w:t>
      </w:r>
    </w:p>
    <w:p>
      <w:pPr>
        <w:spacing w:after="0" w:line="199" w:lineRule="exact"/>
        <w:rPr>
          <w:rFonts w:ascii="Arial" w:cs="Arial" w:eastAsia="Arial" w:hAnsi="Arial"/>
          <w:sz w:val="17"/>
          <w:szCs w:val="17"/>
          <w:color w:val="auto"/>
        </w:rPr>
      </w:pPr>
    </w:p>
    <w:p>
      <w:pPr>
        <w:ind w:left="1300" w:right="40" w:firstLine="653"/>
        <w:spacing w:after="0" w:line="264" w:lineRule="auto"/>
        <w:tabs>
          <w:tab w:leader="none" w:pos="2613" w:val="left"/>
        </w:tabs>
        <w:numPr>
          <w:ilvl w:val="1"/>
          <w:numId w:val="27"/>
        </w:numPr>
        <w:rPr>
          <w:rFonts w:ascii="Arial" w:cs="Arial" w:eastAsia="Arial" w:hAnsi="Arial"/>
          <w:sz w:val="18"/>
          <w:szCs w:val="18"/>
          <w:color w:val="auto"/>
        </w:rPr>
      </w:pPr>
      <w:r>
        <w:rPr>
          <w:rFonts w:ascii="Arial" w:cs="Arial" w:eastAsia="Arial" w:hAnsi="Arial"/>
          <w:sz w:val="18"/>
          <w:szCs w:val="18"/>
          <w:color w:val="auto"/>
        </w:rPr>
        <w:t>if the payment or distribution is payable in a lump sum, the Participant’s right to receive payment or distribution of such non-exempt deferred compensation will be delayed until the earlier of the Participant’s death or the first day of the seventh month following the Participant’s separation from service; and</w:t>
      </w:r>
    </w:p>
    <w:p>
      <w:pPr>
        <w:spacing w:after="0" w:line="208" w:lineRule="exact"/>
        <w:rPr>
          <w:rFonts w:ascii="Arial" w:cs="Arial" w:eastAsia="Arial" w:hAnsi="Arial"/>
          <w:sz w:val="18"/>
          <w:szCs w:val="18"/>
          <w:color w:val="auto"/>
        </w:rPr>
      </w:pPr>
    </w:p>
    <w:p>
      <w:pPr>
        <w:ind w:left="1300" w:right="100" w:firstLine="653"/>
        <w:spacing w:after="0" w:line="255" w:lineRule="auto"/>
        <w:tabs>
          <w:tab w:leader="none" w:pos="2663" w:val="left"/>
        </w:tabs>
        <w:numPr>
          <w:ilvl w:val="1"/>
          <w:numId w:val="27"/>
        </w:numPr>
        <w:rPr>
          <w:rFonts w:ascii="Arial" w:cs="Arial" w:eastAsia="Arial" w:hAnsi="Arial"/>
          <w:sz w:val="18"/>
          <w:szCs w:val="18"/>
          <w:color w:val="auto"/>
        </w:rPr>
      </w:pPr>
      <w:r>
        <w:rPr>
          <w:rFonts w:ascii="Arial" w:cs="Arial" w:eastAsia="Arial" w:hAnsi="Arial"/>
          <w:sz w:val="18"/>
          <w:szCs w:val="18"/>
          <w:color w:val="auto"/>
        </w:rPr>
        <w:t>if the payment or distribution is payable over time, the amount of such non-exempt deferred compensation that would otherwise be payable during the six-month period immediately following the Participant’s separation from service will be accumulated and the Participant’s right to receive payment or distribution of such accumulated amount will be delayed until the earlier of the Participant’s death or the first day of the seventh month following the Participant’s separation from service, whereupon the accumulated amount will be paid or distributed to the Participant and the normal payment or distribution schedule for any remaining payments or distributions will resume.</w:t>
      </w:r>
    </w:p>
    <w:p>
      <w:pPr>
        <w:spacing w:after="0" w:line="22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 xml:space="preserve">For purposes of this Plan, the term “Specified Employee” has the meaning given such term in Code Section 409A and the final regulations thereunder, </w:t>
      </w:r>
      <w:r>
        <w:rPr>
          <w:rFonts w:ascii="Arial" w:cs="Arial" w:eastAsia="Arial" w:hAnsi="Arial"/>
          <w:sz w:val="17"/>
          <w:szCs w:val="17"/>
          <w:i w:val="1"/>
          <w:iCs w:val="1"/>
          <w:color w:val="auto"/>
        </w:rPr>
        <w:t>provided, however</w:t>
      </w:r>
      <w:r>
        <w:rPr>
          <w:rFonts w:ascii="Arial" w:cs="Arial" w:eastAsia="Arial" w:hAnsi="Arial"/>
          <w:sz w:val="17"/>
          <w:szCs w:val="17"/>
          <w:color w:val="auto"/>
        </w:rPr>
        <w:t>, that, as permitted in such final regulations, the Company’s Specified Employees and its application of the six-month delay rule of Code Section 409A(a)(2)(B)(i) shall be determined in accordance with rules adopted by the Board or any committee of the Board, which shall be applied consistently with respect to all nonqualified deferred compensation arrangements of the Company, including this Plan.</w:t>
      </w:r>
    </w:p>
    <w:p>
      <w:pPr>
        <w:spacing w:after="0" w:line="19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17.4. </w:t>
      </w:r>
      <w:r>
        <w:rPr>
          <w:rFonts w:ascii="Arial" w:cs="Arial" w:eastAsia="Arial" w:hAnsi="Arial"/>
          <w:sz w:val="17"/>
          <w:szCs w:val="17"/>
          <w:i w:val="1"/>
          <w:iCs w:val="1"/>
          <w:color w:val="auto"/>
        </w:rPr>
        <w:t>WITHHOLDING.</w:t>
      </w:r>
      <w:r>
        <w:rPr>
          <w:rFonts w:ascii="Arial" w:cs="Arial" w:eastAsia="Arial" w:hAnsi="Arial"/>
          <w:sz w:val="17"/>
          <w:szCs w:val="17"/>
          <w:color w:val="auto"/>
        </w:rPr>
        <w:t xml:space="preserve"> The Company or any Affiliate shall have the authority and the right to deduct or withhold, or require a Participant to remit to the Company, an amount sufficient to satisfy federal, state, and local taxes (including the Participant’s FICA obligation) required by law to be withheld with respect to any exercise, lapse of restriction or other taxable event arising as a result of the Plan. With respect to withholding required upon any taxable event under the Plan, the Committee may, at the time the Award is granted or thereafter, require or permit that any such withholding requirement be satisfied, in whole or in part, by withholding from the Award Shares having a Fair Market Value on t he date of withholding equal to the minimum amount (and not any greater amount) required to be withheld for tax purposes, all in accordance with such procedures as the Committee establishes. All such elections shall be subject to any restrictions or limitations that the Committee, in its sole discretion, deems appropriate.</w:t>
      </w:r>
    </w:p>
    <w:p>
      <w:pPr>
        <w:spacing w:after="0" w:line="20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 xml:space="preserve">17.5. </w:t>
      </w:r>
      <w:r>
        <w:rPr>
          <w:rFonts w:ascii="Arial" w:cs="Arial" w:eastAsia="Arial" w:hAnsi="Arial"/>
          <w:sz w:val="16"/>
          <w:szCs w:val="16"/>
          <w:i w:val="1"/>
          <w:iCs w:val="1"/>
          <w:color w:val="auto"/>
        </w:rPr>
        <w:t>NO RIGHT TO CONTINUED SERVICE.</w:t>
      </w:r>
      <w:r>
        <w:rPr>
          <w:rFonts w:ascii="Arial" w:cs="Arial" w:eastAsia="Arial" w:hAnsi="Arial"/>
          <w:sz w:val="16"/>
          <w:szCs w:val="16"/>
          <w:color w:val="auto"/>
        </w:rPr>
        <w:t xml:space="preserve"> Nothing in the Plan, any Award Certificate or any other document or statement made with respect to the Plan, shall interfere with or limit in any way the right of the Company or any Affiliate to terminate any Participant’s employment or status as an officer, director or consultant at any time, nor confer upon any Participant any right to continue as an employee, officer, director or consultant of the Company or any Affiliate, whether for the duration of a Participant’s Award or otherwise. Neither an Award nor any benefits arising under this Plan shall constitute an employment contract with the Company or any Affiliate and, accordingly, subject to Article ;16, this Plan and the benefits hereunder may be terminated at any time in the sole and exclusive discretion of the Board of Directors without giving rise to any liability on the part of the Company or an of its Affiliates.</w:t>
      </w:r>
    </w:p>
    <w:p>
      <w:pPr>
        <w:spacing w:after="0" w:line="192"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 xml:space="preserve">17.6. </w:t>
      </w:r>
      <w:r>
        <w:rPr>
          <w:rFonts w:ascii="Arial" w:cs="Arial" w:eastAsia="Arial" w:hAnsi="Arial"/>
          <w:sz w:val="16"/>
          <w:szCs w:val="16"/>
          <w:i w:val="1"/>
          <w:iCs w:val="1"/>
          <w:color w:val="auto"/>
        </w:rPr>
        <w:t>UNFUNDED STATUS OF AWARDS.</w:t>
      </w:r>
      <w:r>
        <w:rPr>
          <w:rFonts w:ascii="Arial" w:cs="Arial" w:eastAsia="Arial" w:hAnsi="Arial"/>
          <w:sz w:val="16"/>
          <w:szCs w:val="16"/>
          <w:color w:val="auto"/>
        </w:rPr>
        <w:t xml:space="preserve"> The Plan is intended to be an “unfunded” plan for incentive and deferred compensation. With respect to any payments not yet made to a Participant pursuant to an Award, nothing contained in the Plan or any Award Certificate shall give the Participant any rights that are greater than those of a general creditor of the Company or any Affiliate. This Plan is not intended to be subject to ERISA.</w:t>
      </w:r>
    </w:p>
    <w:p>
      <w:pPr>
        <w:spacing w:after="0" w:line="174"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 xml:space="preserve">17.7. </w:t>
      </w:r>
      <w:r>
        <w:rPr>
          <w:rFonts w:ascii="Arial" w:cs="Arial" w:eastAsia="Arial" w:hAnsi="Arial"/>
          <w:sz w:val="16"/>
          <w:szCs w:val="16"/>
          <w:i w:val="1"/>
          <w:iCs w:val="1"/>
          <w:color w:val="auto"/>
        </w:rPr>
        <w:t>RELATIONSHIP TO OTHER BENEFITS.</w:t>
      </w:r>
      <w:r>
        <w:rPr>
          <w:rFonts w:ascii="Arial" w:cs="Arial" w:eastAsia="Arial" w:hAnsi="Arial"/>
          <w:sz w:val="16"/>
          <w:szCs w:val="16"/>
          <w:color w:val="auto"/>
        </w:rPr>
        <w:t xml:space="preserve"> No payment under the Plan shall be taken into account in determining any benefits under any pension, retirement, savings, profit sharing, group insurance, welfare or benefit plan of the Company or any Affiliate unless provided otherwise in such other</w:t>
      </w:r>
    </w:p>
    <w:p>
      <w:pPr>
        <w:sectPr>
          <w:pgSz w:w="11900" w:h="16935" w:orient="portrait"/>
          <w:cols w:equalWidth="0" w:num="1">
            <w:col w:w="11420"/>
          </w:cols>
          <w:pgMar w:left="240" w:top="513" w:right="239" w:bottom="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plan.</w:t>
      </w:r>
    </w:p>
    <w:p>
      <w:pPr>
        <w:spacing w:after="0" w:line="252"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17.8.</w:t>
      </w:r>
      <w:r>
        <w:rPr>
          <w:sz w:val="20"/>
          <w:szCs w:val="20"/>
          <w:color w:val="auto"/>
        </w:rPr>
        <w:tab/>
      </w:r>
      <w:r>
        <w:rPr>
          <w:rFonts w:ascii="Arial" w:cs="Arial" w:eastAsia="Arial" w:hAnsi="Arial"/>
          <w:sz w:val="16"/>
          <w:szCs w:val="16"/>
          <w:i w:val="1"/>
          <w:iCs w:val="1"/>
          <w:color w:val="auto"/>
        </w:rPr>
        <w:t xml:space="preserve">EXPENSES. </w:t>
      </w:r>
      <w:r>
        <w:rPr>
          <w:rFonts w:ascii="Arial" w:cs="Arial" w:eastAsia="Arial" w:hAnsi="Arial"/>
          <w:sz w:val="16"/>
          <w:szCs w:val="16"/>
          <w:color w:val="auto"/>
        </w:rPr>
        <w:t>The expenses of administering the Plan shall be borne by the Company and its Affiliates.</w:t>
      </w:r>
    </w:p>
    <w:p>
      <w:pPr>
        <w:spacing w:after="0" w:line="25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17.9. </w:t>
      </w:r>
      <w:r>
        <w:rPr>
          <w:rFonts w:ascii="Arial" w:cs="Arial" w:eastAsia="Arial" w:hAnsi="Arial"/>
          <w:sz w:val="18"/>
          <w:szCs w:val="18"/>
          <w:i w:val="1"/>
          <w:iCs w:val="1"/>
          <w:color w:val="auto"/>
        </w:rPr>
        <w:t>TITLES AND HEADINGS.</w:t>
      </w:r>
      <w:r>
        <w:rPr>
          <w:rFonts w:ascii="Arial" w:cs="Arial" w:eastAsia="Arial" w:hAnsi="Arial"/>
          <w:sz w:val="18"/>
          <w:szCs w:val="18"/>
          <w:color w:val="auto"/>
        </w:rPr>
        <w:t xml:space="preserve"> The titles and headings of the Sections in the Plan are for convenience of reference only, and in the event of any conflict, the text of the Plan, rather than such titles or headings, shall control.</w:t>
      </w:r>
    </w:p>
    <w:p>
      <w:pPr>
        <w:spacing w:after="0" w:line="19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 xml:space="preserve">17.10. </w:t>
      </w:r>
      <w:r>
        <w:rPr>
          <w:rFonts w:ascii="Arial" w:cs="Arial" w:eastAsia="Arial" w:hAnsi="Arial"/>
          <w:sz w:val="18"/>
          <w:szCs w:val="18"/>
          <w:i w:val="1"/>
          <w:iCs w:val="1"/>
          <w:color w:val="auto"/>
        </w:rPr>
        <w:t>GENDER AND NUMBER.</w:t>
      </w:r>
      <w:r>
        <w:rPr>
          <w:rFonts w:ascii="Arial" w:cs="Arial" w:eastAsia="Arial" w:hAnsi="Arial"/>
          <w:sz w:val="18"/>
          <w:szCs w:val="18"/>
          <w:color w:val="auto"/>
        </w:rPr>
        <w:t xml:space="preserve"> Except where otherwise indicated by the context, any masculine term used herein also shall include the feminine; the plural shall include the singular and the singular shall include the plural.</w:t>
      </w:r>
    </w:p>
    <w:p>
      <w:pPr>
        <w:spacing w:after="0" w:line="19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17.11. </w:t>
      </w:r>
      <w:r>
        <w:rPr>
          <w:rFonts w:ascii="Arial" w:cs="Arial" w:eastAsia="Arial" w:hAnsi="Arial"/>
          <w:sz w:val="18"/>
          <w:szCs w:val="18"/>
          <w:i w:val="1"/>
          <w:iCs w:val="1"/>
          <w:color w:val="auto"/>
        </w:rPr>
        <w:t>FRACTIONAL SHARES.</w:t>
      </w:r>
      <w:r>
        <w:rPr>
          <w:rFonts w:ascii="Arial" w:cs="Arial" w:eastAsia="Arial" w:hAnsi="Arial"/>
          <w:sz w:val="18"/>
          <w:szCs w:val="18"/>
          <w:color w:val="auto"/>
        </w:rPr>
        <w:t xml:space="preserve"> No fractional Shares shall be issued and the Committee shall determine, in its discretion, whether cash shall be given in lieu of fractional Shares or whether such fractional Shares shall be eliminated by rounding up or down.</w:t>
      </w:r>
    </w:p>
    <w:p>
      <w:pPr>
        <w:spacing w:after="0" w:line="197"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18"/>
          <w:szCs w:val="18"/>
          <w:i w:val="1"/>
          <w:iCs w:val="1"/>
          <w:color w:val="auto"/>
        </w:rPr>
        <w:t>17.12.</w:t>
      </w:r>
      <w:r>
        <w:rPr>
          <w:sz w:val="20"/>
          <w:szCs w:val="20"/>
          <w:color w:val="auto"/>
        </w:rPr>
        <w:tab/>
      </w:r>
      <w:r>
        <w:rPr>
          <w:rFonts w:ascii="Arial" w:cs="Arial" w:eastAsia="Arial" w:hAnsi="Arial"/>
          <w:sz w:val="16"/>
          <w:szCs w:val="16"/>
          <w:i w:val="1"/>
          <w:iCs w:val="1"/>
          <w:color w:val="auto"/>
        </w:rPr>
        <w:t>GOVERNMENT AND OTHER REGULATIONS.</w:t>
      </w:r>
    </w:p>
    <w:p>
      <w:pPr>
        <w:spacing w:after="0" w:line="252" w:lineRule="exact"/>
        <w:rPr>
          <w:sz w:val="20"/>
          <w:szCs w:val="20"/>
          <w:color w:val="auto"/>
        </w:rPr>
      </w:pPr>
    </w:p>
    <w:p>
      <w:pPr>
        <w:ind w:left="660" w:right="140" w:firstLine="645"/>
        <w:spacing w:after="0" w:line="276" w:lineRule="auto"/>
        <w:tabs>
          <w:tab w:leader="none" w:pos="2003" w:val="left"/>
        </w:tabs>
        <w:numPr>
          <w:ilvl w:val="0"/>
          <w:numId w:val="28"/>
        </w:numPr>
        <w:rPr>
          <w:rFonts w:ascii="Arial" w:cs="Arial" w:eastAsia="Arial" w:hAnsi="Arial"/>
          <w:sz w:val="17"/>
          <w:szCs w:val="17"/>
          <w:color w:val="auto"/>
        </w:rPr>
      </w:pPr>
      <w:r>
        <w:rPr>
          <w:rFonts w:ascii="Arial" w:cs="Arial" w:eastAsia="Arial" w:hAnsi="Arial"/>
          <w:sz w:val="17"/>
          <w:szCs w:val="17"/>
          <w:color w:val="auto"/>
        </w:rPr>
        <w:t>Notwithstanding any other provision of the Plan, no Participant who acquires Shares pursuant to the Plan may, during any period of time that such Participant is an affiliate of the Company (within the meaning of the rules and regulations of the Securities and Exchange Commission under the 1933 Act), sell such Shares, unless such offer and sale is made (i) pursuant to an effective registration statement under the 1933 Act, which is current and includes the Shares to be sold, or (ii) pursuant to an appropriate exemption from the registration requirement of the 1933 Act, such as that set forth in Rule 144 promulgated under the 1933 Act.</w:t>
      </w:r>
    </w:p>
    <w:p>
      <w:pPr>
        <w:spacing w:after="0" w:line="199" w:lineRule="exact"/>
        <w:rPr>
          <w:rFonts w:ascii="Arial" w:cs="Arial" w:eastAsia="Arial" w:hAnsi="Arial"/>
          <w:sz w:val="17"/>
          <w:szCs w:val="17"/>
          <w:color w:val="auto"/>
        </w:rPr>
      </w:pPr>
    </w:p>
    <w:p>
      <w:pPr>
        <w:ind w:left="660" w:right="100" w:firstLine="645"/>
        <w:spacing w:after="0" w:line="269" w:lineRule="auto"/>
        <w:tabs>
          <w:tab w:leader="none" w:pos="2013" w:val="left"/>
        </w:tabs>
        <w:numPr>
          <w:ilvl w:val="0"/>
          <w:numId w:val="28"/>
        </w:numPr>
        <w:rPr>
          <w:rFonts w:ascii="Arial" w:cs="Arial" w:eastAsia="Arial" w:hAnsi="Arial"/>
          <w:sz w:val="17"/>
          <w:szCs w:val="17"/>
          <w:color w:val="auto"/>
        </w:rPr>
      </w:pPr>
      <w:r>
        <w:rPr>
          <w:rFonts w:ascii="Arial" w:cs="Arial" w:eastAsia="Arial" w:hAnsi="Arial"/>
          <w:sz w:val="17"/>
          <w:szCs w:val="17"/>
          <w:color w:val="auto"/>
        </w:rPr>
        <w:t>Notwithstanding any other provision of the Plan, if at any time the Committee shall determine that the registration, listing or qualification of the Shares covered by an Award upon any Exchange or under any foreign, federal, state or local law or practice, or the consent or approval of any governmental regulatory body, is necessary or desirable as a condition of, or in connection with, the granting of such Award or the purchase or receipt of Shares thereunder, no Shares may be purchased, delivered or received pursuant to such Award unless and until such registration, listing, qualification, consent or approval shall have been effected or obtained free of any condition not acceptable to the Committee. Any Participant receiving or purchasing Shares pursuant to an Award s hall make such representations and agreements and furnish such information as the Committee may request to assure compliance with the foregoing or any other applicable legal requirements. The Company shall not be required to issue or deliver any certificate or certificates for Shares under the Plan prior to the Committee’s determination that all related requirements have been fulfilled. The Company shall in no event be obligated to register any securities pursuant to the 1933 Act or applicable state or foreign law or to take any other action in order to cause the issuance and delivery of such certificates to comply with any such law, regulation or requirement.</w:t>
      </w:r>
    </w:p>
    <w:p>
      <w:pPr>
        <w:spacing w:after="0" w:line="21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 xml:space="preserve">17.13. </w:t>
      </w:r>
      <w:r>
        <w:rPr>
          <w:rFonts w:ascii="Arial" w:cs="Arial" w:eastAsia="Arial" w:hAnsi="Arial"/>
          <w:sz w:val="18"/>
          <w:szCs w:val="18"/>
          <w:i w:val="1"/>
          <w:iCs w:val="1"/>
          <w:color w:val="auto"/>
        </w:rPr>
        <w:t>GOVERNING LAW.</w:t>
      </w:r>
      <w:r>
        <w:rPr>
          <w:rFonts w:ascii="Arial" w:cs="Arial" w:eastAsia="Arial" w:hAnsi="Arial"/>
          <w:sz w:val="18"/>
          <w:szCs w:val="18"/>
          <w:color w:val="auto"/>
        </w:rPr>
        <w:t xml:space="preserve"> To the extent not governed by federal law, the Plan and all Award Certificates shall be construed in accordance with and governed by the laws of the State of Delaware.</w:t>
      </w:r>
    </w:p>
    <w:p>
      <w:pPr>
        <w:spacing w:after="0" w:line="19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17.14. </w:t>
      </w:r>
      <w:r>
        <w:rPr>
          <w:rFonts w:ascii="Arial" w:cs="Arial" w:eastAsia="Arial" w:hAnsi="Arial"/>
          <w:sz w:val="18"/>
          <w:szCs w:val="18"/>
          <w:i w:val="1"/>
          <w:iCs w:val="1"/>
          <w:color w:val="auto"/>
        </w:rPr>
        <w:t>ADDITIONAL PROVISIONS.</w:t>
      </w:r>
      <w:r>
        <w:rPr>
          <w:rFonts w:ascii="Arial" w:cs="Arial" w:eastAsia="Arial" w:hAnsi="Arial"/>
          <w:sz w:val="18"/>
          <w:szCs w:val="18"/>
          <w:color w:val="auto"/>
        </w:rPr>
        <w:t xml:space="preserve"> Each Award Certificate may contain such other terms and conditions as the Committee may determine; provided that such other terms and conditions are not inconsistent with the provisions of the Plan.</w:t>
      </w:r>
    </w:p>
    <w:p>
      <w:pPr>
        <w:spacing w:after="0" w:line="19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17.15. </w:t>
      </w:r>
      <w:r>
        <w:rPr>
          <w:rFonts w:ascii="Arial" w:cs="Arial" w:eastAsia="Arial" w:hAnsi="Arial"/>
          <w:sz w:val="17"/>
          <w:szCs w:val="17"/>
          <w:i w:val="1"/>
          <w:iCs w:val="1"/>
          <w:color w:val="auto"/>
        </w:rPr>
        <w:t>NO LIMITATIONS ON RIGHTS OF COMPANY.</w:t>
      </w:r>
      <w:r>
        <w:rPr>
          <w:rFonts w:ascii="Arial" w:cs="Arial" w:eastAsia="Arial" w:hAnsi="Arial"/>
          <w:sz w:val="17"/>
          <w:szCs w:val="17"/>
          <w:color w:val="auto"/>
        </w:rPr>
        <w:t xml:space="preserve"> The grant of any Award shall not in any way affect the right or power of the Company to make adjustments, reclassification or changes in its capital or business structure or to merge, consolidate, dissolve, liquidate, sell or transfer all or any part of its business or assets. The Plan shall not restrict the authority of the Company, for proper corporate purposes, to draft or assume awards, other than under the Plan, to or with respect to any person. If the Committee so directs, the Company may issue or transfer Shares to an Affiliate, for such lawful consideration as the Committee may specify, upon the condition or understanding that the Affiliate will transfer s uch Shares to a Participant in accordance with the terms of an Award granted to such Participant and specified by the Committee pursuant to the provisions of the Plan.</w:t>
      </w:r>
    </w:p>
    <w:p>
      <w:pPr>
        <w:spacing w:after="0" w:line="20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 xml:space="preserve">17.16. </w:t>
      </w:r>
      <w:r>
        <w:rPr>
          <w:rFonts w:ascii="Arial" w:cs="Arial" w:eastAsia="Arial" w:hAnsi="Arial"/>
          <w:sz w:val="17"/>
          <w:szCs w:val="17"/>
          <w:i w:val="1"/>
          <w:iCs w:val="1"/>
          <w:color w:val="auto"/>
        </w:rPr>
        <w:t>INDEMNIFICATION.</w:t>
      </w:r>
      <w:r>
        <w:rPr>
          <w:rFonts w:ascii="Arial" w:cs="Arial" w:eastAsia="Arial" w:hAnsi="Arial"/>
          <w:sz w:val="17"/>
          <w:szCs w:val="17"/>
          <w:color w:val="auto"/>
        </w:rPr>
        <w:t xml:space="preserve"> Each person who is or shall have been a member of the Committee, or of the Board, or an officer of the Company to whom authority was delegated in accordance with Article 4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 or her own behalf, unless such loss, cost, liability, or expense is a result of his or her own willful misconduct or except as expressly provided by statute. The foregoing right of indemnification shall not be exclusive of any other rights of indemnification to which such persons may be entitled under the Company’s Certificate of Incorporation or Bylaws, as a matter of law, or otherwise, or any power that the Company may have to indemnify them or hold them harmless.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711835</wp:posOffset>
            </wp:positionV>
            <wp:extent cx="7250430" cy="450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abstractNum>
  <w:abstractNum w:abstractNumId="1">
    <w:nsid w:val="1BEFD79F"/>
    <w:multiLevelType w:val="hybridMultilevel"/>
    <w:lvl w:ilvl="0">
      <w:lvlJc w:val="left"/>
      <w:lvlText w:val="(%1)"/>
      <w:numFmt w:val="lowerLetter"/>
      <w:start w:val="1"/>
    </w:lvl>
  </w:abstractNum>
  <w:abstractNum w:abstractNumId="2">
    <w:nsid w:val="41A7C4C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6B68079A"/>
    <w:multiLevelType w:val="hybridMultilevel"/>
    <w:lvl w:ilvl="0">
      <w:lvlJc w:val="left"/>
      <w:lvlText w:val="%1"/>
      <w:numFmt w:val="lowerLetter"/>
      <w:start w:val="1"/>
    </w:lvl>
    <w:lvl w:ilvl="1">
      <w:lvlJc w:val="left"/>
      <w:lvlText w:val="(%2)"/>
      <w:numFmt w:val="decimal"/>
      <w:start w:val="2"/>
    </w:lvl>
  </w:abstractNum>
  <w:abstractNum w:abstractNumId="4">
    <w:nsid w:val="4E6AFB66"/>
    <w:multiLevelType w:val="hybridMultilevel"/>
    <w:lvl w:ilvl="0">
      <w:lvlJc w:val="left"/>
      <w:lvlText w:val="(%1)"/>
      <w:numFmt w:val="lowerLetter"/>
      <w:start w:val="2"/>
    </w:lvl>
    <w:lvl w:ilvl="1">
      <w:lvlJc w:val="left"/>
      <w:lvlText w:val="%2"/>
      <w:numFmt w:val="decimal"/>
      <w:start w:val="1"/>
    </w:lvl>
  </w:abstractNum>
  <w:abstractNum w:abstractNumId="5">
    <w:nsid w:val="25E45D32"/>
    <w:multiLevelType w:val="hybridMultilevel"/>
    <w:lvl w:ilvl="0">
      <w:lvlJc w:val="left"/>
      <w:lvlText w:val="(%1)"/>
      <w:numFmt w:val="lowerLetter"/>
      <w:start w:val="1"/>
    </w:lvl>
    <w:lvl w:ilvl="1">
      <w:lvlJc w:val="left"/>
      <w:lvlText w:val="(%2)"/>
      <w:numFmt w:val="lowerRoman"/>
      <w:start w:val="1"/>
    </w:lvl>
  </w:abstractNum>
  <w:abstractNum w:abstractNumId="6">
    <w:nsid w:val="519B500D"/>
    <w:multiLevelType w:val="hybridMultilevel"/>
    <w:lvl w:ilvl="0">
      <w:lvlJc w:val="left"/>
      <w:lvlText w:val="%1"/>
      <w:numFmt w:val="lowerLetter"/>
      <w:start w:val="1"/>
    </w:lvl>
    <w:lvl w:ilvl="1">
      <w:lvlJc w:val="left"/>
      <w:lvlText w:val="(%2)"/>
      <w:numFmt w:val="lowerRoman"/>
      <w:start w:val="4"/>
    </w:lvl>
  </w:abstractNum>
  <w:abstractNum w:abstractNumId="7">
    <w:nsid w:val="431BD7B7"/>
    <w:multiLevelType w:val="hybridMultilevel"/>
    <w:lvl w:ilvl="0">
      <w:lvlJc w:val="left"/>
      <w:lvlText w:val="(%1)"/>
      <w:numFmt w:val="lowerLetter"/>
      <w:start w:val="6"/>
    </w:lvl>
    <w:lvl w:ilvl="1">
      <w:lvlJc w:val="left"/>
      <w:lvlText w:val="%2"/>
      <w:numFmt w:val="lowerRoman"/>
      <w:start w:val="1"/>
    </w:lvl>
  </w:abstractNum>
  <w:abstractNum w:abstractNumId="8">
    <w:nsid w:val="3F2DBA31"/>
    <w:multiLevelType w:val="hybridMultilevel"/>
    <w:lvl w:ilvl="0">
      <w:lvlJc w:val="left"/>
      <w:lvlText w:val="(%1)"/>
      <w:numFmt w:val="lowerLetter"/>
      <w:start w:val="21"/>
    </w:lvl>
  </w:abstractNum>
  <w:abstractNum w:abstractNumId="9">
    <w:nsid w:val="7C83E458"/>
    <w:multiLevelType w:val="hybridMultilevel"/>
    <w:lvl w:ilvl="0">
      <w:lvlJc w:val="left"/>
      <w:lvlText w:val="(%1)"/>
      <w:numFmt w:val="lowerLetter"/>
      <w:start w:val="24"/>
    </w:lvl>
  </w:abstractNum>
  <w:abstractNum w:abstractNumId="10">
    <w:nsid w:val="257130A3"/>
    <w:multiLevelType w:val="hybridMultilevel"/>
    <w:lvl w:ilvl="0">
      <w:lvlJc w:val="left"/>
      <w:lvlText w:val="(%1)"/>
      <w:numFmt w:val="lowerLetter"/>
      <w:start w:val="27"/>
    </w:lvl>
  </w:abstractNum>
  <w:abstractNum w:abstractNumId="11">
    <w:nsid w:val="62BBD95A"/>
    <w:multiLevelType w:val="hybridMultilevel"/>
    <w:lvl w:ilvl="0">
      <w:lvlJc w:val="left"/>
      <w:lvlText w:val="(%1)"/>
      <w:numFmt w:val="lowerLetter"/>
      <w:start w:val="29"/>
    </w:lvl>
  </w:abstractNum>
  <w:abstractNum w:abstractNumId="12">
    <w:nsid w:val="436C6125"/>
    <w:multiLevelType w:val="hybridMultilevel"/>
    <w:lvl w:ilvl="0">
      <w:lvlJc w:val="left"/>
      <w:lvlText w:val="(%1)"/>
      <w:numFmt w:val="lowerLetter"/>
      <w:start w:val="1"/>
    </w:lvl>
  </w:abstractNum>
  <w:abstractNum w:abstractNumId="13">
    <w:nsid w:val="628C895D"/>
    <w:multiLevelType w:val="hybridMultilevel"/>
    <w:lvl w:ilvl="0">
      <w:lvlJc w:val="left"/>
      <w:lvlText w:val="(%1)"/>
      <w:numFmt w:val="lowerLetter"/>
      <w:start w:val="1"/>
    </w:lvl>
  </w:abstractNum>
  <w:abstractNum w:abstractNumId="14">
    <w:nsid w:val="333AB105"/>
    <w:multiLevelType w:val="hybridMultilevel"/>
    <w:lvl w:ilvl="0">
      <w:lvlJc w:val="left"/>
      <w:lvlText w:val="(%1)"/>
      <w:numFmt w:val="lowerLetter"/>
      <w:start w:val="1"/>
    </w:lvl>
  </w:abstractNum>
  <w:abstractNum w:abstractNumId="15">
    <w:nsid w:val="721DA317"/>
    <w:multiLevelType w:val="hybridMultilevel"/>
    <w:lvl w:ilvl="0">
      <w:lvlJc w:val="left"/>
      <w:lvlText w:val="(%1)"/>
      <w:numFmt w:val="lowerLetter"/>
      <w:start w:val="1"/>
    </w:lvl>
    <w:lvl w:ilvl="1">
      <w:lvlJc w:val="left"/>
      <w:lvlText w:val="(%2)"/>
      <w:numFmt w:val="decimal"/>
      <w:start w:val="1"/>
    </w:lvl>
  </w:abstractNum>
  <w:abstractNum w:abstractNumId="16">
    <w:nsid w:val="2443A858"/>
    <w:multiLevelType w:val="hybridMultilevel"/>
    <w:lvl w:ilvl="0">
      <w:lvlJc w:val="left"/>
      <w:lvlText w:val="(%1)"/>
      <w:numFmt w:val="lowerRoman"/>
      <w:start w:val="2"/>
    </w:lvl>
  </w:abstractNum>
  <w:abstractNum w:abstractNumId="17">
    <w:nsid w:val="2D1D5AE9"/>
    <w:multiLevelType w:val="hybridMultilevel"/>
    <w:lvl w:ilvl="0">
      <w:lvlJc w:val="left"/>
      <w:lvlText w:val="(%1)"/>
      <w:numFmt w:val="lowerRoman"/>
      <w:start w:val="1"/>
    </w:lvl>
  </w:abstractNum>
  <w:abstractNum w:abstractNumId="18">
    <w:nsid w:val="6763845E"/>
    <w:multiLevelType w:val="hybridMultilevel"/>
    <w:lvl w:ilvl="0">
      <w:lvlJc w:val="left"/>
      <w:lvlText w:val="(%1)"/>
      <w:numFmt w:val="lowerLetter"/>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1"/>
      <w:numFmt w:val="lowerLetter"/>
      <w:start w:val="1"/>
    </w:lvl>
    <w:lvl w:ilvl="1">
      <w:lvlJc w:val="left"/>
      <w:lvlText w:val="(%2)"/>
      <w:numFmt w:val="lowerLetter"/>
      <w:start w:val="3"/>
    </w:lvl>
  </w:abstractNum>
  <w:abstractNum w:abstractNumId="22">
    <w:nsid w:val="4353D0CD"/>
    <w:multiLevelType w:val="hybridMultilevel"/>
    <w:lvl w:ilvl="0">
      <w:lvlJc w:val="left"/>
      <w:lvlText w:val="(%1)"/>
      <w:numFmt w:val="lowerLetter"/>
      <w:start w:val="5"/>
    </w:lvl>
    <w:lvl w:ilvl="1">
      <w:lvlJc w:val="left"/>
      <w:lvlText w:val="(%2)"/>
      <w:numFmt w:val="lowerLetter"/>
      <w:start w:val="5"/>
    </w:lvl>
  </w:abstractNum>
  <w:abstractNum w:abstractNumId="23">
    <w:nsid w:val="B03E0C6"/>
    <w:multiLevelType w:val="hybridMultilevel"/>
    <w:lvl w:ilvl="0">
      <w:lvlJc w:val="left"/>
      <w:lvlText w:val="(%1)"/>
      <w:numFmt w:val="lowerRoman"/>
      <w:start w:val="3"/>
    </w:lvl>
  </w:abstractNum>
  <w:abstractNum w:abstractNumId="24">
    <w:nsid w:val="189A769B"/>
    <w:multiLevelType w:val="hybridMultilevel"/>
    <w:lvl w:ilvl="0">
      <w:lvlJc w:val="left"/>
      <w:lvlText w:val="(%1)"/>
      <w:numFmt w:val="lowerRoman"/>
      <w:start w:val="1"/>
    </w:lvl>
  </w:abstractNum>
  <w:abstractNum w:abstractNumId="25">
    <w:nsid w:val="54E49EB4"/>
    <w:multiLevelType w:val="hybridMultilevel"/>
    <w:lvl w:ilvl="0">
      <w:lvlJc w:val="left"/>
      <w:lvlText w:val="(%1)"/>
      <w:numFmt w:val="lowerLetter"/>
      <w:start w:val="1"/>
    </w:lvl>
  </w:abstractNum>
  <w:abstractNum w:abstractNumId="26">
    <w:nsid w:val="71F32454"/>
    <w:multiLevelType w:val="hybridMultilevel"/>
    <w:lvl w:ilvl="0">
      <w:lvlJc w:val="left"/>
      <w:lvlText w:val="(%1)"/>
      <w:numFmt w:val="lowerLetter"/>
      <w:start w:val="1"/>
    </w:lvl>
    <w:lvl w:ilvl="1">
      <w:lvlJc w:val="left"/>
      <w:lvlText w:val="(%2)"/>
      <w:numFmt w:val="lowerRoman"/>
      <w:start w:val="1"/>
    </w:lvl>
  </w:abstractNum>
  <w:abstractNum w:abstractNumId="27">
    <w:nsid w:val="2CA8861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2019-12-10T05:04:43Z</dcterms:created>
  <dcterms:modified xsi:type="dcterms:W3CDTF">2019-12-10T05:04:43Z</dcterms:modified>
</cp:coreProperties>
</file>