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8"/>
        </w:trPr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SEC Form 5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 w:line="2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6820" w:type="dxa"/>
            <w:vAlign w:val="bottom"/>
            <w:gridSpan w:val="18"/>
          </w:tcPr>
          <w:p>
            <w:pPr>
              <w:jc w:val="center"/>
              <w:ind w:right="4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gridSpan w:val="10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ind w:left="2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to Section 16. Form 4 or Form 5</w:t>
            </w:r>
          </w:p>
        </w:tc>
        <w:tc>
          <w:tcPr>
            <w:tcW w:w="6160" w:type="dxa"/>
            <w:vAlign w:val="bottom"/>
            <w:gridSpan w:val="15"/>
            <w:vMerge w:val="restart"/>
          </w:tcPr>
          <w:p>
            <w:pPr>
              <w:jc w:val="center"/>
              <w:ind w:left="106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ANNUAL STATEMENT OF CHANGES IN BENEFICIAL</w:t>
            </w: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160" w:type="dxa"/>
            <w:vAlign w:val="bottom"/>
            <w:gridSpan w:val="1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260"/>
              <w:spacing w:after="0" w:line="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8"/>
                <w:szCs w:val="8"/>
                <w:i w:val="1"/>
                <w:iCs w:val="1"/>
                <w:color w:val="auto"/>
              </w:rPr>
              <w:t>See</w:t>
            </w:r>
          </w:p>
        </w:tc>
        <w:tc>
          <w:tcPr>
            <w:tcW w:w="6160" w:type="dxa"/>
            <w:vAlign w:val="bottom"/>
            <w:gridSpan w:val="1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300" w:type="dxa"/>
            <w:vAlign w:val="bottom"/>
            <w:gridSpan w:val="11"/>
            <w:vMerge w:val="restart"/>
          </w:tcPr>
          <w:p>
            <w:pPr>
              <w:jc w:val="center"/>
              <w:ind w:left="9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300" w:type="dxa"/>
            <w:vAlign w:val="bottom"/>
            <w:gridSpan w:val="11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53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9"/>
          </w:tcPr>
          <w:p>
            <w:pPr>
              <w:jc w:val="center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60" w:type="dxa"/>
            <w:vAlign w:val="bottom"/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Zinsner David</w:t>
              </w:r>
            </w:hyperlink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9"/>
          </w:tcPr>
          <w:p>
            <w:pPr>
              <w:jc w:val="center"/>
              <w:ind w:right="380"/>
              <w:spacing w:after="0" w:line="174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0"/>
                  <w:szCs w:val="20"/>
                  <w:u w:val="single" w:color="auto"/>
                  <w:color w:val="0000EE"/>
                </w:rPr>
                <w:t>MICRON TECHNOLOGY INC</w:t>
              </w:r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MU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15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  <w:gridSpan w:val="8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gridSpan w:val="8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top w:val="single" w:sz="8" w:color="2C2C2C"/>
            </w:tcBorders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Statement for Issuer's Fiscal Year Ended (Month/Day/Year)</w:t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gridSpan w:val="1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 &amp; 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8000 S. FEDERAL WAY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09/03/2020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MS 1-107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9"/>
          </w:tcPr>
          <w:p>
            <w:pPr>
              <w:jc w:val="center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60" w:type="dxa"/>
            <w:vAlign w:val="bottom"/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1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83716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1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1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3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  <w:gridSpan w:val="1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   5. 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20" w:type="dxa"/>
            <w:vAlign w:val="bottom"/>
            <w:gridSpan w:val="7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20" w:type="dxa"/>
            <w:vAlign w:val="bottom"/>
            <w:gridSpan w:val="7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1020" w:type="dxa"/>
            <w:vAlign w:val="bottom"/>
            <w:gridSpan w:val="7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20" w:type="dxa"/>
            <w:vAlign w:val="bottom"/>
            <w:gridSpan w:val="7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115,467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60" w:type="dxa"/>
            <w:vAlign w:val="bottom"/>
            <w:gridSpan w:val="1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6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6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6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6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6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5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(A)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6925310</wp:posOffset>
            </wp:positionH>
            <wp:positionV relativeFrom="paragraph">
              <wp:posOffset>-5608320</wp:posOffset>
            </wp:positionV>
            <wp:extent cx="8255" cy="6273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7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5619115</wp:posOffset>
            </wp:positionH>
            <wp:positionV relativeFrom="paragraph">
              <wp:posOffset>-5616575</wp:posOffset>
            </wp:positionV>
            <wp:extent cx="8255" cy="6362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5644515</wp:posOffset>
            </wp:positionH>
            <wp:positionV relativeFrom="paragraph">
              <wp:posOffset>-5591175</wp:posOffset>
            </wp:positionV>
            <wp:extent cx="1263650" cy="5854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650" cy="585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-5404485</wp:posOffset>
            </wp:positionV>
            <wp:extent cx="7031355" cy="54451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5445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-5404485</wp:posOffset>
            </wp:positionV>
            <wp:extent cx="7031355" cy="54451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5445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 w:right="340" w:firstLine="7"/>
        <w:spacing w:after="0" w:line="273" w:lineRule="auto"/>
        <w:tabs>
          <w:tab w:leader="none" w:pos="17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Form 5 is being filed only to update shares owned to include 264 shares acquired under the Micron Technology, Inc. Employee Stock Purchase Plan, which acquisition is exempt from reporting under Rule 16a-3(f)(1)(i)(B).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Greg Osborn, Attorney-in-fact 10/16/2020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4185920</wp:posOffset>
            </wp:positionH>
            <wp:positionV relativeFrom="paragraph">
              <wp:posOffset>-3810</wp:posOffset>
            </wp:positionV>
            <wp:extent cx="19018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1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32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8" Type="http://schemas.openxmlformats.org/officeDocument/2006/relationships/hyperlink" Target="http://www.sec.gov/cgi-bin/browse-edgar?action=getcompany&amp;CIK=0001330891" TargetMode="External"/><Relationship Id="rId9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2020-10-16T19:31:35Z</dcterms:created>
  <dcterms:modified xsi:type="dcterms:W3CDTF">2020-10-16T19:31:35Z</dcterms:modified>
</cp:coreProperties>
</file>