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On April 1, 2015, the Company announced its financial results for the second quarter of fiscal 2015 ended March 5, 2015.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April 1,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180" w:type="dxa"/>
            <w:vAlign w:val="bottom"/>
            <w:gridSpan w:val="2"/>
          </w:tcPr>
          <w:p>
            <w:pPr>
              <w:ind w:left="19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80"/>
              <w:spacing w:after="0"/>
              <w:rPr>
                <w:sz w:val="20"/>
                <w:szCs w:val="20"/>
                <w:color w:val="auto"/>
              </w:rPr>
            </w:pPr>
            <w:r>
              <w:rPr>
                <w:rFonts w:ascii="Arial" w:cs="Arial" w:eastAsia="Arial" w:hAnsi="Arial"/>
                <w:sz w:val="18"/>
                <w:szCs w:val="18"/>
                <w:color w:val="auto"/>
              </w:rPr>
              <w:t>April 1, 2015</w:t>
            </w:r>
          </w:p>
        </w:tc>
        <w:tc>
          <w:tcPr>
            <w:tcW w:w="2840" w:type="dxa"/>
            <w:vAlign w:val="bottom"/>
          </w:tcPr>
          <w:p>
            <w:pPr>
              <w:ind w:left="19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Mark W. Adams</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40" w:type="dxa"/>
            <w:vAlign w:val="bottom"/>
            <w:vMerge w:val="restart"/>
          </w:tcPr>
          <w:p>
            <w:pPr>
              <w:ind w:left="19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Mark W. Adams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840" w:type="dxa"/>
            <w:vAlign w:val="bottom"/>
          </w:tcPr>
          <w:p>
            <w:pPr>
              <w:ind w:left="19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on April 1, 2015</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62"/>
        </w:trPr>
        <w:tc>
          <w:tcPr>
            <w:tcW w:w="3300" w:type="dxa"/>
            <w:vAlign w:val="bottom"/>
            <w:gridSpan w:val="3"/>
          </w:tcPr>
          <w:p>
            <w:pPr>
              <w:ind w:left="40"/>
              <w:spacing w:after="0"/>
              <w:rPr>
                <w:sz w:val="20"/>
                <w:szCs w:val="20"/>
                <w:color w:val="auto"/>
              </w:rPr>
            </w:pPr>
            <w:r>
              <w:rPr>
                <w:rFonts w:ascii="Arial" w:cs="Arial" w:eastAsia="Arial" w:hAnsi="Arial"/>
                <w:sz w:val="22"/>
                <w:szCs w:val="22"/>
                <w:color w:val="auto"/>
                <w:w w:val="91"/>
              </w:rPr>
              <w:t>Contacts:Kipp A. Bedard</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040" w:type="dxa"/>
            <w:vAlign w:val="bottom"/>
            <w:gridSpan w:val="2"/>
          </w:tcPr>
          <w:p>
            <w:pPr>
              <w:spacing w:after="0" w:line="246" w:lineRule="exact"/>
              <w:rPr>
                <w:sz w:val="20"/>
                <w:szCs w:val="20"/>
                <w:color w:val="auto"/>
              </w:rPr>
            </w:pPr>
            <w:r>
              <w:rPr>
                <w:rFonts w:ascii="Arial" w:cs="Arial" w:eastAsia="Arial" w:hAnsi="Arial"/>
                <w:sz w:val="22"/>
                <w:szCs w:val="22"/>
                <w:color w:val="0000FF"/>
                <w:w w:val="93"/>
              </w:rPr>
              <w:t>kbedard@micron.com</w:t>
            </w:r>
          </w:p>
        </w:tc>
        <w:tc>
          <w:tcPr>
            <w:tcW w:w="2260" w:type="dxa"/>
            <w:vAlign w:val="bottom"/>
            <w:gridSpan w:val="2"/>
          </w:tcPr>
          <w:p>
            <w:pPr>
              <w:ind w:left="120"/>
              <w:spacing w:after="0" w:line="246" w:lineRule="exact"/>
              <w:rPr>
                <w:sz w:val="20"/>
                <w:szCs w:val="20"/>
                <w:color w:val="auto"/>
              </w:rPr>
            </w:pPr>
            <w:r>
              <w:rPr>
                <w:rFonts w:ascii="Arial" w:cs="Arial" w:eastAsia="Arial" w:hAnsi="Arial"/>
                <w:sz w:val="22"/>
                <w:szCs w:val="22"/>
                <w:color w:val="0000FF"/>
                <w:w w:val="89"/>
              </w:rPr>
              <w:t>dfrancisco@micron.com</w:t>
            </w:r>
          </w:p>
        </w:tc>
      </w:tr>
      <w:tr>
        <w:trPr>
          <w:trHeight w:val="20"/>
        </w:trPr>
        <w:tc>
          <w:tcPr>
            <w:tcW w:w="12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r>
      <w:tr>
        <w:trPr>
          <w:trHeight w:val="328"/>
        </w:trPr>
        <w:tc>
          <w:tcPr>
            <w:tcW w:w="3180" w:type="dxa"/>
            <w:vAlign w:val="bottom"/>
            <w:gridSpan w:val="2"/>
          </w:tcPr>
          <w:p>
            <w:pPr>
              <w:ind w:left="1260"/>
              <w:spacing w:after="0"/>
              <w:rPr>
                <w:sz w:val="20"/>
                <w:szCs w:val="20"/>
                <w:color w:val="auto"/>
              </w:rPr>
            </w:pPr>
            <w:r>
              <w:rPr>
                <w:rFonts w:ascii="Arial" w:cs="Arial" w:eastAsia="Arial" w:hAnsi="Arial"/>
                <w:sz w:val="22"/>
                <w:szCs w:val="22"/>
                <w:color w:val="auto"/>
              </w:rPr>
              <w:t>(208) 368-4465</w:t>
            </w:r>
          </w:p>
        </w:tc>
        <w:tc>
          <w:tcPr>
            <w:tcW w:w="120" w:type="dxa"/>
            <w:vAlign w:val="bottom"/>
          </w:tcPr>
          <w:p>
            <w:pPr>
              <w:spacing w:after="0"/>
              <w:rPr>
                <w:sz w:val="24"/>
                <w:szCs w:val="24"/>
                <w:color w:val="auto"/>
              </w:rPr>
            </w:pP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2015</w:t>
      </w:r>
    </w:p>
    <w:p>
      <w:pPr>
        <w:spacing w:after="0" w:line="290" w:lineRule="exact"/>
        <w:rPr>
          <w:sz w:val="20"/>
          <w:szCs w:val="20"/>
          <w:color w:val="auto"/>
        </w:rPr>
      </w:pPr>
    </w:p>
    <w:p>
      <w:pPr>
        <w:ind w:firstLine="324"/>
        <w:spacing w:after="0" w:line="401"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April 1, 2015 – Micron Technology, Inc., (NASDAQ: MU) today announced results of operations for its second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fiscal 2015, which ended March 5, 2015. Revenues for the second quarter of fiscal 2015 (a 13-week fiscal quarter) were $4.17 billion and were 9 percent lower compared to the first quarter of fiscal 2015 (a 14-week fiscal quarter) and 1 percent higher compared to the second quarter of fiscal 2014. Cash flows from operations were $1.25 billion for the second quarter of fiscal 2015. The first quarter of fiscal 2015 included an additional week, consistent with the company's 52/53 week fiscal year. On a normalized basis, revenues for the second fiscal quarter of 2015 were down 2 percent sequentially.</w:t>
      </w:r>
    </w:p>
    <w:p>
      <w:pPr>
        <w:spacing w:after="0" w:line="4" w:lineRule="exact"/>
        <w:rPr>
          <w:sz w:val="20"/>
          <w:szCs w:val="20"/>
          <w:color w:val="auto"/>
        </w:rPr>
      </w:pPr>
    </w:p>
    <w:p>
      <w:pPr>
        <w:ind w:right="20" w:firstLine="324"/>
        <w:spacing w:after="0" w:line="366" w:lineRule="auto"/>
        <w:rPr>
          <w:sz w:val="20"/>
          <w:szCs w:val="20"/>
          <w:color w:val="auto"/>
        </w:rPr>
      </w:pPr>
      <w:r>
        <w:rPr>
          <w:rFonts w:ascii="Arial" w:cs="Arial" w:eastAsia="Arial" w:hAnsi="Arial"/>
          <w:sz w:val="22"/>
          <w:szCs w:val="22"/>
          <w:color w:val="auto"/>
        </w:rPr>
        <w:t>"Micron posted another solid quarter in our fiscal Q2 2015," said Micron CEO Mark Durcan. "We are pleased with our progress on technology and product migrations and remain confident in the performance of our business."</w:t>
      </w:r>
    </w:p>
    <w:p>
      <w:pPr>
        <w:spacing w:after="0" w:line="258" w:lineRule="exact"/>
        <w:rPr>
          <w:sz w:val="20"/>
          <w:szCs w:val="20"/>
          <w:color w:val="auto"/>
        </w:rPr>
      </w:pPr>
    </w:p>
    <w:p>
      <w:pPr>
        <w:ind w:right="120" w:firstLine="324"/>
        <w:spacing w:after="0" w:line="342" w:lineRule="auto"/>
        <w:rPr>
          <w:sz w:val="20"/>
          <w:szCs w:val="20"/>
          <w:color w:val="auto"/>
        </w:rPr>
      </w:pPr>
      <w:r>
        <w:rPr>
          <w:rFonts w:ascii="Arial" w:cs="Arial" w:eastAsia="Arial" w:hAnsi="Arial"/>
          <w:sz w:val="22"/>
          <w:szCs w:val="22"/>
          <w:b w:val="1"/>
          <w:bCs w:val="1"/>
          <w:color w:val="auto"/>
        </w:rPr>
        <w:t xml:space="preserve">GAAP Income and Per Share Data </w:t>
      </w:r>
      <w:r>
        <w:rPr>
          <w:rFonts w:ascii="Arial" w:cs="Arial" w:eastAsia="Arial" w:hAnsi="Arial"/>
          <w:sz w:val="22"/>
          <w:szCs w:val="22"/>
          <w:color w:val="auto"/>
        </w:rPr>
        <w:t>– On a GAAP</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2015 was $934 million, or $0.78 per diluted share, compared to net income of $1.00 billion, or $0.84 per diluted share, for the first quarter of fiscal 2015 and net income of $731 million, or $0.61 per diluted share, for the second quarter of fiscal 2014.</w:t>
      </w:r>
    </w:p>
    <w:p>
      <w:pPr>
        <w:spacing w:after="0" w:line="175" w:lineRule="exact"/>
        <w:rPr>
          <w:sz w:val="20"/>
          <w:szCs w:val="20"/>
          <w:color w:val="auto"/>
        </w:rPr>
      </w:pPr>
    </w:p>
    <w:p>
      <w:pPr>
        <w:ind w:right="28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fiscal 2015 was $941 million, or $0.81 per diluted share, compared to net income of $1.14 billion, or $0.97 per diluted share, for the first quarter of fiscal 2015. For a reconciliation of GAAP to non-GAAP results, see the accompanying financial tables and footnotes.</w:t>
      </w:r>
    </w:p>
    <w:p>
      <w:pPr>
        <w:spacing w:after="0" w:line="240" w:lineRule="exact"/>
        <w:rPr>
          <w:sz w:val="20"/>
          <w:szCs w:val="20"/>
          <w:color w:val="auto"/>
        </w:rPr>
      </w:pPr>
    </w:p>
    <w:p>
      <w:pPr>
        <w:ind w:right="200" w:firstLine="324"/>
        <w:spacing w:after="0" w:line="366" w:lineRule="auto"/>
        <w:rPr>
          <w:sz w:val="20"/>
          <w:szCs w:val="20"/>
          <w:color w:val="auto"/>
        </w:rPr>
      </w:pPr>
      <w:r>
        <w:rPr>
          <w:rFonts w:ascii="Arial" w:cs="Arial" w:eastAsia="Arial" w:hAnsi="Arial"/>
          <w:sz w:val="22"/>
          <w:szCs w:val="22"/>
          <w:color w:val="auto"/>
        </w:rPr>
        <w:t>Revenues for the second quarter of fiscal 2015 were 9 percent lower compared to the first quarter of fiscal 2015 primarily due to declines in DRAM unit volumes as a result of one less week in the second</w:t>
      </w:r>
    </w:p>
    <w:p>
      <w:pPr>
        <w:sectPr>
          <w:pgSz w:w="11900" w:h="16838" w:orient="portrait"/>
          <w:cols w:equalWidth="0" w:num="1">
            <w:col w:w="11420"/>
          </w:cols>
          <w:pgMar w:left="240" w:top="841" w:right="239" w:bottom="1440" w:gutter="0" w:footer="0" w:header="0"/>
        </w:sectPr>
      </w:pPr>
    </w:p>
    <w:bookmarkStart w:id="5" w:name="page6"/>
    <w:bookmarkEnd w:id="5"/>
    <w:p>
      <w:pPr>
        <w:ind w:right="80"/>
        <w:spacing w:after="0" w:line="400" w:lineRule="auto"/>
        <w:rPr>
          <w:sz w:val="20"/>
          <w:szCs w:val="20"/>
          <w:color w:val="auto"/>
        </w:rPr>
      </w:pPr>
      <w:r>
        <w:rPr>
          <w:rFonts w:ascii="Arial" w:cs="Arial" w:eastAsia="Arial" w:hAnsi="Arial"/>
          <w:sz w:val="19"/>
          <w:szCs w:val="19"/>
          <w:color w:val="auto"/>
        </w:rPr>
        <w:t>quarter of fiscal 2015, and to decreases in average selling prices for both NAND and DRAM. The company's overall consolidated gross margin of 34 percent for the second quarter of fiscal 2015 was down 2 percent compared to the first quarter of fiscal 2015 primarily due to lower average selling prices for NAND and DRAM, partially offset by lower manufacturing costs.</w:t>
      </w:r>
    </w:p>
    <w:p>
      <w:pPr>
        <w:spacing w:after="0" w:line="1" w:lineRule="exact"/>
        <w:rPr>
          <w:sz w:val="20"/>
          <w:szCs w:val="20"/>
          <w:color w:val="auto"/>
        </w:rPr>
      </w:pPr>
    </w:p>
    <w:p>
      <w:pPr>
        <w:ind w:right="280" w:firstLine="324"/>
        <w:spacing w:after="0" w:line="366" w:lineRule="auto"/>
        <w:rPr>
          <w:sz w:val="20"/>
          <w:szCs w:val="20"/>
          <w:color w:val="auto"/>
        </w:rPr>
      </w:pPr>
      <w:r>
        <w:rPr>
          <w:rFonts w:ascii="Arial" w:cs="Arial" w:eastAsia="Arial" w:hAnsi="Arial"/>
          <w:sz w:val="22"/>
          <w:szCs w:val="22"/>
          <w:color w:val="auto"/>
        </w:rPr>
        <w:t>Investments in capital expenditures were $853 million for the second quarter of fiscal 2015. The company ended the second quarter of fiscal 2015 with cash and marketable investments of $6.35 billion.</w:t>
      </w:r>
    </w:p>
    <w:p>
      <w:pPr>
        <w:spacing w:after="0" w:line="214" w:lineRule="exact"/>
        <w:rPr>
          <w:sz w:val="20"/>
          <w:szCs w:val="20"/>
          <w:color w:val="auto"/>
        </w:rPr>
      </w:pPr>
    </w:p>
    <w:p>
      <w:pPr>
        <w:ind w:right="100" w:firstLine="324"/>
        <w:spacing w:after="0" w:line="400" w:lineRule="auto"/>
        <w:rPr>
          <w:sz w:val="20"/>
          <w:szCs w:val="20"/>
          <w:color w:val="auto"/>
        </w:rPr>
      </w:pPr>
      <w:r>
        <w:rPr>
          <w:rFonts w:ascii="Arial" w:cs="Arial" w:eastAsia="Arial" w:hAnsi="Arial"/>
          <w:sz w:val="19"/>
          <w:szCs w:val="19"/>
          <w:color w:val="auto"/>
        </w:rPr>
        <w:t xml:space="preserve">The company will host a conference call Wednesday, April 1, 2015 at 2:30 p.m. MT to discuss its financial results. The call, audio, slides, other operational and financial information, and guidance will be available online at </w:t>
      </w:r>
      <w:r>
        <w:rPr>
          <w:rFonts w:ascii="Arial" w:cs="Arial" w:eastAsia="Arial" w:hAnsi="Arial"/>
          <w:sz w:val="19"/>
          <w:szCs w:val="19"/>
          <w:u w:val="single" w:color="auto"/>
          <w:color w:val="0000FF"/>
        </w:rPr>
        <w:t>http://investors.micron.com/events.cfm</w:t>
      </w:r>
      <w:r>
        <w:rPr>
          <w:rFonts w:ascii="Arial" w:cs="Arial" w:eastAsia="Arial" w:hAnsi="Arial"/>
          <w:sz w:val="19"/>
          <w:szCs w:val="19"/>
          <w:color w:val="000000"/>
        </w:rPr>
        <w:t>. A webcast replay will be available on the company's website until April 1, 2016. A taped</w:t>
      </w:r>
      <w:r>
        <w:rPr>
          <w:rFonts w:ascii="Arial" w:cs="Arial" w:eastAsia="Arial" w:hAnsi="Arial"/>
          <w:sz w:val="19"/>
          <w:szCs w:val="19"/>
          <w:color w:val="0000FF"/>
        </w:rPr>
        <w:t xml:space="preserve"> </w:t>
      </w:r>
      <w:r>
        <w:rPr>
          <w:rFonts w:ascii="Arial" w:cs="Arial" w:eastAsia="Arial" w:hAnsi="Arial"/>
          <w:sz w:val="19"/>
          <w:szCs w:val="19"/>
          <w:color w:val="000000"/>
        </w:rPr>
        <w:t xml:space="preserve">audio replay of the conference call will also be available at 1-404-537-3406 or 1-855-859-2056 (conference number: 6063446) beginning at 5:30 p.m. MT, Wednesday, April 1, 2015 and continuing until 5:30 p.m. MT, Wednesday, April 8, 2015. For Investor Relations and other company updates, follow @MicronTech on Twitter at </w:t>
      </w:r>
      <w:r>
        <w:rPr>
          <w:rFonts w:ascii="Arial" w:cs="Arial" w:eastAsia="Arial" w:hAnsi="Arial"/>
          <w:sz w:val="19"/>
          <w:szCs w:val="19"/>
          <w:u w:val="single" w:color="auto"/>
          <w:color w:val="0000FF"/>
        </w:rPr>
        <w:t>https://twitter.com/MicronTech</w:t>
      </w:r>
      <w:r>
        <w:rPr>
          <w:rFonts w:ascii="Arial" w:cs="Arial" w:eastAsia="Arial" w:hAnsi="Arial"/>
          <w:sz w:val="19"/>
          <w:szCs w:val="19"/>
          <w:color w:val="000000"/>
        </w:rPr>
        <w:t>.</w:t>
      </w:r>
    </w:p>
    <w:p>
      <w:pPr>
        <w:spacing w:after="0" w:line="3" w:lineRule="exact"/>
        <w:rPr>
          <w:sz w:val="20"/>
          <w:szCs w:val="20"/>
          <w:color w:val="auto"/>
        </w:rPr>
      </w:pPr>
    </w:p>
    <w:p>
      <w:pPr>
        <w:ind w:firstLine="324"/>
        <w:spacing w:after="0" w:line="352"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 </w:t>
      </w:r>
      <w:r>
        <w:rPr>
          <w:rFonts w:ascii="Arial" w:cs="Arial" w:eastAsia="Arial" w:hAnsi="Arial"/>
          <w:sz w:val="19"/>
          <w:szCs w:val="19"/>
          <w:color w:val="auto"/>
        </w:rPr>
        <w:t>–</w:t>
      </w:r>
      <w:r>
        <w:rPr>
          <w:rFonts w:ascii="Arial" w:cs="Arial" w:eastAsia="Arial" w:hAnsi="Arial"/>
          <w:sz w:val="22"/>
          <w:szCs w:val="22"/>
          <w:color w:val="auto"/>
        </w:rPr>
        <w:t xml:space="preserve"> including DRAM, NAND and NOR Flash </w:t>
      </w:r>
      <w:r>
        <w:rPr>
          <w:rFonts w:ascii="Arial" w:cs="Arial" w:eastAsia="Arial" w:hAnsi="Arial"/>
          <w:sz w:val="19"/>
          <w:szCs w:val="19"/>
          <w:color w:val="auto"/>
        </w:rPr>
        <w:t>–</w:t>
      </w:r>
      <w:r>
        <w:rPr>
          <w:rFonts w:ascii="Arial" w:cs="Arial" w:eastAsia="Arial" w:hAnsi="Arial"/>
          <w:sz w:val="22"/>
          <w:szCs w:val="22"/>
          <w:color w:val="auto"/>
        </w:rPr>
        <w:t xml:space="preserve"> 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00FF"/>
        </w:rPr>
        <w:t>www.micron.com</w:t>
      </w:r>
      <w:r>
        <w:rPr>
          <w:rFonts w:ascii="Arial" w:cs="Arial" w:eastAsia="Arial" w:hAnsi="Arial"/>
          <w:sz w:val="22"/>
          <w:szCs w:val="22"/>
          <w:color w:val="auto"/>
        </w:rPr>
        <w:t>.</w:t>
      </w:r>
    </w:p>
    <w:p>
      <w:pPr>
        <w:spacing w:after="0" w:line="196"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36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320"/>
          </w:cols>
          <w:pgMar w:left="240" w:top="901" w:right="33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0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0"/>
              </w:rPr>
              <w:t>(in millions except per share amounts)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4"/>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2nd Qtr.</w:t>
            </w:r>
          </w:p>
        </w:tc>
        <w:tc>
          <w:tcPr>
            <w:tcW w:w="2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1st Qtr.</w:t>
            </w: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2nd Qtr.</w:t>
            </w:r>
          </w:p>
        </w:tc>
        <w:tc>
          <w:tcPr>
            <w:tcW w:w="220" w:type="dxa"/>
            <w:vAlign w:val="bottom"/>
          </w:tcPr>
          <w:p>
            <w:pPr>
              <w:spacing w:after="0"/>
              <w:rPr>
                <w:sz w:val="24"/>
                <w:szCs w:val="24"/>
                <w:color w:val="auto"/>
              </w:rPr>
            </w:pPr>
          </w:p>
        </w:tc>
        <w:tc>
          <w:tcPr>
            <w:tcW w:w="21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4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 5,</w:t>
            </w: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 4,</w:t>
            </w:r>
          </w:p>
        </w:tc>
        <w:tc>
          <w:tcPr>
            <w:tcW w:w="180" w:type="dxa"/>
            <w:vAlign w:val="bottom"/>
          </w:tcPr>
          <w:p>
            <w:pPr>
              <w:spacing w:after="0"/>
              <w:rPr>
                <w:sz w:val="21"/>
                <w:szCs w:val="21"/>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Feb 27,</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 5,</w:t>
            </w:r>
          </w:p>
        </w:tc>
        <w:tc>
          <w:tcPr>
            <w:tcW w:w="18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Feb 27,</w:t>
            </w:r>
          </w:p>
        </w:tc>
      </w:tr>
      <w:tr>
        <w:trPr>
          <w:trHeight w:val="234"/>
        </w:trPr>
        <w:tc>
          <w:tcPr>
            <w:tcW w:w="4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4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8,149</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5,465</w:t>
            </w:r>
          </w:p>
        </w:tc>
      </w:tr>
      <w:tr>
        <w:trPr>
          <w:trHeight w:val="27"/>
        </w:trPr>
        <w:tc>
          <w:tcPr>
            <w:tcW w:w="4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4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70"/>
        </w:trPr>
        <w:tc>
          <w:tcPr>
            <w:tcW w:w="41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25"/>
                <w:szCs w:val="25"/>
                <w:color w:val="auto"/>
                <w:vertAlign w:val="superscript"/>
              </w:rPr>
              <w:t>(1)</w:t>
            </w:r>
          </w:p>
        </w:tc>
        <w:tc>
          <w:tcPr>
            <w:tcW w:w="9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1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(2)</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41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(3)</w:t>
            </w: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41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Equity in net income of equity method investees </w:t>
            </w:r>
            <w:r>
              <w:rPr>
                <w:rFonts w:ascii="Arial" w:cs="Arial" w:eastAsia="Arial" w:hAnsi="Arial"/>
                <w:sz w:val="25"/>
                <w:szCs w:val="25"/>
                <w:color w:val="auto"/>
                <w:vertAlign w:val="superscript"/>
              </w:rPr>
              <w:t>(4)</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Micron</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r>
      <w:tr>
        <w:trPr>
          <w:trHeight w:val="297"/>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4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r>
      <w:tr>
        <w:trPr>
          <w:trHeight w:val="27"/>
        </w:trPr>
        <w:tc>
          <w:tcPr>
            <w:tcW w:w="4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ectPr>
          <w:pgSz w:w="11900" w:h="16838" w:orient="portrait"/>
          <w:cols w:equalWidth="0" w:num="1">
            <w:col w:w="11380"/>
          </w:cols>
          <w:pgMar w:left="260" w:top="841"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 5,</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 4,</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Aug 28,</w:t>
            </w:r>
          </w:p>
        </w:tc>
      </w:tr>
      <w:tr>
        <w:trPr>
          <w:trHeight w:val="234"/>
        </w:trPr>
        <w:tc>
          <w:tcPr>
            <w:tcW w:w="7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4,534</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2,906</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10,245</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8,682</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22,498</w:t>
            </w:r>
          </w:p>
        </w:tc>
      </w:tr>
      <w:tr>
        <w:trPr>
          <w:trHeight w:val="297"/>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r>
      <w:tr>
        <w:trPr>
          <w:trHeight w:val="270"/>
        </w:trPr>
        <w:tc>
          <w:tcPr>
            <w:tcW w:w="73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 (5)</w:t>
            </w: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1,638</w:t>
            </w: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4,811</w:t>
            </w:r>
          </w:p>
        </w:tc>
      </w:tr>
      <w:tr>
        <w:trPr>
          <w:trHeight w:val="270"/>
        </w:trPr>
        <w:tc>
          <w:tcPr>
            <w:tcW w:w="73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 (5)</w:t>
            </w: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4,955</w:t>
            </w:r>
          </w:p>
        </w:tc>
      </w:tr>
      <w:tr>
        <w:trPr>
          <w:trHeight w:val="297"/>
        </w:trPr>
        <w:tc>
          <w:tcPr>
            <w:tcW w:w="7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Micron shareholders' equity</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10,771</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11,573</w:t>
            </w:r>
          </w:p>
        </w:tc>
      </w:tr>
    </w:tbl>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8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 5,</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Feb 27,</w:t>
            </w:r>
          </w:p>
        </w:tc>
      </w:tr>
      <w:tr>
        <w:trPr>
          <w:trHeight w:val="234"/>
        </w:trPr>
        <w:tc>
          <w:tcPr>
            <w:tcW w:w="8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8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97"/>
        </w:trPr>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7"/>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debt and sale-leaseback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(1,987)</w:t>
            </w:r>
          </w:p>
        </w:tc>
      </w:tr>
    </w:tbl>
    <w:p>
      <w:pPr>
        <w:sectPr>
          <w:pgSz w:w="11900" w:h="16838" w:orient="portrait"/>
          <w:cols w:equalWidth="0" w:num="1">
            <w:col w:w="11360"/>
          </w:cols>
          <w:pgMar w:left="240" w:top="841" w:right="299" w:bottom="1440" w:gutter="0" w:footer="0" w:header="0"/>
        </w:sectPr>
      </w:pPr>
    </w:p>
    <w:bookmarkStart w:id="8" w:name="page9"/>
    <w:bookmarkEnd w:id="8"/>
    <w:p>
      <w:pPr>
        <w:jc w:val="both"/>
        <w:ind w:left="332" w:right="160" w:hanging="332"/>
        <w:spacing w:after="0" w:line="264"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operating expense for the first quarter of 2014 included a charge of $233 million to accrue a liability in connection with the company's settlement of all pending litigation with Rambus, Inc., including all antitrust and patent matters. The amount accrued represented the discounted value of amounts due under the arrangement.</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income (expense) consisted of the following:</w:t>
      </w:r>
    </w:p>
    <w:p>
      <w:pPr>
        <w:spacing w:after="0" w:line="383"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2nd Qtr.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1st Qtr.</w:t>
            </w:r>
          </w:p>
        </w:tc>
        <w:tc>
          <w:tcPr>
            <w:tcW w:w="2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2nd Qtr.</w:t>
            </w:r>
          </w:p>
        </w:tc>
        <w:tc>
          <w:tcPr>
            <w:tcW w:w="220" w:type="dxa"/>
            <w:vAlign w:val="bottom"/>
          </w:tcPr>
          <w:p>
            <w:pPr>
              <w:spacing w:after="0"/>
              <w:rPr>
                <w:sz w:val="20"/>
                <w:szCs w:val="20"/>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4560" w:type="dxa"/>
            <w:vAlign w:val="bottom"/>
          </w:tcPr>
          <w:p>
            <w:pPr>
              <w:spacing w:after="0"/>
              <w:rPr>
                <w:sz w:val="21"/>
                <w:szCs w:val="21"/>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Mar 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 4,</w:t>
            </w:r>
          </w:p>
        </w:tc>
        <w:tc>
          <w:tcPr>
            <w:tcW w:w="200" w:type="dxa"/>
            <w:vAlign w:val="bottom"/>
          </w:tcPr>
          <w:p>
            <w:pPr>
              <w:spacing w:after="0"/>
              <w:rPr>
                <w:sz w:val="21"/>
                <w:szCs w:val="21"/>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Feb 27,</w:t>
            </w: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 5,</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Feb 27,</w:t>
            </w:r>
          </w:p>
        </w:tc>
      </w:tr>
      <w:tr>
        <w:trPr>
          <w:trHeight w:val="234"/>
        </w:trPr>
        <w:tc>
          <w:tcPr>
            <w:tcW w:w="4560" w:type="dxa"/>
            <w:vAlign w:val="bottom"/>
          </w:tcPr>
          <w:p>
            <w:pPr>
              <w:spacing w:after="0"/>
              <w:rPr>
                <w:sz w:val="20"/>
                <w:szCs w:val="20"/>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2015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restructure of debt</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Gain (loss) from changes in currency exchange rates</w:t>
            </w:r>
          </w:p>
        </w:tc>
        <w:tc>
          <w:tcPr>
            <w:tcW w:w="9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gain on MMJ Acquisition</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100"/>
        <w:spacing w:after="0" w:line="276" w:lineRule="auto"/>
        <w:rPr>
          <w:sz w:val="20"/>
          <w:szCs w:val="20"/>
          <w:color w:val="auto"/>
        </w:rPr>
      </w:pPr>
      <w:r>
        <w:rPr>
          <w:rFonts w:ascii="Arial" w:cs="Arial" w:eastAsia="Arial" w:hAnsi="Arial"/>
          <w:sz w:val="17"/>
          <w:szCs w:val="17"/>
          <w:color w:val="auto"/>
        </w:rPr>
        <w:t>In the first quarter of fiscal 2015, the company recognized aggregate losses of $30 million in connection with debt restructure activities, including settlements of conversions of the company's 2031B Notes for $389 million in cash; repurchases of $36 million principal amount of the company's 2032 series notes in privately-negotiated transactions for $125 million; and the repayment of a $121 million note prior to its scheduled maturity. In the second quarter and first sixth months of fiscal 2014, the company recognized losses of $80 million and $155 million, respectively, from transactions to restructure its debt, including conversions, settlements, repurchases and exchange transactions.</w:t>
      </w:r>
    </w:p>
    <w:p>
      <w:pPr>
        <w:spacing w:after="0" w:line="173" w:lineRule="exact"/>
        <w:rPr>
          <w:sz w:val="20"/>
          <w:szCs w:val="20"/>
          <w:color w:val="auto"/>
        </w:rPr>
      </w:pPr>
    </w:p>
    <w:p>
      <w:pPr>
        <w:ind w:left="332" w:hanging="332"/>
        <w:spacing w:after="0" w:line="25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taxes for the second and first quarters of fiscal 2015 and second quarter of fiscal 2014 included $33 million, $38 million and $55 million, respectively, related to the utilization of deferred tax assets as a result of MMJ's and MMT's operations. Remaining taxes for fiscal 2015 and 2014 primarily reflect taxes on the company's other non-U.S. operations. The company has a full valuation allowance for its net deferred tax asset associated with its U.S. operations. The provision (benefit) for taxes on U.S. operations for fiscal 2015 and 2014 was substantially offset by changes in the valuation allowance.</w:t>
      </w:r>
    </w:p>
    <w:p>
      <w:pPr>
        <w:spacing w:after="0" w:line="188" w:lineRule="exact"/>
        <w:rPr>
          <w:rFonts w:ascii="Arial" w:cs="Arial" w:eastAsia="Arial" w:hAnsi="Arial"/>
          <w:sz w:val="18"/>
          <w:szCs w:val="18"/>
          <w:color w:val="auto"/>
        </w:rPr>
      </w:pPr>
    </w:p>
    <w:p>
      <w:pPr>
        <w:ind w:left="332" w:right="320" w:hanging="332"/>
        <w:spacing w:after="0" w:line="27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in net income of equity method investees for the second quarter of fiscal 2015 included $65 million related to the company's share of Inotera's release of valuation allowances against its deferred tax assets related to its net operating loss carryforward.</w:t>
      </w:r>
    </w:p>
    <w:p>
      <w:pPr>
        <w:spacing w:after="0" w:line="170" w:lineRule="exact"/>
        <w:rPr>
          <w:rFonts w:ascii="Arial" w:cs="Arial" w:eastAsia="Arial" w:hAnsi="Arial"/>
          <w:sz w:val="18"/>
          <w:szCs w:val="18"/>
          <w:color w:val="auto"/>
        </w:rPr>
      </w:pPr>
    </w:p>
    <w:p>
      <w:pPr>
        <w:ind w:left="332" w:right="480" w:hanging="332"/>
        <w:spacing w:after="0" w:line="27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3, 2015, the company issued $1.00 billion in aggregate principal amount of 5.25% Senior Notes due August 2023 (the "2023 Notes"). Issuance costs for the 2023 Notes totaled $12 million.</w:t>
      </w:r>
    </w:p>
    <w:p>
      <w:pPr>
        <w:spacing w:after="0" w:line="170" w:lineRule="exact"/>
        <w:rPr>
          <w:rFonts w:ascii="Arial" w:cs="Arial" w:eastAsia="Arial" w:hAnsi="Arial"/>
          <w:sz w:val="18"/>
          <w:szCs w:val="18"/>
          <w:color w:val="auto"/>
        </w:rPr>
      </w:pPr>
    </w:p>
    <w:p>
      <w:pPr>
        <w:ind w:left="332" w:right="360"/>
        <w:spacing w:after="0" w:line="342" w:lineRule="auto"/>
        <w:rPr>
          <w:rFonts w:ascii="Arial" w:cs="Arial" w:eastAsia="Arial" w:hAnsi="Arial"/>
          <w:sz w:val="18"/>
          <w:szCs w:val="18"/>
          <w:color w:val="auto"/>
        </w:rPr>
      </w:pPr>
      <w:r>
        <w:rPr>
          <w:rFonts w:ascii="Arial" w:cs="Arial" w:eastAsia="Arial" w:hAnsi="Arial"/>
          <w:sz w:val="16"/>
          <w:szCs w:val="16"/>
          <w:color w:val="auto"/>
        </w:rPr>
        <w:t>In the second quarter of 2015, the company recorded capital lease obligations aggregating $287 million, including $254 million related to equipment sale-leaseback transactions, at a weighted-average effective interest rate of 3.2%, payable in periodic installments through February 2019.</w:t>
      </w:r>
    </w:p>
    <w:p>
      <w:pPr>
        <w:spacing w:after="0" w:line="123" w:lineRule="exact"/>
        <w:rPr>
          <w:rFonts w:ascii="Arial" w:cs="Arial" w:eastAsia="Arial" w:hAnsi="Arial"/>
          <w:sz w:val="18"/>
          <w:szCs w:val="18"/>
          <w:color w:val="auto"/>
        </w:rPr>
      </w:pPr>
    </w:p>
    <w:p>
      <w:pPr>
        <w:ind w:left="332" w:right="20"/>
        <w:spacing w:after="0" w:line="297" w:lineRule="auto"/>
        <w:rPr>
          <w:rFonts w:ascii="Arial" w:cs="Arial" w:eastAsia="Arial" w:hAnsi="Arial"/>
          <w:sz w:val="18"/>
          <w:szCs w:val="18"/>
          <w:color w:val="auto"/>
        </w:rPr>
      </w:pPr>
      <w:r>
        <w:rPr>
          <w:rFonts w:ascii="Arial" w:cs="Arial" w:eastAsia="Arial" w:hAnsi="Arial"/>
          <w:sz w:val="16"/>
          <w:szCs w:val="16"/>
          <w:color w:val="auto"/>
        </w:rPr>
        <w:t>On February 12, 2015, the company terminated its unused $255 million senior secured three-year revolving credit facility and entered into a senior secured five-year revolving credit facility. Under this credit facility, the company can draw up to the lesser of $750 million or 80% of the net outstanding balance of certain trade receivables. The revolving credit facility contains customary covenants and conditions. Interest is payable on any outstanding principal balance at a variable rate equal to LIBOR plus an applicable margin ranging between 1.75% to 2.25%, depending upon the utilized portion of the facility. As of March 5, 2015, the amount available was $704 million and the company had not drawn any amounts under this facility.</w:t>
      </w:r>
    </w:p>
    <w:p>
      <w:pPr>
        <w:spacing w:after="0" w:line="158" w:lineRule="exact"/>
        <w:rPr>
          <w:rFonts w:ascii="Arial" w:cs="Arial" w:eastAsia="Arial" w:hAnsi="Arial"/>
          <w:sz w:val="18"/>
          <w:szCs w:val="18"/>
          <w:color w:val="auto"/>
        </w:rPr>
      </w:pPr>
    </w:p>
    <w:p>
      <w:pPr>
        <w:ind w:left="332" w:right="100"/>
        <w:spacing w:after="0" w:line="255" w:lineRule="auto"/>
        <w:rPr>
          <w:rFonts w:ascii="Arial" w:cs="Arial" w:eastAsia="Arial" w:hAnsi="Arial"/>
          <w:sz w:val="18"/>
          <w:szCs w:val="18"/>
          <w:color w:val="auto"/>
        </w:rPr>
      </w:pPr>
      <w:r>
        <w:rPr>
          <w:rFonts w:ascii="Arial" w:cs="Arial" w:eastAsia="Arial" w:hAnsi="Arial"/>
          <w:sz w:val="18"/>
          <w:szCs w:val="18"/>
          <w:color w:val="auto"/>
        </w:rPr>
        <w:t>On December 2, 2014, the company terminated its unused $153 million senior secured three-year revolving credit facility and entered into a senior secured five-year revolving credit facility, collateralized by a security interest in certain trade receivables and inventory. The credit facility has an aggregate revolving commitment which is subject to certain adjustments, including an availability block that effectively limits the maximum amount the company could draw to $540 million. The revolving credit facility contains customary covenants and conditions. Generally, interest is payable on any outstanding principal balance at a variable rate not to exceed LIBOR plus an applicable margin ranging between 1.25% to 1.75%, based on the monthly average undrawn availability under the credit facility. As of March 5, 2015, the amount available was $473 million and the company had not drawn any amounts under this facility.</w:t>
      </w:r>
    </w:p>
    <w:p>
      <w:pPr>
        <w:sectPr>
          <w:pgSz w:w="11900" w:h="16838" w:orient="portrait"/>
          <w:cols w:equalWidth="0" w:num="1">
            <w:col w:w="11392"/>
          </w:cols>
          <w:pgMar w:left="248" w:top="1057" w:right="25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76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22"/>
        </w:trPr>
        <w:tc>
          <w:tcPr>
            <w:tcW w:w="4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2nd Qtr.</w:t>
            </w:r>
          </w:p>
        </w:tc>
        <w:tc>
          <w:tcPr>
            <w:tcW w:w="240" w:type="dxa"/>
            <w:vAlign w:val="bottom"/>
          </w:tcPr>
          <w:p>
            <w:pPr>
              <w:spacing w:after="0"/>
              <w:rPr>
                <w:sz w:val="24"/>
                <w:szCs w:val="24"/>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1st Qtr.</w:t>
            </w:r>
          </w:p>
        </w:tc>
      </w:tr>
      <w:tr>
        <w:trPr>
          <w:trHeight w:val="252"/>
        </w:trPr>
        <w:tc>
          <w:tcPr>
            <w:tcW w:w="41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Mar 5,</w:t>
            </w:r>
          </w:p>
        </w:tc>
        <w:tc>
          <w:tcPr>
            <w:tcW w:w="240" w:type="dxa"/>
            <w:vAlign w:val="bottom"/>
          </w:tcPr>
          <w:p>
            <w:pPr>
              <w:spacing w:after="0"/>
              <w:rPr>
                <w:sz w:val="21"/>
                <w:szCs w:val="21"/>
                <w:color w:val="auto"/>
              </w:rPr>
            </w:pPr>
          </w:p>
        </w:tc>
        <w:tc>
          <w:tcPr>
            <w:tcW w:w="1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Dec 4,</w:t>
            </w:r>
          </w:p>
        </w:tc>
      </w:tr>
      <w:tr>
        <w:trPr>
          <w:trHeight w:val="234"/>
        </w:trPr>
        <w:tc>
          <w:tcPr>
            <w:tcW w:w="4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1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attributable to Micron</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Amortization of debt discount and other costs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restructure of debt</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w w:val="92"/>
              </w:rPr>
              <w:t>(Gain) loss from changes in currency exchange rates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disposition of shares in Aptina</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120" w:type="dxa"/>
            <w:vAlign w:val="bottom"/>
          </w:tcPr>
          <w:p>
            <w:pPr>
              <w:ind w:left="340"/>
              <w:spacing w:after="0"/>
              <w:rPr>
                <w:sz w:val="20"/>
                <w:szCs w:val="20"/>
                <w:color w:val="auto"/>
              </w:rPr>
            </w:pPr>
            <w:r>
              <w:rPr>
                <w:rFonts w:ascii="Arial" w:cs="Arial" w:eastAsia="Arial" w:hAnsi="Arial"/>
                <w:sz w:val="18"/>
                <w:szCs w:val="18"/>
                <w:color w:val="auto"/>
              </w:rPr>
              <w:t>Estimated tax effects of above items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taxes from MMJ and MMT</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Non-cash taxes from Inotera</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non-GAAP adjustments</w:t>
            </w:r>
          </w:p>
        </w:tc>
        <w:tc>
          <w:tcPr>
            <w:tcW w:w="4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r>
      <w:tr>
        <w:trPr>
          <w:trHeight w:val="29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 attributable to Micron</w:t>
            </w:r>
          </w:p>
        </w:tc>
        <w:tc>
          <w:tcPr>
            <w:tcW w:w="45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1,138</w:t>
            </w:r>
          </w:p>
        </w:tc>
      </w:tr>
      <w:tr>
        <w:trPr>
          <w:trHeight w:val="284"/>
        </w:trPr>
        <w:tc>
          <w:tcPr>
            <w:tcW w:w="412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w w:val="90"/>
              </w:rPr>
              <w:t>Number of shares used in diluted per share calculations: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Effect of capped calls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1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w:t>
            </w:r>
          </w:p>
        </w:tc>
        <w:tc>
          <w:tcPr>
            <w:tcW w:w="4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1,168</w:t>
            </w:r>
          </w:p>
        </w:tc>
      </w:tr>
      <w:tr>
        <w:trPr>
          <w:trHeight w:val="20"/>
        </w:trPr>
        <w:tc>
          <w:tcPr>
            <w:tcW w:w="4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GAAP</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0.84</w:t>
            </w:r>
          </w:p>
        </w:tc>
      </w:tr>
      <w:tr>
        <w:trPr>
          <w:trHeight w:val="27"/>
        </w:trPr>
        <w:tc>
          <w:tcPr>
            <w:tcW w:w="4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above</w:t>
            </w: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Non-GAAP</w:t>
            </w:r>
          </w:p>
        </w:tc>
        <w:tc>
          <w:tcPr>
            <w:tcW w:w="45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0.97</w:t>
            </w:r>
          </w:p>
        </w:tc>
      </w:tr>
      <w:tr>
        <w:trPr>
          <w:trHeight w:val="20"/>
        </w:trPr>
        <w:tc>
          <w:tcPr>
            <w:tcW w:w="4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including impairment of equity method investments;</w:t>
      </w:r>
    </w:p>
    <w:p>
      <w:pPr>
        <w:spacing w:after="0" w:line="23"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from disposition of shares in Aptina;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items;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taxes resulting from utilization of, and other changes in, deferred tax assets of MMJ and MMT;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taxes resulting from changes in deferred tax assets of Inotera, an equity method investment of the company.</w:t>
      </w:r>
    </w:p>
    <w:p>
      <w:pPr>
        <w:spacing w:after="0" w:line="211"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Non-GAAP diluted shares include the impact, based on the average share price for the quarter, of the company's outstanding capped call transactions, which are anti-dilutive in GAAP earnings per share but are expected to mitigate the dilutive effect of the company's convertible notes.</w:t>
      </w:r>
    </w:p>
    <w:sectPr>
      <w:pgSz w:w="11900" w:h="16838" w:orient="portrait"/>
      <w:cols w:equalWidth="0" w:num="1">
        <w:col w:w="11360"/>
      </w:cols>
      <w:pgMar w:left="240" w:top="8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2019-12-05T21:54:43Z</dcterms:created>
  <dcterms:modified xsi:type="dcterms:W3CDTF">2019-12-05T21:54:43Z</dcterms:modified>
</cp:coreProperties>
</file>