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0402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040245"/>
                    </a:xfrm>
                    <a:prstGeom prst="rect">
                      <a:avLst/>
                    </a:prstGeom>
                    <a:noFill/>
                  </pic:spPr>
                </pic:pic>
              </a:graphicData>
            </a:graphic>
          </wp:anchor>
        </w:drawing>
      </w:r>
    </w:p>
    <w:p>
      <w:pPr>
        <w:sectPr>
          <w:pgSz w:w="11900" w:h="16838" w:orient="portrait"/>
          <w:cols w:equalWidth="0" w:num="1">
            <w:col w:w="11420"/>
          </w:cols>
          <w:pgMar w:left="240" w:top="220" w:right="239" w:bottom="758"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40" w:type="dxa"/>
            <w:vAlign w:val="bottom"/>
            <w:gridSpan w:val="3"/>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Deboer Scott J</w:t>
              </w:r>
            </w:hyperlink>
          </w:p>
        </w:tc>
        <w:tc>
          <w:tcPr>
            <w:tcW w:w="1380" w:type="dxa"/>
            <w:vAlign w:val="bottom"/>
          </w:tcPr>
          <w:p>
            <w:pPr>
              <w:spacing w:after="0"/>
              <w:rPr>
                <w:sz w:val="10"/>
                <w:szCs w:val="10"/>
                <w:color w:val="auto"/>
              </w:rPr>
            </w:pPr>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01/22/2013</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(Last)</w:t>
            </w:r>
          </w:p>
        </w:tc>
        <w:tc>
          <w:tcPr>
            <w:tcW w:w="1040" w:type="dxa"/>
            <w:vAlign w:val="bottom"/>
            <w:gridSpan w:val="2"/>
          </w:tcPr>
          <w:p>
            <w:pPr>
              <w:ind w:left="3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8000 S FEDERAL WAY, MS 1-557</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840" w:type="dxa"/>
            <w:vAlign w:val="bottom"/>
            <w:gridSpan w:val="3"/>
          </w:tcPr>
          <w:p>
            <w:pPr>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0000FF"/>
              </w:rPr>
              <w:t>BOISE</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0000FF"/>
              </w:rPr>
              <w:t>ID</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83716</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gridSpan w:val="2"/>
          </w:tcPr>
          <w:p>
            <w:pPr>
              <w:ind w:left="3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MICRON TECHNOLOGY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80"/>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5"/>
                <w:szCs w:val="15"/>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68"/>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80"/>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37"/>
        </w:trPr>
        <w:tc>
          <w:tcPr>
            <w:tcW w:w="420" w:type="dxa"/>
            <w:vAlign w:val="bottom"/>
          </w:tcPr>
          <w:p>
            <w:pPr>
              <w:spacing w:after="0"/>
              <w:rPr>
                <w:sz w:val="20"/>
                <w:szCs w:val="20"/>
                <w:color w:val="auto"/>
              </w:rPr>
            </w:pPr>
          </w:p>
        </w:tc>
        <w:tc>
          <w:tcPr>
            <w:tcW w:w="2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0000FF"/>
              </w:rPr>
              <w:t>Vice President, R&amp;D</w:t>
            </w:r>
          </w:p>
        </w:tc>
        <w:tc>
          <w:tcPr>
            <w:tcW w:w="200" w:type="dxa"/>
            <w:vAlign w:val="bottom"/>
          </w:tcPr>
          <w:p>
            <w:pPr>
              <w:spacing w:after="0"/>
              <w:rPr>
                <w:sz w:val="20"/>
                <w:szCs w:val="20"/>
                <w:color w:val="auto"/>
              </w:rPr>
            </w:pP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r>
      <w:tr>
        <w:trPr>
          <w:trHeight w:val="188"/>
        </w:trPr>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80"/>
        </w:trPr>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1" w:lineRule="exact"/>
        <w:rPr>
          <w:sz w:val="24"/>
          <w:szCs w:val="24"/>
          <w:color w:val="auto"/>
        </w:rPr>
      </w:pPr>
    </w:p>
    <w:p>
      <w:pPr>
        <w:sectPr>
          <w:pgSz w:w="11900" w:h="16838" w:orient="portrait"/>
          <w:cols w:equalWidth="0" w:num="2">
            <w:col w:w="4720" w:space="480"/>
            <w:col w:w="6220"/>
          </w:cols>
          <w:pgMar w:left="240" w:top="220" w:right="239" w:bottom="758"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339,673</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0000FF"/>
              </w:rPr>
              <w:t>D</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02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7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5"/>
                <w:szCs w:val="15"/>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5"/>
                <w:szCs w:val="15"/>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1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900" w:type="dxa"/>
            <w:vAlign w:val="bottom"/>
            <w:gridSpan w:val="2"/>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41"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620" w:type="dxa"/>
            <w:vAlign w:val="bottom"/>
          </w:tcPr>
          <w:p>
            <w:pPr>
              <w:spacing w:after="0"/>
              <w:rPr>
                <w:sz w:val="12"/>
                <w:szCs w:val="12"/>
                <w:color w:val="auto"/>
              </w:rPr>
            </w:pPr>
          </w:p>
        </w:tc>
        <w:tc>
          <w:tcPr>
            <w:tcW w:w="1160" w:type="dxa"/>
            <w:vAlign w:val="bottom"/>
          </w:tcPr>
          <w:p>
            <w:pPr>
              <w:ind w:left="500"/>
              <w:spacing w:after="0" w:line="143" w:lineRule="exact"/>
              <w:rPr>
                <w:sz w:val="20"/>
                <w:szCs w:val="20"/>
                <w:color w:val="auto"/>
              </w:rPr>
            </w:pPr>
            <w:r>
              <w:rPr>
                <w:rFonts w:ascii="Arial" w:cs="Arial" w:eastAsia="Arial" w:hAnsi="Arial"/>
                <w:sz w:val="14"/>
                <w:szCs w:val="14"/>
                <w:b w:val="1"/>
                <w:bCs w:val="1"/>
                <w:color w:val="auto"/>
              </w:rPr>
              <w:t>Number</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16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of</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620" w:type="dxa"/>
            <w:vAlign w:val="bottom"/>
            <w:vMerge w:val="continue"/>
          </w:tcPr>
          <w:p>
            <w:pPr>
              <w:spacing w:after="0"/>
              <w:rPr>
                <w:sz w:val="16"/>
                <w:szCs w:val="16"/>
                <w:color w:val="auto"/>
              </w:rPr>
            </w:pPr>
          </w:p>
        </w:tc>
        <w:tc>
          <w:tcPr>
            <w:tcW w:w="1160" w:type="dxa"/>
            <w:vAlign w:val="bottom"/>
          </w:tcPr>
          <w:p>
            <w:pPr>
              <w:ind w:left="50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Non-Statutory Stock Option</w:t>
            </w:r>
          </w:p>
        </w:tc>
        <w:tc>
          <w:tcPr>
            <w:tcW w:w="15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4"/>
                <w:szCs w:val="14"/>
                <w:color w:val="0000FF"/>
                <w:w w:val="98"/>
              </w:rPr>
              <w:t>03/03/2004</w:t>
            </w:r>
            <w:r>
              <w:rPr>
                <w:rFonts w:ascii="Times New Roman" w:cs="Times New Roman" w:eastAsia="Times New Roman" w:hAnsi="Times New Roman"/>
                <w:sz w:val="22"/>
                <w:szCs w:val="22"/>
                <w:color w:val="008000"/>
                <w:w w:val="98"/>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7"/>
              </w:rPr>
              <w:t>03/03/2013</w:t>
            </w:r>
          </w:p>
        </w:tc>
        <w:tc>
          <w:tcPr>
            <w:tcW w:w="162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w w:val="99"/>
              </w:rPr>
              <w:t>Common Stock</w:t>
            </w:r>
          </w:p>
        </w:tc>
        <w:tc>
          <w:tcPr>
            <w:tcW w:w="116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8"/>
                <w:szCs w:val="18"/>
                <w:color w:val="0000FF"/>
                <w:w w:val="98"/>
              </w:rPr>
              <w:t>5,000</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7.42</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Non-Statutory Stock Option</w:t>
            </w:r>
          </w:p>
        </w:tc>
        <w:tc>
          <w:tcPr>
            <w:tcW w:w="15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4"/>
                <w:szCs w:val="14"/>
                <w:color w:val="0000FF"/>
                <w:w w:val="98"/>
              </w:rPr>
              <w:t>10/01/2004</w:t>
            </w:r>
            <w:r>
              <w:rPr>
                <w:rFonts w:ascii="Times New Roman" w:cs="Times New Roman" w:eastAsia="Times New Roman" w:hAnsi="Times New Roman"/>
                <w:sz w:val="22"/>
                <w:szCs w:val="22"/>
                <w:color w:val="008000"/>
                <w:w w:val="98"/>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7"/>
              </w:rPr>
              <w:t>10/01/2013</w:t>
            </w:r>
          </w:p>
        </w:tc>
        <w:tc>
          <w:tcPr>
            <w:tcW w:w="162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w w:val="99"/>
              </w:rPr>
              <w:t>Common Stock</w:t>
            </w:r>
          </w:p>
        </w:tc>
        <w:tc>
          <w:tcPr>
            <w:tcW w:w="116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8"/>
                <w:szCs w:val="18"/>
                <w:color w:val="0000FF"/>
              </w:rPr>
              <w:t>800</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13.42</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Non-Stautory Stock Option</w:t>
            </w:r>
          </w:p>
        </w:tc>
        <w:tc>
          <w:tcPr>
            <w:tcW w:w="15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4"/>
                <w:szCs w:val="14"/>
                <w:color w:val="0000FF"/>
                <w:w w:val="98"/>
              </w:rPr>
              <w:t>09/02/2004</w:t>
            </w:r>
            <w:r>
              <w:rPr>
                <w:rFonts w:ascii="Times New Roman" w:cs="Times New Roman" w:eastAsia="Times New Roman" w:hAnsi="Times New Roman"/>
                <w:sz w:val="22"/>
                <w:szCs w:val="22"/>
                <w:color w:val="008000"/>
                <w:w w:val="98"/>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7"/>
              </w:rPr>
              <w:t>09/02/2013</w:t>
            </w:r>
          </w:p>
        </w:tc>
        <w:tc>
          <w:tcPr>
            <w:tcW w:w="162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w w:val="99"/>
              </w:rPr>
              <w:t>Common Stock</w:t>
            </w:r>
          </w:p>
        </w:tc>
        <w:tc>
          <w:tcPr>
            <w:tcW w:w="116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8"/>
                <w:szCs w:val="18"/>
                <w:color w:val="0000FF"/>
                <w:w w:val="98"/>
              </w:rPr>
              <w:t>1,950</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14.47</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Non-Statutory Stock Option</w:t>
            </w:r>
          </w:p>
        </w:tc>
        <w:tc>
          <w:tcPr>
            <w:tcW w:w="15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4"/>
                <w:szCs w:val="14"/>
                <w:color w:val="0000FF"/>
                <w:w w:val="98"/>
              </w:rPr>
              <w:t>10/01/2004</w:t>
            </w:r>
            <w:r>
              <w:rPr>
                <w:rFonts w:ascii="Times New Roman" w:cs="Times New Roman" w:eastAsia="Times New Roman" w:hAnsi="Times New Roman"/>
                <w:sz w:val="22"/>
                <w:szCs w:val="22"/>
                <w:color w:val="008000"/>
                <w:w w:val="98"/>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7"/>
              </w:rPr>
              <w:t>10/01/2013</w:t>
            </w:r>
          </w:p>
        </w:tc>
        <w:tc>
          <w:tcPr>
            <w:tcW w:w="162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w w:val="99"/>
              </w:rPr>
              <w:t>Common Stock</w:t>
            </w:r>
          </w:p>
        </w:tc>
        <w:tc>
          <w:tcPr>
            <w:tcW w:w="116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8"/>
                <w:szCs w:val="18"/>
                <w:color w:val="0000FF"/>
              </w:rPr>
              <w:t>800</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13.42</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Non-Stautory Stock Option</w:t>
            </w:r>
          </w:p>
        </w:tc>
        <w:tc>
          <w:tcPr>
            <w:tcW w:w="15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4"/>
                <w:szCs w:val="14"/>
                <w:color w:val="0000FF"/>
                <w:w w:val="98"/>
              </w:rPr>
              <w:t>11/19/2004</w:t>
            </w:r>
            <w:r>
              <w:rPr>
                <w:rFonts w:ascii="Times New Roman" w:cs="Times New Roman" w:eastAsia="Times New Roman" w:hAnsi="Times New Roman"/>
                <w:sz w:val="22"/>
                <w:szCs w:val="22"/>
                <w:color w:val="008000"/>
                <w:w w:val="98"/>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3"/>
              </w:rPr>
              <w:t>11/19/2013</w:t>
            </w:r>
          </w:p>
        </w:tc>
        <w:tc>
          <w:tcPr>
            <w:tcW w:w="162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w w:val="99"/>
              </w:rPr>
              <w:t>Common Stock</w:t>
            </w:r>
          </w:p>
        </w:tc>
        <w:tc>
          <w:tcPr>
            <w:tcW w:w="116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8"/>
                <w:szCs w:val="18"/>
                <w:color w:val="0000FF"/>
                <w:w w:val="96"/>
              </w:rPr>
              <w:t>15,000</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12.52</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Non-Statutory Stock Option</w:t>
            </w:r>
          </w:p>
        </w:tc>
        <w:tc>
          <w:tcPr>
            <w:tcW w:w="15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4"/>
                <w:szCs w:val="14"/>
                <w:color w:val="0000FF"/>
                <w:w w:val="98"/>
              </w:rPr>
              <w:t>03/02/2005</w:t>
            </w:r>
            <w:r>
              <w:rPr>
                <w:rFonts w:ascii="Times New Roman" w:cs="Times New Roman" w:eastAsia="Times New Roman" w:hAnsi="Times New Roman"/>
                <w:sz w:val="22"/>
                <w:szCs w:val="22"/>
                <w:color w:val="008000"/>
                <w:w w:val="98"/>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7"/>
              </w:rPr>
              <w:t>03/02/2014</w:t>
            </w:r>
          </w:p>
        </w:tc>
        <w:tc>
          <w:tcPr>
            <w:tcW w:w="162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w w:val="99"/>
              </w:rPr>
              <w:t>Common Stock</w:t>
            </w:r>
          </w:p>
        </w:tc>
        <w:tc>
          <w:tcPr>
            <w:tcW w:w="116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8"/>
                <w:szCs w:val="18"/>
                <w:color w:val="0000FF"/>
                <w:w w:val="98"/>
              </w:rPr>
              <w:t>1,600</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15.35</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Non-Stautory Stock Option</w:t>
            </w:r>
          </w:p>
        </w:tc>
        <w:tc>
          <w:tcPr>
            <w:tcW w:w="15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4"/>
                <w:szCs w:val="14"/>
                <w:color w:val="0000FF"/>
                <w:w w:val="98"/>
              </w:rPr>
              <w:t>12/01/2004</w:t>
            </w:r>
            <w:r>
              <w:rPr>
                <w:rFonts w:ascii="Times New Roman" w:cs="Times New Roman" w:eastAsia="Times New Roman" w:hAnsi="Times New Roman"/>
                <w:sz w:val="22"/>
                <w:szCs w:val="22"/>
                <w:color w:val="008000"/>
                <w:w w:val="98"/>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7"/>
              </w:rPr>
              <w:t>12/01/2013</w:t>
            </w:r>
          </w:p>
        </w:tc>
        <w:tc>
          <w:tcPr>
            <w:tcW w:w="162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w w:val="99"/>
              </w:rPr>
              <w:t>Common Stock</w:t>
            </w:r>
          </w:p>
        </w:tc>
        <w:tc>
          <w:tcPr>
            <w:tcW w:w="116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8"/>
                <w:szCs w:val="18"/>
                <w:color w:val="0000FF"/>
              </w:rPr>
              <w:t>800</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13.01</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Non-Statutory Stock Option</w:t>
            </w:r>
          </w:p>
        </w:tc>
        <w:tc>
          <w:tcPr>
            <w:tcW w:w="15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4"/>
                <w:szCs w:val="14"/>
                <w:color w:val="0000FF"/>
                <w:w w:val="98"/>
              </w:rPr>
              <w:t>03/02/2005</w:t>
            </w:r>
            <w:r>
              <w:rPr>
                <w:rFonts w:ascii="Times New Roman" w:cs="Times New Roman" w:eastAsia="Times New Roman" w:hAnsi="Times New Roman"/>
                <w:sz w:val="22"/>
                <w:szCs w:val="22"/>
                <w:color w:val="008000"/>
                <w:w w:val="98"/>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7"/>
              </w:rPr>
              <w:t>03/02/2014</w:t>
            </w:r>
          </w:p>
        </w:tc>
        <w:tc>
          <w:tcPr>
            <w:tcW w:w="162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w w:val="99"/>
              </w:rPr>
              <w:t>Common Stock</w:t>
            </w:r>
          </w:p>
        </w:tc>
        <w:tc>
          <w:tcPr>
            <w:tcW w:w="116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8"/>
                <w:szCs w:val="18"/>
                <w:color w:val="0000FF"/>
                <w:w w:val="98"/>
              </w:rPr>
              <w:t>1,600</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15.35</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Non-Stautory Stock Option</w:t>
            </w:r>
          </w:p>
        </w:tc>
        <w:tc>
          <w:tcPr>
            <w:tcW w:w="15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4"/>
                <w:szCs w:val="14"/>
                <w:color w:val="0000FF"/>
                <w:w w:val="98"/>
              </w:rPr>
              <w:t>09/01/2005</w:t>
            </w:r>
            <w:r>
              <w:rPr>
                <w:rFonts w:ascii="Times New Roman" w:cs="Times New Roman" w:eastAsia="Times New Roman" w:hAnsi="Times New Roman"/>
                <w:sz w:val="22"/>
                <w:szCs w:val="22"/>
                <w:color w:val="008000"/>
                <w:w w:val="98"/>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7"/>
              </w:rPr>
              <w:t>09/01/2014</w:t>
            </w:r>
          </w:p>
        </w:tc>
        <w:tc>
          <w:tcPr>
            <w:tcW w:w="162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w w:val="99"/>
              </w:rPr>
              <w:t>Common Stock</w:t>
            </w:r>
          </w:p>
        </w:tc>
        <w:tc>
          <w:tcPr>
            <w:tcW w:w="116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8"/>
                <w:szCs w:val="18"/>
                <w:color w:val="0000FF"/>
                <w:w w:val="96"/>
              </w:rPr>
              <w:t>25,000</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11.51</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Non-Stautory Stock Option</w:t>
            </w:r>
          </w:p>
        </w:tc>
        <w:tc>
          <w:tcPr>
            <w:tcW w:w="15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4"/>
                <w:szCs w:val="14"/>
                <w:color w:val="0000FF"/>
                <w:w w:val="98"/>
              </w:rPr>
              <w:t>10/03/2009</w:t>
            </w:r>
            <w:r>
              <w:rPr>
                <w:rFonts w:ascii="Times New Roman" w:cs="Times New Roman" w:eastAsia="Times New Roman" w:hAnsi="Times New Roman"/>
                <w:sz w:val="22"/>
                <w:szCs w:val="22"/>
                <w:color w:val="008000"/>
                <w:w w:val="98"/>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7"/>
              </w:rPr>
              <w:t>10/03/2014</w:t>
            </w:r>
          </w:p>
        </w:tc>
        <w:tc>
          <w:tcPr>
            <w:tcW w:w="162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w w:val="99"/>
              </w:rPr>
              <w:t>Common Stock</w:t>
            </w:r>
          </w:p>
        </w:tc>
        <w:tc>
          <w:tcPr>
            <w:tcW w:w="116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8"/>
                <w:szCs w:val="18"/>
                <w:color w:val="0000FF"/>
                <w:w w:val="95"/>
              </w:rPr>
              <w:t>136,250</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4.48</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Non-Statutory Stock Option</w:t>
            </w:r>
          </w:p>
        </w:tc>
        <w:tc>
          <w:tcPr>
            <w:tcW w:w="15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4"/>
                <w:szCs w:val="14"/>
                <w:color w:val="0000FF"/>
                <w:w w:val="98"/>
              </w:rPr>
              <w:t>10/05/2010</w:t>
            </w:r>
            <w:r>
              <w:rPr>
                <w:rFonts w:ascii="Times New Roman" w:cs="Times New Roman" w:eastAsia="Times New Roman" w:hAnsi="Times New Roman"/>
                <w:sz w:val="22"/>
                <w:szCs w:val="22"/>
                <w:color w:val="008000"/>
                <w:w w:val="98"/>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7"/>
              </w:rPr>
              <w:t>10/05/2015</w:t>
            </w:r>
          </w:p>
        </w:tc>
        <w:tc>
          <w:tcPr>
            <w:tcW w:w="162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w w:val="99"/>
              </w:rPr>
              <w:t>Common Stock</w:t>
            </w:r>
          </w:p>
        </w:tc>
        <w:tc>
          <w:tcPr>
            <w:tcW w:w="116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8"/>
                <w:szCs w:val="18"/>
                <w:color w:val="0000FF"/>
                <w:w w:val="95"/>
              </w:rPr>
              <w:t>107,000</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7.46</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Non-Statutory Stock Option</w:t>
            </w:r>
          </w:p>
        </w:tc>
        <w:tc>
          <w:tcPr>
            <w:tcW w:w="15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4"/>
                <w:szCs w:val="14"/>
                <w:color w:val="0000FF"/>
                <w:w w:val="98"/>
              </w:rPr>
              <w:t>10/11/2011</w:t>
            </w:r>
            <w:r>
              <w:rPr>
                <w:rFonts w:ascii="Times New Roman" w:cs="Times New Roman" w:eastAsia="Times New Roman" w:hAnsi="Times New Roman"/>
                <w:sz w:val="22"/>
                <w:szCs w:val="22"/>
                <w:color w:val="008000"/>
                <w:w w:val="98"/>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3"/>
              </w:rPr>
              <w:t>10/11/2016</w:t>
            </w:r>
          </w:p>
        </w:tc>
        <w:tc>
          <w:tcPr>
            <w:tcW w:w="162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w w:val="99"/>
              </w:rPr>
              <w:t>Common Stock</w:t>
            </w:r>
          </w:p>
        </w:tc>
        <w:tc>
          <w:tcPr>
            <w:tcW w:w="116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8"/>
                <w:szCs w:val="18"/>
                <w:color w:val="0000FF"/>
                <w:w w:val="95"/>
              </w:rPr>
              <w:t>117,000</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7.59</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Non-Statutory Stock Option</w:t>
            </w:r>
          </w:p>
        </w:tc>
        <w:tc>
          <w:tcPr>
            <w:tcW w:w="15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4"/>
                <w:szCs w:val="14"/>
                <w:color w:val="0000FF"/>
                <w:w w:val="98"/>
              </w:rPr>
              <w:t>10/11/2012</w:t>
            </w:r>
            <w:r>
              <w:rPr>
                <w:rFonts w:ascii="Times New Roman" w:cs="Times New Roman" w:eastAsia="Times New Roman" w:hAnsi="Times New Roman"/>
                <w:sz w:val="22"/>
                <w:szCs w:val="22"/>
                <w:color w:val="008000"/>
                <w:w w:val="98"/>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3"/>
              </w:rPr>
              <w:t>10/11/2017</w:t>
            </w:r>
          </w:p>
        </w:tc>
        <w:tc>
          <w:tcPr>
            <w:tcW w:w="162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w w:val="99"/>
              </w:rPr>
              <w:t>Common Stock</w:t>
            </w:r>
          </w:p>
        </w:tc>
        <w:tc>
          <w:tcPr>
            <w:tcW w:w="116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8"/>
                <w:szCs w:val="18"/>
                <w:color w:val="0000FF"/>
                <w:w w:val="95"/>
              </w:rPr>
              <w:t>155,000</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5.16</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Non-Stautory Stock Option</w:t>
            </w:r>
          </w:p>
        </w:tc>
        <w:tc>
          <w:tcPr>
            <w:tcW w:w="15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4"/>
                <w:szCs w:val="14"/>
                <w:color w:val="0000FF"/>
                <w:w w:val="98"/>
              </w:rPr>
              <w:t>10/16/2013</w:t>
            </w:r>
            <w:r>
              <w:rPr>
                <w:rFonts w:ascii="Times New Roman" w:cs="Times New Roman" w:eastAsia="Times New Roman" w:hAnsi="Times New Roman"/>
                <w:sz w:val="22"/>
                <w:szCs w:val="22"/>
                <w:color w:val="008000"/>
                <w:w w:val="98"/>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7"/>
              </w:rPr>
              <w:t>10/16/2018</w:t>
            </w:r>
          </w:p>
        </w:tc>
        <w:tc>
          <w:tcPr>
            <w:tcW w:w="162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w w:val="99"/>
              </w:rPr>
              <w:t>Common Stock</w:t>
            </w:r>
          </w:p>
        </w:tc>
        <w:tc>
          <w:tcPr>
            <w:tcW w:w="1160" w:type="dxa"/>
            <w:vAlign w:val="bottom"/>
            <w:tcBorders>
              <w:bottom w:val="single" w:sz="8" w:color="2C2C2C"/>
            </w:tcBorders>
          </w:tcPr>
          <w:p>
            <w:pPr>
              <w:jc w:val="center"/>
              <w:ind w:left="358"/>
              <w:spacing w:after="0"/>
              <w:rPr>
                <w:sz w:val="20"/>
                <w:szCs w:val="20"/>
                <w:color w:val="auto"/>
              </w:rPr>
            </w:pPr>
            <w:r>
              <w:rPr>
                <w:rFonts w:ascii="Times New Roman" w:cs="Times New Roman" w:eastAsia="Times New Roman" w:hAnsi="Times New Roman"/>
                <w:sz w:val="18"/>
                <w:szCs w:val="18"/>
                <w:color w:val="0000FF"/>
                <w:w w:val="95"/>
              </w:rPr>
              <w:t>126,000</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5.72</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008000"/>
              </w:rPr>
              <w:t>1. Non-Statutory Stock Options vest in 25% increments annually on the anniversary date of the grant.</w:t>
            </w: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Katie Reid, Attorney-in-fact</w:t>
            </w:r>
          </w:p>
        </w:tc>
        <w:tc>
          <w:tcPr>
            <w:tcW w:w="60" w:type="dxa"/>
            <w:vAlign w:val="bottom"/>
          </w:tcPr>
          <w:p>
            <w:pPr>
              <w:spacing w:after="0"/>
              <w:rPr>
                <w:sz w:val="24"/>
                <w:szCs w:val="24"/>
                <w:color w:val="auto"/>
              </w:rPr>
            </w:pPr>
          </w:p>
        </w:tc>
        <w:tc>
          <w:tcPr>
            <w:tcW w:w="2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02/01/2013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w w:val="97"/>
              </w:rPr>
              <w:t>** Signature of Reporting Person</w:t>
            </w:r>
          </w:p>
        </w:tc>
        <w:tc>
          <w:tcPr>
            <w:tcW w:w="60" w:type="dxa"/>
            <w:vAlign w:val="bottom"/>
          </w:tcPr>
          <w:p>
            <w:pPr>
              <w:spacing w:after="0"/>
              <w:rPr>
                <w:sz w:val="20"/>
                <w:szCs w:val="20"/>
                <w:color w:val="auto"/>
              </w:rPr>
            </w:pPr>
          </w:p>
        </w:tc>
        <w:tc>
          <w:tcPr>
            <w:tcW w:w="86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5"/>
          </w:tcPr>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gridSpan w:val="4"/>
          </w:tcPr>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758"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779"/>
        <w:spacing w:after="0" w:line="504" w:lineRule="auto"/>
        <w:rPr>
          <w:sz w:val="20"/>
          <w:szCs w:val="20"/>
          <w:color w:val="auto"/>
        </w:rPr>
      </w:pPr>
      <w:r>
        <w:rPr>
          <w:rFonts w:ascii="Courier New" w:cs="Courier New" w:eastAsia="Courier New" w:hAnsi="Courier New"/>
          <w:sz w:val="18"/>
          <w:szCs w:val="18"/>
          <w:color w:val="auto"/>
        </w:rPr>
        <w:t>The undersigned, as a Section 16 reporting person of Micron Technology, Inc. the Company, hereby constitutes and appoints the Companys Global Compensation, Equity and Payroll Manager, Katie Reid; Compensation and Equity Supervisor, Robert Case and General Counsel, Rod Lewis, and each of them, the undersigneds true and lawful attorneyinfact to</w:t>
      </w:r>
    </w:p>
    <w:p>
      <w:pPr>
        <w:spacing w:after="0" w:line="290" w:lineRule="exact"/>
        <w:rPr>
          <w:sz w:val="20"/>
          <w:szCs w:val="20"/>
          <w:color w:val="auto"/>
        </w:rPr>
      </w:pPr>
    </w:p>
    <w:p>
      <w:pPr>
        <w:ind w:right="2099"/>
        <w:spacing w:after="0" w:line="566" w:lineRule="auto"/>
        <w:rPr>
          <w:sz w:val="20"/>
          <w:szCs w:val="20"/>
          <w:color w:val="auto"/>
        </w:rPr>
      </w:pPr>
      <w:r>
        <w:rPr>
          <w:rFonts w:ascii="Courier New" w:cs="Courier New" w:eastAsia="Courier New" w:hAnsi="Courier New"/>
          <w:sz w:val="16"/>
          <w:szCs w:val="16"/>
          <w:color w:val="auto"/>
        </w:rPr>
        <w:t>1.complete and execute Forms 4 and 5 and other forms, and all amendments thereto, as such attorney-in-fact shall in his or her discretion determine to be required or advisable pursuant to Section 16 of the Securities Exchange Act of 1934 as amendedand the rules and regulations promulgated thereunder, or any successor laws and regulations, as a consequence of the undersigneds ownership, acquisition or disposition of securities of the Company; and</w:t>
      </w:r>
    </w:p>
    <w:p>
      <w:pPr>
        <w:spacing w:after="0" w:line="271" w:lineRule="exact"/>
        <w:rPr>
          <w:sz w:val="20"/>
          <w:szCs w:val="20"/>
          <w:color w:val="auto"/>
        </w:rPr>
      </w:pPr>
    </w:p>
    <w:p>
      <w:pPr>
        <w:ind w:right="2519"/>
        <w:spacing w:after="0" w:line="513" w:lineRule="auto"/>
        <w:rPr>
          <w:sz w:val="20"/>
          <w:szCs w:val="20"/>
          <w:color w:val="auto"/>
        </w:rPr>
      </w:pPr>
      <w:r>
        <w:rPr>
          <w:rFonts w:ascii="Courier New" w:cs="Courier New" w:eastAsia="Courier New" w:hAnsi="Courier New"/>
          <w:sz w:val="18"/>
          <w:szCs w:val="18"/>
          <w:color w:val="auto"/>
        </w:rPr>
        <w:t>2.do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282" w:lineRule="exact"/>
        <w:rPr>
          <w:sz w:val="20"/>
          <w:szCs w:val="20"/>
          <w:color w:val="auto"/>
        </w:rPr>
      </w:pPr>
    </w:p>
    <w:p>
      <w:pPr>
        <w:ind w:right="2419"/>
        <w:spacing w:after="0" w:line="536"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orcause to be done by virtue hereof. The undersigned acknowledges that the foregoing attorneysinfact,in serving in such capacity at the request of the undersigned, are not assuming, nor is</w:t>
      </w:r>
    </w:p>
    <w:p>
      <w:pPr>
        <w:spacing w:after="0" w:line="1" w:lineRule="exact"/>
        <w:rPr>
          <w:sz w:val="20"/>
          <w:szCs w:val="20"/>
          <w:color w:val="auto"/>
        </w:rPr>
      </w:pPr>
    </w:p>
    <w:p>
      <w:pPr>
        <w:ind w:right="3359"/>
        <w:spacing w:after="0" w:line="531" w:lineRule="auto"/>
        <w:rPr>
          <w:sz w:val="20"/>
          <w:szCs w:val="20"/>
          <w:color w:val="auto"/>
        </w:rPr>
      </w:pPr>
      <w:r>
        <w:rPr>
          <w:rFonts w:ascii="Courier New" w:cs="Courier New" w:eastAsia="Courier New" w:hAnsi="Courier New"/>
          <w:sz w:val="18"/>
          <w:szCs w:val="18"/>
          <w:color w:val="auto"/>
        </w:rPr>
        <w:t>the Company assuming, any of the undersigneds responsibilities to comply with Section 16 of the Securities Exchange Act of 1934 as amended.</w:t>
      </w:r>
    </w:p>
    <w:p>
      <w:pPr>
        <w:spacing w:after="0" w:line="267" w:lineRule="exact"/>
        <w:rPr>
          <w:sz w:val="20"/>
          <w:szCs w:val="20"/>
          <w:color w:val="auto"/>
        </w:rPr>
      </w:pPr>
    </w:p>
    <w:p>
      <w:pPr>
        <w:ind w:right="2839"/>
        <w:spacing w:after="0" w:line="504"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Company.</w:t>
      </w:r>
    </w:p>
    <w:p>
      <w:pPr>
        <w:spacing w:after="0" w:line="290" w:lineRule="exact"/>
        <w:rPr>
          <w:sz w:val="20"/>
          <w:szCs w:val="20"/>
          <w:color w:val="auto"/>
        </w:rPr>
      </w:pPr>
    </w:p>
    <w:p>
      <w:pPr>
        <w:ind w:right="3779"/>
        <w:spacing w:after="0" w:line="688"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22nd day of January, 2013.</w:t>
      </w:r>
    </w:p>
    <w:p>
      <w:pPr>
        <w:spacing w:after="0" w:line="17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Scott J. Deboer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Scott J. Deboer</w:t>
      </w:r>
    </w:p>
    <w:sectPr>
      <w:pgSz w:w="11900" w:h="16838" w:orient="portrait"/>
      <w:cols w:equalWidth="0" w:num="1">
        <w:col w:w="10219"/>
      </w:cols>
      <w:pgMar w:left="240" w:top="110" w:right="1440" w:bottom="96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68238"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2019-12-16T04:20:55Z</dcterms:created>
  <dcterms:modified xsi:type="dcterms:W3CDTF">2019-12-16T04:20:55Z</dcterms:modified>
</cp:coreProperties>
</file>