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4"/>
          <w:szCs w:val="24"/>
          <w:color w:val="auto"/>
        </w:rPr>
      </w:pPr>
    </w:p>
    <w:p>
      <w:pPr>
        <w:spacing w:after="0" w:line="22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333-104894</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DATED APRIL 14, 2004</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 Prospectus filed on September 3, 2003)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$632,500,000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Convertible Subordinated Notes due 2010 and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Issuable Upon Conversion of the Notes</w:t>
      </w:r>
    </w:p>
    <w:p>
      <w:pPr>
        <w:spacing w:after="0" w:line="219" w:lineRule="exact"/>
        <w:rPr>
          <w:sz w:val="24"/>
          <w:szCs w:val="24"/>
          <w:color w:val="auto"/>
        </w:rPr>
      </w:pPr>
    </w:p>
    <w:p>
      <w:pPr>
        <w:ind w:right="640" w:firstLine="348"/>
        <w:spacing w:after="0" w:line="332" w:lineRule="auto"/>
        <w:rPr>
          <w:sz w:val="20"/>
          <w:szCs w:val="20"/>
          <w:color w:val="auto"/>
        </w:rPr>
      </w:pPr>
      <w:r>
        <w:rPr>
          <w:rFonts w:ascii="Arial" w:cs="Arial" w:eastAsia="Arial" w:hAnsi="Arial"/>
          <w:sz w:val="16"/>
          <w:szCs w:val="16"/>
          <w:color w:val="auto"/>
        </w:rPr>
        <w:t>This Prospectus Supplement, together with the Prospectus listed above, is to be used by certain holders of the above-referenced securities or by their transferees, pledgees, donees or their successors in connection with the offer and sale of the above referenced securities.</w:t>
      </w:r>
    </w:p>
    <w:p>
      <w:pPr>
        <w:spacing w:after="0" w:line="13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table captioned "Selling Securityholders" commencing on page 40 of the Prospectus is hereby amended to reflect the following additions and changes.</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Principal Amount at</w:t>
            </w: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Maturity of Notes</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200" w:type="dxa"/>
            <w:vAlign w:val="bottom"/>
          </w:tcPr>
          <w:p>
            <w:pPr>
              <w:spacing w:after="0"/>
              <w:rPr>
                <w:sz w:val="12"/>
                <w:szCs w:val="12"/>
                <w:color w:val="auto"/>
              </w:rPr>
            </w:pPr>
          </w:p>
        </w:tc>
        <w:tc>
          <w:tcPr>
            <w:tcW w:w="16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840" w:type="dxa"/>
            <w:vAlign w:val="bottom"/>
          </w:tcPr>
          <w:p>
            <w:pPr>
              <w:jc w:val="right"/>
              <w:ind w:right="439"/>
              <w:spacing w:after="0" w:line="149" w:lineRule="exact"/>
              <w:rPr>
                <w:sz w:val="20"/>
                <w:szCs w:val="20"/>
                <w:color w:val="auto"/>
              </w:rPr>
            </w:pPr>
            <w:r>
              <w:rPr>
                <w:rFonts w:ascii="Arial" w:cs="Arial" w:eastAsia="Arial" w:hAnsi="Arial"/>
                <w:sz w:val="14"/>
                <w:szCs w:val="14"/>
                <w:b w:val="1"/>
                <w:bCs w:val="1"/>
                <w:color w:val="auto"/>
              </w:rPr>
              <w:t>Percentage of</w:t>
            </w:r>
          </w:p>
        </w:tc>
        <w:tc>
          <w:tcPr>
            <w:tcW w:w="2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200" w:type="dxa"/>
            <w:vAlign w:val="bottom"/>
          </w:tcPr>
          <w:p>
            <w:pPr>
              <w:spacing w:after="0"/>
              <w:rPr>
                <w:sz w:val="12"/>
                <w:szCs w:val="12"/>
                <w:color w:val="auto"/>
              </w:rPr>
            </w:pPr>
          </w:p>
        </w:tc>
        <w:tc>
          <w:tcPr>
            <w:tcW w:w="16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74"/>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That May Be Sold</w:t>
            </w:r>
          </w:p>
        </w:tc>
        <w:tc>
          <w:tcPr>
            <w:tcW w:w="1840" w:type="dxa"/>
            <w:vAlign w:val="bottom"/>
          </w:tcPr>
          <w:p>
            <w:pPr>
              <w:jc w:val="right"/>
              <w:ind w:right="299"/>
              <w:spacing w:after="0"/>
              <w:rPr>
                <w:sz w:val="20"/>
                <w:szCs w:val="20"/>
                <w:color w:val="auto"/>
              </w:rPr>
            </w:pPr>
            <w:r>
              <w:rPr>
                <w:rFonts w:ascii="Arial" w:cs="Arial" w:eastAsia="Arial" w:hAnsi="Arial"/>
                <w:sz w:val="14"/>
                <w:szCs w:val="14"/>
                <w:b w:val="1"/>
                <w:bCs w:val="1"/>
                <w:color w:val="auto"/>
              </w:rPr>
              <w:t>Notes Outstanding</w:t>
            </w:r>
          </w:p>
        </w:tc>
        <w:tc>
          <w:tcPr>
            <w:tcW w:w="2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That May Be Sold(1)</w:t>
            </w:r>
          </w:p>
        </w:tc>
        <w:tc>
          <w:tcPr>
            <w:tcW w:w="200" w:type="dxa"/>
            <w:vAlign w:val="bottom"/>
          </w:tcPr>
          <w:p>
            <w:pPr>
              <w:spacing w:after="0"/>
              <w:rPr>
                <w:sz w:val="15"/>
                <w:szCs w:val="15"/>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First Boston LLC</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Exis Differential Holdings Ltd.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169,664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212,080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0"/>
              </w:rPr>
              <w:t>SCI Endowment Care Common Trust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gridSpan w:val="3"/>
          </w:tcPr>
          <w:p>
            <w:pPr>
              <w:spacing w:after="0"/>
              <w:rPr>
                <w:sz w:val="20"/>
                <w:szCs w:val="20"/>
                <w:color w:val="auto"/>
              </w:rPr>
            </w:pPr>
            <w:r>
              <w:rPr>
                <w:rFonts w:ascii="Arial" w:cs="Arial" w:eastAsia="Arial" w:hAnsi="Arial"/>
                <w:sz w:val="18"/>
                <w:szCs w:val="18"/>
                <w:color w:val="auto"/>
              </w:rPr>
              <w:t>Fund—Wachovia</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2,544</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-854710</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-854710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-854710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-854710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-854710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-854710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-854710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-854710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4"/>
          <w:szCs w:val="24"/>
          <w:color w:val="auto"/>
        </w:rPr>
      </w:pPr>
    </w:p>
    <w:p>
      <w:pPr>
        <w:ind w:left="540" w:right="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610,533,171 shares of common stock outstanding as of April 8, 2004. In calculating this amount, we treated as outstanding the number of shares of common stock issuable upon conversion of all of that particular holder's notes. However, we did not assume the conversion of any other holder's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4"/>
          <w:szCs w:val="24"/>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Filed Pursuant to Rule 424(b)(3) Registration No. 333-104894</w:t>
        </w:r>
      </w:hyperlink>
    </w:p>
    <w:p>
      <w:pPr>
        <w:spacing w:after="0" w:line="22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PROSPECTUS SUPPLEMENT DATED APRIL 14, 2004 (To Prospectus filed on September 3, 2003)</w:t>
        </w:r>
      </w:hyperlink>
    </w:p>
    <w:sectPr>
      <w:pgSz w:w="11900" w:h="16838" w:orient="portrait"/>
      <w:cols w:equalWidth="0" w:num="1">
        <w:col w:w="11420"/>
      </w:cols>
      <w:pgMar w:left="240" w:top="4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2019-12-13T13:14:07Z</dcterms:created>
  <dcterms:modified xsi:type="dcterms:W3CDTF">2019-12-13T13:14:07Z</dcterms:modified>
</cp:coreProperties>
</file>