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13d-102)</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 240.13d-1(b), (c)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(d) and Amendments Thereto Filed Pursuant to § 240.13d-2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$.10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595112103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23, 2010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8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595112103</w:t>
            </w:r>
          </w:p>
        </w:tc>
      </w:tr>
    </w:tbl>
    <w:p>
      <w:pPr>
        <w:spacing w:after="0" w:line="221"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64"/>
          <w:szCs w:val="64"/>
          <w:b w:val="1"/>
          <w:bCs w:val="1"/>
          <w:color w:val="auto"/>
          <w:vertAlign w:val="subscript"/>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6101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610171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8"/>
          <w:szCs w:val="18"/>
          <w:color w:val="auto"/>
        </w:rPr>
        <w:t>Intel Corporation</w:t>
      </w:r>
    </w:p>
    <w:p>
      <w:pPr>
        <w:spacing w:after="0" w:line="3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ind w:left="200"/>
        <w:spacing w:after="0"/>
        <w:tabs>
          <w:tab w:leader="none" w:pos="720" w:val="left"/>
        </w:tabs>
        <w:rPr>
          <w:sz w:val="20"/>
          <w:szCs w:val="20"/>
          <w:color w:val="auto"/>
        </w:rPr>
      </w:pPr>
      <w:r>
        <w:rPr>
          <w:rFonts w:ascii="Arial" w:cs="Arial" w:eastAsia="Arial" w:hAnsi="Arial"/>
          <w:sz w:val="59"/>
          <w:szCs w:val="59"/>
          <w:b w:val="1"/>
          <w:bCs w:val="1"/>
          <w:color w:val="auto"/>
          <w:vertAlign w:val="superscript"/>
        </w:rPr>
        <w:t>2.</w:t>
      </w:r>
      <w:r>
        <w:rPr>
          <w:sz w:val="20"/>
          <w:szCs w:val="20"/>
          <w:color w:val="auto"/>
        </w:rPr>
        <w:tab/>
      </w:r>
      <w:r>
        <w:rPr>
          <w:rFonts w:ascii="Arial" w:cs="Arial" w:eastAsia="Arial" w:hAnsi="Arial"/>
          <w:sz w:val="18"/>
          <w:szCs w:val="18"/>
          <w:color w:val="auto"/>
        </w:rPr>
        <w:t xml:space="preserve">(a)  </w:t>
      </w:r>
      <w:r>
        <w:rPr>
          <w:rFonts w:ascii="Arial" w:cs="Arial" w:eastAsia="Arial" w:hAnsi="Arial"/>
          <w:sz w:val="17"/>
          <w:szCs w:val="17"/>
          <w:color w:val="auto"/>
        </w:rPr>
        <w:t>o</w:t>
      </w:r>
    </w:p>
    <w:p>
      <w:pPr>
        <w:spacing w:after="0" w:line="2" w:lineRule="exact"/>
        <w:rPr>
          <w:sz w:val="20"/>
          <w:szCs w:val="20"/>
          <w:color w:val="auto"/>
        </w:rPr>
      </w:pPr>
    </w:p>
    <w:p>
      <w:pPr>
        <w:ind w:left="1080" w:hanging="343"/>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740" w:hanging="543"/>
        <w:spacing w:after="0" w:line="182" w:lineRule="auto"/>
        <w:tabs>
          <w:tab w:leader="none" w:pos="740"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5"/>
          <w:szCs w:val="15"/>
          <w:color w:val="auto"/>
        </w:rPr>
        <w:t>SEC USE ONLY</w:t>
      </w:r>
    </w:p>
    <w:p>
      <w:pPr>
        <w:spacing w:after="0" w:line="200" w:lineRule="exact"/>
        <w:rPr>
          <w:rFonts w:ascii="Arial" w:cs="Arial" w:eastAsia="Arial" w:hAnsi="Arial"/>
          <w:sz w:val="34"/>
          <w:szCs w:val="34"/>
          <w:b w:val="1"/>
          <w:bCs w:val="1"/>
          <w:color w:val="auto"/>
          <w:vertAlign w:val="subscript"/>
        </w:rPr>
      </w:pPr>
    </w:p>
    <w:p>
      <w:pPr>
        <w:spacing w:after="0" w:line="353" w:lineRule="exact"/>
        <w:rPr>
          <w:rFonts w:ascii="Arial" w:cs="Arial" w:eastAsia="Arial" w:hAnsi="Arial"/>
          <w:sz w:val="34"/>
          <w:szCs w:val="34"/>
          <w:b w:val="1"/>
          <w:bCs w:val="1"/>
          <w:color w:val="auto"/>
          <w:vertAlign w:val="subscript"/>
        </w:rPr>
      </w:pPr>
    </w:p>
    <w:p>
      <w:pPr>
        <w:ind w:left="740" w:right="7060" w:hanging="543"/>
        <w:spacing w:after="0" w:line="180" w:lineRule="auto"/>
        <w:tabs>
          <w:tab w:leader="none" w:pos="740"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 Delaware</w:t>
      </w:r>
    </w:p>
    <w:p>
      <w:pPr>
        <w:ind w:left="2000" w:hanging="527"/>
        <w:spacing w:after="0" w:line="182" w:lineRule="auto"/>
        <w:tabs>
          <w:tab w:leader="none" w:pos="2000" w:val="left"/>
        </w:tabs>
        <w:numPr>
          <w:ilvl w:val="2"/>
          <w:numId w:val="4"/>
        </w:numPr>
        <w:rPr>
          <w:rFonts w:ascii="Arial" w:cs="Arial" w:eastAsia="Arial" w:hAnsi="Arial"/>
          <w:sz w:val="34"/>
          <w:szCs w:val="34"/>
          <w:b w:val="1"/>
          <w:bCs w:val="1"/>
          <w:color w:val="auto"/>
          <w:vertAlign w:val="subscript"/>
        </w:rPr>
      </w:pPr>
      <w:r>
        <w:rPr>
          <w:rFonts w:ascii="Arial" w:cs="Arial" w:eastAsia="Arial" w:hAnsi="Arial"/>
          <w:sz w:val="15"/>
          <w:szCs w:val="15"/>
          <w:color w:val="auto"/>
        </w:rPr>
        <w:t>SOLE VOTING POWER</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tcBorders>
          </w:tcPr>
          <w:p>
            <w:pPr>
              <w:spacing w:after="0"/>
              <w:rPr>
                <w:sz w:val="19"/>
                <w:szCs w:val="19"/>
                <w:color w:val="auto"/>
              </w:rPr>
            </w:pPr>
          </w:p>
        </w:tc>
        <w:tc>
          <w:tcPr>
            <w:tcW w:w="9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6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vMerge w:val="continue"/>
          </w:tcPr>
          <w:p>
            <w:pPr>
              <w:spacing w:after="0"/>
              <w:rPr>
                <w:sz w:val="22"/>
                <w:szCs w:val="22"/>
                <w:color w:val="auto"/>
              </w:rPr>
            </w:pPr>
          </w:p>
        </w:tc>
        <w:tc>
          <w:tcPr>
            <w:tcW w:w="9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tcBorders>
          </w:tcPr>
          <w:p>
            <w:pPr>
              <w:spacing w:after="0"/>
              <w:rPr>
                <w:sz w:val="20"/>
                <w:szCs w:val="20"/>
                <w:color w:val="auto"/>
              </w:rPr>
            </w:pPr>
          </w:p>
        </w:tc>
        <w:tc>
          <w:tcPr>
            <w:tcW w:w="9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48,850,000</w:t>
            </w:r>
          </w:p>
        </w:tc>
        <w:tc>
          <w:tcPr>
            <w:tcW w:w="0" w:type="dxa"/>
            <w:vAlign w:val="bottom"/>
          </w:tcPr>
          <w:p>
            <w:pPr>
              <w:spacing w:after="0"/>
              <w:rPr>
                <w:sz w:val="1"/>
                <w:szCs w:val="1"/>
                <w:color w:val="auto"/>
              </w:rPr>
            </w:pP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60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vMerge w:val="continue"/>
          </w:tcPr>
          <w:p>
            <w:pPr>
              <w:spacing w:after="0"/>
              <w:rPr>
                <w:sz w:val="22"/>
                <w:szCs w:val="22"/>
                <w:color w:val="auto"/>
              </w:rPr>
            </w:pPr>
          </w:p>
        </w:tc>
        <w:tc>
          <w:tcPr>
            <w:tcW w:w="9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40" w:type="dxa"/>
            <w:vAlign w:val="bottom"/>
            <w:tcBorders>
              <w:bottom w:val="single" w:sz="8" w:color="auto"/>
            </w:tcBorders>
          </w:tcPr>
          <w:p>
            <w:pPr>
              <w:spacing w:after="0"/>
              <w:rPr>
                <w:sz w:val="20"/>
                <w:szCs w:val="20"/>
                <w:color w:val="auto"/>
              </w:rPr>
            </w:pPr>
          </w:p>
        </w:tc>
        <w:tc>
          <w:tcPr>
            <w:tcW w:w="9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96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48,850,000</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460"/>
          </w:cols>
          <w:pgMar w:left="240" w:top="1143" w:right="19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48,850,000</w:t>
      </w:r>
    </w:p>
    <w:p>
      <w:pPr>
        <w:spacing w:after="0" w:line="90" w:lineRule="exact"/>
        <w:rPr>
          <w:sz w:val="20"/>
          <w:szCs w:val="20"/>
          <w:color w:val="auto"/>
        </w:rPr>
      </w:pPr>
    </w:p>
    <w:p>
      <w:pPr>
        <w:sectPr>
          <w:pgSz w:w="11900" w:h="16838" w:orient="portrait"/>
          <w:cols w:equalWidth="0" w:num="2">
            <w:col w:w="440" w:space="300"/>
            <w:col w:w="10720"/>
          </w:cols>
          <w:pgMar w:left="240" w:top="1143" w:right="199" w:bottom="1440" w:gutter="0" w:footer="0" w:header="0"/>
          <w:type w:val="continuous"/>
        </w:sectPr>
      </w:pPr>
    </w:p>
    <w:p>
      <w:pPr>
        <w:spacing w:after="0" w:line="135"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310" w:lineRule="exact"/>
        <w:rPr>
          <w:sz w:val="20"/>
          <w:szCs w:val="20"/>
          <w:color w:val="auto"/>
        </w:rPr>
      </w:pPr>
    </w:p>
    <w:p>
      <w:pPr>
        <w:sectPr>
          <w:pgSz w:w="11900" w:h="16838" w:orient="portrait"/>
          <w:cols w:equalWidth="0" w:num="2">
            <w:col w:w="520" w:space="220"/>
            <w:col w:w="10720"/>
          </w:cols>
          <w:pgMar w:left="240" w:top="1143" w:right="19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90" w:lineRule="exact"/>
        <w:rPr>
          <w:sz w:val="20"/>
          <w:szCs w:val="20"/>
          <w:color w:val="auto"/>
        </w:rPr>
      </w:pPr>
    </w:p>
    <w:p>
      <w:pPr>
        <w:sectPr>
          <w:pgSz w:w="11900" w:h="16838" w:orient="portrait"/>
          <w:cols w:equalWidth="0" w:num="2">
            <w:col w:w="520" w:space="220"/>
            <w:col w:w="10720"/>
          </w:cols>
          <w:pgMar w:left="240" w:top="1143" w:right="199" w:bottom="1440" w:gutter="0" w:footer="0" w:header="0"/>
          <w:type w:val="continuous"/>
        </w:sectPr>
      </w:pPr>
    </w:p>
    <w:p>
      <w:pPr>
        <w:spacing w:after="0" w:line="135"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0" w:lineRule="exact"/>
        <w:rPr>
          <w:sz w:val="20"/>
          <w:szCs w:val="20"/>
          <w:color w:val="auto"/>
        </w:rPr>
      </w:pPr>
    </w:p>
    <w:p>
      <w:pPr>
        <w:sectPr>
          <w:pgSz w:w="11900" w:h="16838" w:orient="portrait"/>
          <w:cols w:equalWidth="0" w:num="2">
            <w:col w:w="520" w:space="220"/>
            <w:col w:w="10720"/>
          </w:cols>
          <w:pgMar w:left="240" w:top="1143" w:right="199" w:bottom="1440" w:gutter="0" w:footer="0" w:header="0"/>
          <w:type w:val="continuous"/>
        </w:sectPr>
      </w:pPr>
    </w:p>
    <w:p>
      <w:pPr>
        <w:spacing w:after="0"/>
        <w:rPr>
          <w:sz w:val="20"/>
          <w:szCs w:val="20"/>
          <w:color w:val="auto"/>
        </w:rPr>
      </w:pPr>
      <w:r>
        <w:rPr>
          <w:rFonts w:ascii="Arial" w:cs="Arial" w:eastAsia="Arial" w:hAnsi="Arial"/>
          <w:sz w:val="18"/>
          <w:szCs w:val="18"/>
          <w:color w:val="auto"/>
        </w:rPr>
        <w:t>(*) See Item 4 below.</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1120" w:right="8200" w:hanging="437"/>
        <w:spacing w:after="0" w:line="347"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Micron Technology, Inc.</w:t>
      </w:r>
    </w:p>
    <w:p>
      <w:pPr>
        <w:spacing w:after="0" w:line="21" w:lineRule="exact"/>
        <w:rPr>
          <w:rFonts w:ascii="Arial" w:cs="Arial" w:eastAsia="Arial" w:hAnsi="Arial"/>
          <w:sz w:val="16"/>
          <w:szCs w:val="16"/>
          <w:color w:val="auto"/>
        </w:rPr>
      </w:pPr>
    </w:p>
    <w:p>
      <w:pPr>
        <w:ind w:left="1120" w:right="6320" w:hanging="437"/>
        <w:spacing w:after="0" w:line="261"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8000 S. Federal Way</w:t>
      </w:r>
    </w:p>
    <w:p>
      <w:pPr>
        <w:ind w:left="1120"/>
        <w:spacing w:after="0"/>
        <w:rPr>
          <w:rFonts w:ascii="Arial" w:cs="Arial" w:eastAsia="Arial" w:hAnsi="Arial"/>
          <w:sz w:val="18"/>
          <w:szCs w:val="18"/>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120" w:right="8200" w:hanging="437"/>
        <w:spacing w:after="0" w:line="347"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Intel Corporation</w:t>
      </w:r>
    </w:p>
    <w:p>
      <w:pPr>
        <w:spacing w:after="0" w:line="21" w:lineRule="exact"/>
        <w:rPr>
          <w:rFonts w:ascii="Arial" w:cs="Arial" w:eastAsia="Arial" w:hAnsi="Arial"/>
          <w:sz w:val="16"/>
          <w:szCs w:val="16"/>
          <w:color w:val="auto"/>
        </w:rPr>
      </w:pPr>
    </w:p>
    <w:p>
      <w:pPr>
        <w:ind w:left="1120" w:right="5440" w:hanging="437"/>
        <w:spacing w:after="0" w:line="261"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or, if none, Residence: </w:t>
      </w:r>
      <w:r>
        <w:rPr>
          <w:rFonts w:ascii="Arial" w:cs="Arial" w:eastAsia="Arial" w:hAnsi="Arial"/>
          <w:sz w:val="18"/>
          <w:szCs w:val="18"/>
          <w:color w:val="auto"/>
        </w:rPr>
        <w:t>2200 Mission College Boulevard</w:t>
      </w:r>
    </w:p>
    <w:p>
      <w:pPr>
        <w:ind w:left="1120"/>
        <w:spacing w:after="0"/>
        <w:rPr>
          <w:rFonts w:ascii="Arial" w:cs="Arial" w:eastAsia="Arial" w:hAnsi="Arial"/>
          <w:sz w:val="18"/>
          <w:szCs w:val="18"/>
          <w:color w:val="auto"/>
        </w:rPr>
      </w:pPr>
      <w:r>
        <w:rPr>
          <w:rFonts w:ascii="Arial" w:cs="Arial" w:eastAsia="Arial" w:hAnsi="Arial"/>
          <w:sz w:val="18"/>
          <w:szCs w:val="18"/>
          <w:color w:val="auto"/>
        </w:rPr>
        <w:t>Santa Clara, California 95054-1549</w:t>
      </w:r>
    </w:p>
    <w:p>
      <w:pPr>
        <w:spacing w:after="0" w:line="112" w:lineRule="exact"/>
        <w:rPr>
          <w:rFonts w:ascii="Arial" w:cs="Arial" w:eastAsia="Arial" w:hAnsi="Arial"/>
          <w:sz w:val="18"/>
          <w:szCs w:val="18"/>
          <w:color w:val="auto"/>
        </w:rPr>
      </w:pPr>
    </w:p>
    <w:p>
      <w:pPr>
        <w:ind w:left="1120" w:right="9040" w:hanging="437"/>
        <w:spacing w:after="0" w:line="347"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Delaware</w:t>
      </w:r>
    </w:p>
    <w:p>
      <w:pPr>
        <w:spacing w:after="0" w:line="21" w:lineRule="exact"/>
        <w:rPr>
          <w:rFonts w:ascii="Arial" w:cs="Arial" w:eastAsia="Arial" w:hAnsi="Arial"/>
          <w:sz w:val="16"/>
          <w:szCs w:val="16"/>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Common Stock, par value $.10 per share</w:t>
      </w:r>
    </w:p>
    <w:p>
      <w:pPr>
        <w:spacing w:after="0" w:line="112" w:lineRule="exact"/>
        <w:rPr>
          <w:rFonts w:ascii="Arial" w:cs="Arial" w:eastAsia="Arial" w:hAnsi="Arial"/>
          <w:sz w:val="18"/>
          <w:szCs w:val="18"/>
          <w:color w:val="auto"/>
        </w:rPr>
      </w:pPr>
    </w:p>
    <w:p>
      <w:pPr>
        <w:ind w:left="1120" w:right="8680" w:hanging="437"/>
        <w:spacing w:after="0" w:line="313"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595112103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103" w:lineRule="exact"/>
        <w:rPr>
          <w:sz w:val="20"/>
          <w:szCs w:val="20"/>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An investment adviser in accordance with § 240.13d-1(b)(1)(ii)(E);</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 240.13d-1(b)(1)(ii)(F);</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130" w:lineRule="exact"/>
        <w:rPr>
          <w:rFonts w:ascii="Arial" w:cs="Arial" w:eastAsia="Arial" w:hAnsi="Arial"/>
          <w:sz w:val="18"/>
          <w:szCs w:val="18"/>
          <w:color w:val="auto"/>
        </w:rPr>
      </w:pPr>
    </w:p>
    <w:p>
      <w:pPr>
        <w:ind w:left="1360" w:hanging="677"/>
        <w:spacing w:after="0" w:line="277" w:lineRule="auto"/>
        <w:tabs>
          <w:tab w:leader="none" w:pos="1022"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non-U.S. institution in accordance with § 240.13d-1(b)(1)(ii)(J).</w:t>
      </w:r>
    </w:p>
    <w:p>
      <w:pPr>
        <w:spacing w:after="0" w:line="130" w:lineRule="exact"/>
        <w:rPr>
          <w:rFonts w:ascii="Arial" w:cs="Arial" w:eastAsia="Arial" w:hAnsi="Arial"/>
          <w:sz w:val="18"/>
          <w:szCs w:val="18"/>
          <w:color w:val="auto"/>
        </w:rPr>
      </w:pPr>
    </w:p>
    <w:p>
      <w:pPr>
        <w:ind w:left="1020" w:hanging="33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Group, in accordance with §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931"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1120" w:right="8140" w:hanging="437"/>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48,850,000</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116" w:lineRule="exact"/>
        <w:rPr>
          <w:rFonts w:ascii="Arial" w:cs="Arial" w:eastAsia="Arial" w:hAnsi="Arial"/>
          <w:sz w:val="18"/>
          <w:szCs w:val="18"/>
          <w:color w:val="auto"/>
        </w:rPr>
      </w:pPr>
    </w:p>
    <w:p>
      <w:pPr>
        <w:ind w:left="1120" w:hanging="43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580" w:right="6920" w:hanging="438"/>
        <w:spacing w:after="0" w:line="277" w:lineRule="auto"/>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5" w:lineRule="exact"/>
        <w:rPr>
          <w:rFonts w:ascii="Arial" w:cs="Arial" w:eastAsia="Arial" w:hAnsi="Arial"/>
          <w:sz w:val="18"/>
          <w:szCs w:val="18"/>
          <w:color w:val="auto"/>
        </w:rPr>
      </w:pPr>
    </w:p>
    <w:p>
      <w:pPr>
        <w:ind w:left="1580" w:right="6740" w:hanging="438"/>
        <w:spacing w:after="0" w:line="277" w:lineRule="auto"/>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48,850,000</w:t>
      </w:r>
    </w:p>
    <w:p>
      <w:pPr>
        <w:spacing w:after="0" w:line="75" w:lineRule="exact"/>
        <w:rPr>
          <w:rFonts w:ascii="Arial" w:cs="Arial" w:eastAsia="Arial" w:hAnsi="Arial"/>
          <w:sz w:val="18"/>
          <w:szCs w:val="18"/>
          <w:color w:val="auto"/>
        </w:rPr>
      </w:pPr>
    </w:p>
    <w:p>
      <w:pPr>
        <w:ind w:left="1580" w:right="6020" w:hanging="438"/>
        <w:spacing w:after="0" w:line="277" w:lineRule="auto"/>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75" w:lineRule="exact"/>
        <w:rPr>
          <w:rFonts w:ascii="Arial" w:cs="Arial" w:eastAsia="Arial" w:hAnsi="Arial"/>
          <w:sz w:val="18"/>
          <w:szCs w:val="18"/>
          <w:color w:val="auto"/>
        </w:rPr>
      </w:pPr>
    </w:p>
    <w:p>
      <w:pPr>
        <w:ind w:left="1580" w:right="5840" w:hanging="438"/>
        <w:spacing w:after="0" w:line="277" w:lineRule="auto"/>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48,850,000</w:t>
      </w:r>
    </w:p>
    <w:p>
      <w:pPr>
        <w:spacing w:after="0" w:line="62" w:lineRule="exact"/>
        <w:rPr>
          <w:sz w:val="20"/>
          <w:szCs w:val="20"/>
          <w:color w:val="auto"/>
        </w:rPr>
      </w:pPr>
    </w:p>
    <w:p>
      <w:pPr>
        <w:jc w:val="both"/>
        <w:ind w:left="1140" w:right="120"/>
        <w:spacing w:after="0" w:line="264" w:lineRule="auto"/>
        <w:rPr>
          <w:sz w:val="20"/>
          <w:szCs w:val="20"/>
          <w:color w:val="auto"/>
        </w:rPr>
      </w:pPr>
      <w:r>
        <w:rPr>
          <w:rFonts w:ascii="Arial" w:cs="Arial" w:eastAsia="Arial" w:hAnsi="Arial"/>
          <w:sz w:val="18"/>
          <w:szCs w:val="18"/>
          <w:color w:val="auto"/>
        </w:rPr>
        <w:t>By reason of the provisions of Rule 13d-3 under the Securities Exchange Act, Intel Corporation is deemed to own beneficially the shares of the Issuer that are owned by Intel Technology Asia Pte Ltd, a wholly-owned subsidiary of Intel Corporation. Intel Technology Asia Pte Ltd owns 48,850,000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information provided by the Issuer as of October 19, 2010, reflecting 996,245,706 shares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firstLine="225"/>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3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2010</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INTEL CORPORATION</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Cary I. Klafter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Cary I. Klafter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Corporate Secretary</w:t>
      </w:r>
    </w:p>
    <w:p>
      <w:pPr>
        <w:spacing w:after="0" w:line="200" w:lineRule="exact"/>
        <w:rPr>
          <w:sz w:val="20"/>
          <w:szCs w:val="20"/>
          <w:color w:val="auto"/>
        </w:rPr>
      </w:pPr>
    </w:p>
    <w:p>
      <w:pPr>
        <w:spacing w:after="0" w:line="33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INTEL CORPORATION</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the undersigned hereby constitutes and appoints Cary Klafter, Fernando Delmendo, Irving Gomez, Marty M. Linne, Kate Merrill, Suzan A. Miller, Robert P. Pacileo, Teresa L. Remillard, Tiffany Doon Silva, Doug Stewart, Ruby A. Zefo, Tamiko Hutchinson, Gary Kershaw, Diane R. Labrador, Douglas M. Lusk, James W. McCall, Stuart Odell, and Robert Yenko, and with full power of substitution, the undersigned’s true and lawful attorney-in-fact with full power to execute and file with the Securities and Exchange Commission and any stock exchange or similar authority, any report required to be filed pursuant to Section 13 of the Securities Exchange Act of 1934, (as amended, the “Act”), with respect to securities which may be deemed to be beneficially owned by the Company under the Act, giving and granting unto said attorney-in-fact the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7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This Power of Attorney shall remain in full force and effect until either revoked in writing by the undersigned or until such time as the person to whom power of attorney has been hereby granted ceases to be an employee of Intel Corporation.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15</w:t>
      </w:r>
      <w:r>
        <w:rPr>
          <w:rFonts w:ascii="Arial" w:cs="Arial" w:eastAsia="Arial" w:hAnsi="Arial"/>
          <w:sz w:val="15"/>
          <w:szCs w:val="15"/>
          <w:color w:val="auto"/>
        </w:rPr>
        <w:t>th</w:t>
      </w:r>
      <w:r>
        <w:rPr>
          <w:rFonts w:ascii="Arial" w:cs="Arial" w:eastAsia="Arial" w:hAnsi="Arial"/>
          <w:sz w:val="18"/>
          <w:szCs w:val="18"/>
          <w:color w:val="auto"/>
        </w:rPr>
        <w:t xml:space="preserve"> day of December,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Stacy J. Smith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Stacy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55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9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
    <w:nsid w:val="2EB141F2"/>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2019-12-10T04:53:36Z</dcterms:created>
  <dcterms:modified xsi:type="dcterms:W3CDTF">2019-12-10T04:53:36Z</dcterms:modified>
</cp:coreProperties>
</file>