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104"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18" w:lineRule="exact"/>
        <w:rPr>
          <w:sz w:val="24"/>
          <w:szCs w:val="24"/>
          <w:color w:val="auto"/>
        </w:rPr>
      </w:pPr>
    </w:p>
    <w:p>
      <w:pPr>
        <w:ind w:left="1680" w:hanging="923"/>
        <w:spacing w:after="0"/>
        <w:tabs>
          <w:tab w:leader="none" w:pos="1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381" w:lineRule="exact"/>
        <w:rPr>
          <w:sz w:val="24"/>
          <w:szCs w:val="24"/>
          <w:color w:val="auto"/>
        </w:rPr>
      </w:pPr>
    </w:p>
    <w:p>
      <w:pPr>
        <w:ind w:left="1680" w:hanging="930"/>
        <w:spacing w:after="0"/>
        <w:tabs>
          <w:tab w:leader="none" w:pos="1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20"/>
          </w:cols>
          <w:pgMar w:left="320" w:top="1231" w:right="359" w:bottom="1440" w:gutter="0" w:footer="0" w:header="0"/>
        </w:sectPr>
      </w:pPr>
    </w:p>
    <w:p>
      <w:pPr>
        <w:spacing w:after="0" w:line="117" w:lineRule="exact"/>
        <w:rPr>
          <w:sz w:val="24"/>
          <w:szCs w:val="24"/>
          <w:color w:val="auto"/>
        </w:rPr>
      </w:pPr>
    </w:p>
    <w:p>
      <w:pPr>
        <w:ind w:left="39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17" w:lineRule="exact"/>
        <w:rPr>
          <w:sz w:val="24"/>
          <w:szCs w:val="24"/>
          <w:color w:val="auto"/>
        </w:rPr>
      </w:pPr>
    </w:p>
    <w:p>
      <w:pPr>
        <w:sectPr>
          <w:pgSz w:w="11900" w:h="16838" w:orient="portrait"/>
          <w:cols w:equalWidth="0" w:num="2">
            <w:col w:w="6500" w:space="600"/>
            <w:col w:w="4120"/>
          </w:cols>
          <w:pgMar w:left="320" w:top="1231" w:right="3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62865</wp:posOffset>
            </wp:positionV>
            <wp:extent cx="150876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ectPr>
          <w:pgSz w:w="11900" w:h="16838" w:orient="portrait"/>
          <w:cols w:equalWidth="0" w:num="1">
            <w:col w:w="11220"/>
          </w:cols>
          <w:pgMar w:left="320" w:top="1231"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tbl>
      <w:tblPr>
        <w:tblLayout w:type="fixed"/>
        <w:tblInd w:w="120" w:type="dxa"/>
        <w:tblCellMar>
          <w:top w:w="0" w:type="dxa"/>
          <w:left w:w="0" w:type="dxa"/>
          <w:bottom w:w="0" w:type="dxa"/>
          <w:right w:w="0" w:type="dxa"/>
        </w:tblCellMar>
      </w:tblPr>
      <w:tr>
        <w:trPr>
          <w:trHeight w:val="232"/>
        </w:trPr>
        <w:tc>
          <w:tcPr>
            <w:tcW w:w="6060" w:type="dxa"/>
            <w:vAlign w:val="bottom"/>
          </w:tcPr>
          <w:p>
            <w:pPr>
              <w:jc w:val="center"/>
              <w:ind w:right="1332"/>
              <w:spacing w:after="0"/>
              <w:rPr>
                <w:sz w:val="20"/>
                <w:szCs w:val="20"/>
                <w:color w:val="auto"/>
              </w:rPr>
            </w:pPr>
            <w:r>
              <w:rPr>
                <w:rFonts w:ascii="Arial" w:cs="Arial" w:eastAsia="Arial" w:hAnsi="Arial"/>
                <w:sz w:val="18"/>
                <w:szCs w:val="18"/>
                <w:b w:val="1"/>
                <w:bCs w:val="1"/>
                <w:color w:val="auto"/>
              </w:rPr>
              <w:t>Delaware</w:t>
            </w:r>
          </w:p>
        </w:tc>
        <w:tc>
          <w:tcPr>
            <w:tcW w:w="4020" w:type="dxa"/>
            <w:vAlign w:val="bottom"/>
          </w:tcPr>
          <w:p>
            <w:pPr>
              <w:jc w:val="center"/>
              <w:ind w:left="1332"/>
              <w:spacing w:after="0"/>
              <w:rPr>
                <w:sz w:val="20"/>
                <w:szCs w:val="20"/>
                <w:color w:val="auto"/>
              </w:rPr>
            </w:pPr>
            <w:r>
              <w:rPr>
                <w:rFonts w:ascii="Arial" w:cs="Arial" w:eastAsia="Arial" w:hAnsi="Arial"/>
                <w:sz w:val="18"/>
                <w:szCs w:val="18"/>
                <w:b w:val="1"/>
                <w:bCs w:val="1"/>
                <w:color w:val="auto"/>
                <w:w w:val="99"/>
              </w:rPr>
              <w:t>75-1618004</w:t>
            </w:r>
          </w:p>
        </w:tc>
      </w:tr>
      <w:tr>
        <w:trPr>
          <w:trHeight w:val="227"/>
        </w:trPr>
        <w:tc>
          <w:tcPr>
            <w:tcW w:w="6060" w:type="dxa"/>
            <w:vAlign w:val="bottom"/>
          </w:tcPr>
          <w:p>
            <w:pPr>
              <w:jc w:val="center"/>
              <w:ind w:right="1332"/>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4020" w:type="dxa"/>
            <w:vAlign w:val="bottom"/>
          </w:tcPr>
          <w:p>
            <w:pPr>
              <w:jc w:val="center"/>
              <w:ind w:left="1312"/>
              <w:spacing w:after="0"/>
              <w:rPr>
                <w:sz w:val="20"/>
                <w:szCs w:val="20"/>
                <w:color w:val="auto"/>
              </w:rPr>
            </w:pPr>
            <w:r>
              <w:rPr>
                <w:rFonts w:ascii="Arial" w:cs="Arial" w:eastAsia="Arial" w:hAnsi="Arial"/>
                <w:sz w:val="18"/>
                <w:szCs w:val="18"/>
                <w:color w:val="auto"/>
                <w:w w:val="99"/>
              </w:rPr>
              <w:t>(IRS Employer Identification No.)</w:t>
            </w:r>
          </w:p>
        </w:tc>
      </w:tr>
      <w:tr>
        <w:trPr>
          <w:trHeight w:val="232"/>
        </w:trPr>
        <w:tc>
          <w:tcPr>
            <w:tcW w:w="6060" w:type="dxa"/>
            <w:vAlign w:val="bottom"/>
          </w:tcPr>
          <w:p>
            <w:pPr>
              <w:jc w:val="center"/>
              <w:ind w:right="1332"/>
              <w:spacing w:after="0"/>
              <w:rPr>
                <w:sz w:val="20"/>
                <w:szCs w:val="20"/>
                <w:color w:val="auto"/>
              </w:rPr>
            </w:pPr>
            <w:r>
              <w:rPr>
                <w:rFonts w:ascii="Arial" w:cs="Arial" w:eastAsia="Arial" w:hAnsi="Arial"/>
                <w:sz w:val="16"/>
                <w:szCs w:val="16"/>
                <w:b w:val="1"/>
                <w:bCs w:val="1"/>
                <w:color w:val="auto"/>
              </w:rPr>
              <w:t>8000 S. Federal Way, Boise, Idaho</w:t>
            </w:r>
          </w:p>
        </w:tc>
        <w:tc>
          <w:tcPr>
            <w:tcW w:w="4020" w:type="dxa"/>
            <w:vAlign w:val="bottom"/>
          </w:tcPr>
          <w:p>
            <w:pPr>
              <w:jc w:val="center"/>
              <w:ind w:left="1332"/>
              <w:spacing w:after="0"/>
              <w:rPr>
                <w:sz w:val="20"/>
                <w:szCs w:val="20"/>
                <w:color w:val="auto"/>
              </w:rPr>
            </w:pPr>
            <w:r>
              <w:rPr>
                <w:rFonts w:ascii="Arial" w:cs="Arial" w:eastAsia="Arial" w:hAnsi="Arial"/>
                <w:sz w:val="18"/>
                <w:szCs w:val="18"/>
                <w:b w:val="1"/>
                <w:bCs w:val="1"/>
                <w:color w:val="auto"/>
                <w:w w:val="99"/>
              </w:rPr>
              <w:t>83716-9632</w:t>
            </w:r>
          </w:p>
        </w:tc>
      </w:tr>
      <w:tr>
        <w:trPr>
          <w:trHeight w:val="230"/>
        </w:trPr>
        <w:tc>
          <w:tcPr>
            <w:tcW w:w="6060" w:type="dxa"/>
            <w:vAlign w:val="bottom"/>
          </w:tcPr>
          <w:p>
            <w:pPr>
              <w:jc w:val="center"/>
              <w:ind w:right="1332"/>
              <w:spacing w:after="0"/>
              <w:rPr>
                <w:sz w:val="20"/>
                <w:szCs w:val="20"/>
                <w:color w:val="auto"/>
              </w:rPr>
            </w:pPr>
            <w:r>
              <w:rPr>
                <w:rFonts w:ascii="Arial" w:cs="Arial" w:eastAsia="Arial" w:hAnsi="Arial"/>
                <w:sz w:val="18"/>
                <w:szCs w:val="18"/>
                <w:color w:val="auto"/>
                <w:w w:val="99"/>
              </w:rPr>
              <w:t>(Address of principal executive offices)</w:t>
            </w:r>
          </w:p>
        </w:tc>
        <w:tc>
          <w:tcPr>
            <w:tcW w:w="4020" w:type="dxa"/>
            <w:vAlign w:val="bottom"/>
          </w:tcPr>
          <w:p>
            <w:pPr>
              <w:jc w:val="center"/>
              <w:ind w:left="1332"/>
              <w:spacing w:after="0"/>
              <w:rPr>
                <w:sz w:val="20"/>
                <w:szCs w:val="20"/>
                <w:color w:val="auto"/>
              </w:rPr>
            </w:pPr>
            <w:r>
              <w:rPr>
                <w:rFonts w:ascii="Arial" w:cs="Arial" w:eastAsia="Arial" w:hAnsi="Arial"/>
                <w:sz w:val="18"/>
                <w:szCs w:val="18"/>
                <w:color w:val="auto"/>
                <w:w w:val="98"/>
              </w:rPr>
              <w:t>(Zip Code)</w:t>
            </w:r>
          </w:p>
        </w:tc>
      </w:tr>
      <w:tr>
        <w:trPr>
          <w:trHeight w:val="243"/>
        </w:trPr>
        <w:tc>
          <w:tcPr>
            <w:tcW w:w="6060" w:type="dxa"/>
            <w:vAlign w:val="bottom"/>
          </w:tcPr>
          <w:p>
            <w:pPr>
              <w:jc w:val="center"/>
              <w:ind w:right="1352"/>
              <w:spacing w:after="0"/>
              <w:rPr>
                <w:sz w:val="20"/>
                <w:szCs w:val="20"/>
                <w:color w:val="auto"/>
              </w:rPr>
            </w:pPr>
            <w:r>
              <w:rPr>
                <w:rFonts w:ascii="Arial" w:cs="Arial" w:eastAsia="Arial" w:hAnsi="Arial"/>
                <w:sz w:val="18"/>
                <w:szCs w:val="18"/>
                <w:color w:val="auto"/>
                <w:w w:val="99"/>
              </w:rPr>
              <w:t>Registrant’s telephone number, including area code</w:t>
            </w:r>
          </w:p>
        </w:tc>
        <w:tc>
          <w:tcPr>
            <w:tcW w:w="4020" w:type="dxa"/>
            <w:vAlign w:val="bottom"/>
          </w:tcPr>
          <w:p>
            <w:pPr>
              <w:jc w:val="center"/>
              <w:ind w:left="1332"/>
              <w:spacing w:after="0"/>
              <w:rPr>
                <w:sz w:val="20"/>
                <w:szCs w:val="20"/>
                <w:color w:val="auto"/>
              </w:rPr>
            </w:pPr>
            <w:r>
              <w:rPr>
                <w:rFonts w:ascii="Arial" w:cs="Arial" w:eastAsia="Arial" w:hAnsi="Arial"/>
                <w:sz w:val="16"/>
                <w:szCs w:val="16"/>
                <w:b w:val="1"/>
                <w:bCs w:val="1"/>
                <w:color w:val="auto"/>
              </w:rPr>
              <w:t>(208) 368-4000</w:t>
            </w:r>
          </w:p>
        </w:tc>
      </w:tr>
    </w:tbl>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Title of each class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Trading Symbol</w:t>
            </w:r>
          </w:p>
        </w:tc>
        <w:tc>
          <w:tcPr>
            <w:tcW w:w="4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3840" w:type="dxa"/>
            <w:vAlign w:val="bottom"/>
            <w:tcBorders>
              <w:top w:val="single" w:sz="8" w:color="auto"/>
            </w:tcBorders>
            <w:gridSpan w:val="2"/>
          </w:tcPr>
          <w:p>
            <w:pPr>
              <w:jc w:val="center"/>
              <w:ind w:left="690"/>
              <w:spacing w:after="0"/>
              <w:rPr>
                <w:sz w:val="20"/>
                <w:szCs w:val="20"/>
                <w:color w:val="auto"/>
              </w:rPr>
            </w:pPr>
            <w:r>
              <w:rPr>
                <w:rFonts w:ascii="Arial" w:cs="Arial" w:eastAsia="Arial" w:hAnsi="Arial"/>
                <w:sz w:val="18"/>
                <w:szCs w:val="18"/>
                <w:color w:val="auto"/>
                <w:w w:val="99"/>
              </w:rPr>
              <w:t>Nasdaq Global Select Market</w:t>
            </w: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9520" w:type="dxa"/>
            <w:vAlign w:val="bottom"/>
            <w:gridSpan w:val="6"/>
          </w:tcPr>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w:t>
            </w:r>
          </w:p>
        </w:tc>
        <w:tc>
          <w:tcPr>
            <w:tcW w:w="88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9520" w:type="dxa"/>
            <w:vAlign w:val="bottom"/>
            <w:gridSpan w:val="6"/>
          </w:tcPr>
          <w:p>
            <w:pPr>
              <w:spacing w:after="0" w:line="176" w:lineRule="exact"/>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9520" w:type="dxa"/>
            <w:vAlign w:val="bottom"/>
            <w:gridSpan w:val="6"/>
          </w:tcPr>
          <w:p>
            <w:pPr>
              <w:spacing w:after="0"/>
              <w:rPr>
                <w:sz w:val="20"/>
                <w:szCs w:val="20"/>
                <w:color w:val="auto"/>
              </w:rPr>
            </w:pPr>
            <w:r>
              <w:rPr>
                <w:rFonts w:ascii="Arial" w:cs="Arial" w:eastAsia="Arial" w:hAnsi="Arial"/>
                <w:sz w:val="18"/>
                <w:szCs w:val="18"/>
                <w:color w:val="auto"/>
              </w:rPr>
              <w:t>required to file such reports), and (2) has been subject to such filing requirements for the past 90 days.</w:t>
            </w:r>
          </w:p>
        </w:tc>
        <w:tc>
          <w:tcPr>
            <w:tcW w:w="880" w:type="dxa"/>
            <w:vAlign w:val="bottom"/>
            <w:vMerge w:val="restart"/>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0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5"/>
        </w:trPr>
        <w:tc>
          <w:tcPr>
            <w:tcW w:w="9520" w:type="dxa"/>
            <w:vAlign w:val="bottom"/>
            <w:gridSpan w:val="6"/>
          </w:tcPr>
          <w:p>
            <w:pPr>
              <w:spacing w:after="0" w:line="185"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w:t>
            </w: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520" w:type="dxa"/>
            <w:vAlign w:val="bottom"/>
            <w:gridSpan w:val="6"/>
          </w:tcPr>
          <w:p>
            <w:pPr>
              <w:spacing w:after="0" w:line="176" w:lineRule="exact"/>
              <w:rPr>
                <w:sz w:val="20"/>
                <w:szCs w:val="20"/>
                <w:color w:val="auto"/>
              </w:rPr>
            </w:pPr>
            <w:r>
              <w:rPr>
                <w:rFonts w:ascii="Arial" w:cs="Arial" w:eastAsia="Arial" w:hAnsi="Arial"/>
                <w:sz w:val="18"/>
                <w:szCs w:val="18"/>
                <w:color w:val="auto"/>
              </w:rPr>
              <w:t>submitted pursuant to Rule 405 of Regulation S-T (§232.405 of this chapter) during the preceding 12 months (or for</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560" w:type="dxa"/>
            <w:vAlign w:val="bottom"/>
            <w:gridSpan w:val="5"/>
          </w:tcPr>
          <w:p>
            <w:pPr>
              <w:spacing w:after="0"/>
              <w:rPr>
                <w:sz w:val="20"/>
                <w:szCs w:val="20"/>
                <w:color w:val="auto"/>
              </w:rPr>
            </w:pPr>
            <w:r>
              <w:rPr>
                <w:rFonts w:ascii="Arial" w:cs="Arial" w:eastAsia="Arial" w:hAnsi="Arial"/>
                <w:sz w:val="18"/>
                <w:szCs w:val="18"/>
                <w:color w:val="auto"/>
              </w:rPr>
              <w:t>such shorter period that the registrant was required to submit such files).</w:t>
            </w:r>
          </w:p>
        </w:tc>
        <w:tc>
          <w:tcPr>
            <w:tcW w:w="2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0" w:right="300"/>
        <w:spacing w:after="0" w:line="22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9"/>
        </w:trPr>
        <w:tc>
          <w:tcPr>
            <w:tcW w:w="2340" w:type="dxa"/>
            <w:vAlign w:val="bottom"/>
          </w:tcPr>
          <w:p>
            <w:pPr>
              <w:jc w:val="center"/>
              <w:ind w:right="32"/>
              <w:spacing w:after="0" w:line="178" w:lineRule="exact"/>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line="178" w:lineRule="exact"/>
              <w:rPr>
                <w:sz w:val="20"/>
                <w:szCs w:val="20"/>
                <w:color w:val="auto"/>
              </w:rPr>
            </w:pPr>
            <w:r>
              <w:rPr>
                <w:rFonts w:ascii="Arial" w:cs="Arial" w:eastAsia="Arial" w:hAnsi="Arial"/>
                <w:sz w:val="16"/>
                <w:szCs w:val="16"/>
                <w:color w:val="auto"/>
              </w:rPr>
              <w:t>Accelerated Filer</w:t>
            </w:r>
          </w:p>
        </w:tc>
        <w:tc>
          <w:tcPr>
            <w:tcW w:w="2220" w:type="dxa"/>
            <w:vAlign w:val="bottom"/>
          </w:tcPr>
          <w:p>
            <w:pPr>
              <w:jc w:val="center"/>
              <w:ind w:left="115"/>
              <w:spacing w:after="0" w:line="178" w:lineRule="exact"/>
              <w:rPr>
                <w:sz w:val="20"/>
                <w:szCs w:val="20"/>
                <w:color w:val="auto"/>
              </w:rPr>
            </w:pPr>
            <w:r>
              <w:rPr>
                <w:rFonts w:ascii="Arial" w:cs="Arial" w:eastAsia="Arial" w:hAnsi="Arial"/>
                <w:sz w:val="16"/>
                <w:szCs w:val="16"/>
                <w:color w:val="auto"/>
              </w:rPr>
              <w:t>Non-Accelerated Filer</w:t>
            </w:r>
          </w:p>
        </w:tc>
        <w:tc>
          <w:tcPr>
            <w:tcW w:w="2420" w:type="dxa"/>
            <w:vAlign w:val="bottom"/>
          </w:tcPr>
          <w:p>
            <w:pPr>
              <w:jc w:val="center"/>
              <w:spacing w:after="0" w:line="178" w:lineRule="exact"/>
              <w:rPr>
                <w:sz w:val="20"/>
                <w:szCs w:val="20"/>
                <w:color w:val="auto"/>
              </w:rPr>
            </w:pPr>
            <w:r>
              <w:rPr>
                <w:rFonts w:ascii="Arial" w:cs="Arial" w:eastAsia="Arial" w:hAnsi="Arial"/>
                <w:sz w:val="16"/>
                <w:szCs w:val="16"/>
                <w:color w:val="auto"/>
              </w:rPr>
              <w:t>Smaller Reporting Company</w:t>
            </w:r>
          </w:p>
        </w:tc>
        <w:tc>
          <w:tcPr>
            <w:tcW w:w="2060" w:type="dxa"/>
            <w:vAlign w:val="bottom"/>
            <w:gridSpan w:val="2"/>
          </w:tcPr>
          <w:p>
            <w:pPr>
              <w:jc w:val="center"/>
              <w:spacing w:after="0" w:line="178" w:lineRule="exact"/>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254"/>
        </w:trPr>
        <w:tc>
          <w:tcPr>
            <w:tcW w:w="2340" w:type="dxa"/>
            <w:vAlign w:val="bottom"/>
          </w:tcPr>
          <w:p>
            <w:pPr>
              <w:jc w:val="center"/>
              <w:ind w:right="52"/>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20" w:type="dxa"/>
            <w:vAlign w:val="bottom"/>
          </w:tcPr>
          <w:p>
            <w:pPr>
              <w:jc w:val="center"/>
              <w:ind w:left="115"/>
              <w:spacing w:after="0" w:line="181" w:lineRule="exact"/>
              <w:rPr>
                <w:sz w:val="20"/>
                <w:szCs w:val="20"/>
                <w:color w:val="auto"/>
              </w:rPr>
            </w:pPr>
            <w:r>
              <w:rPr>
                <w:rFonts w:ascii="MS PGothic" w:cs="MS PGothic" w:eastAsia="MS PGothic" w:hAnsi="MS PGothic"/>
                <w:sz w:val="18"/>
                <w:szCs w:val="18"/>
                <w:color w:val="auto"/>
                <w:w w:val="99"/>
              </w:rPr>
              <w:t>☐</w:t>
            </w:r>
          </w:p>
        </w:tc>
        <w:tc>
          <w:tcPr>
            <w:tcW w:w="242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jc w:val="center"/>
              <w:ind w:left="673"/>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jc w:val="right"/>
              <w:ind w:right="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5"/>
        </w:trPr>
        <w:tc>
          <w:tcPr>
            <w:tcW w:w="10400" w:type="dxa"/>
            <w:vAlign w:val="bottom"/>
            <w:gridSpan w:val="5"/>
          </w:tcPr>
          <w:p>
            <w:pPr>
              <w:spacing w:after="0" w:line="185"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0" w:type="dxa"/>
            <w:vAlign w:val="bottom"/>
            <w:gridSpan w:val="5"/>
          </w:tcPr>
          <w:p>
            <w:pPr>
              <w:spacing w:after="0" w:line="196" w:lineRule="exact"/>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9040" w:type="dxa"/>
            <w:vAlign w:val="bottom"/>
            <w:gridSpan w:val="4"/>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1360" w:type="dxa"/>
            <w:vAlign w:val="bottom"/>
          </w:tcPr>
          <w:p>
            <w:pPr>
              <w:ind w:left="6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00" w:type="dxa"/>
            <w:vAlign w:val="bottom"/>
          </w:tcPr>
          <w:p>
            <w:pPr>
              <w:jc w:val="right"/>
              <w:ind w:right="1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1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January 4, 2021 was 1,118,671,492.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843280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31" w:right="3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2486025" cy="2245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602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32" w:right="540"/>
        <w:spacing w:after="0" w:line="241" w:lineRule="auto"/>
        <w:rPr>
          <w:sz w:val="20"/>
          <w:szCs w:val="20"/>
          <w:color w:val="auto"/>
        </w:rPr>
      </w:pPr>
      <w:r>
        <w:rPr>
          <w:rFonts w:ascii="Arial" w:cs="Arial" w:eastAsia="Arial" w:hAnsi="Arial"/>
          <w:sz w:val="64"/>
          <w:szCs w:val="64"/>
          <w:b w:val="1"/>
          <w:bCs w:val="1"/>
          <w:color w:val="FFFFFF"/>
        </w:rPr>
        <w:t>Micron Company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486025" cy="5897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6025" cy="5897880"/>
                    </a:xfrm>
                    <a:prstGeom prst="rect">
                      <a:avLst/>
                    </a:prstGeom>
                    <a:noFill/>
                  </pic:spPr>
                </pic:pic>
              </a:graphicData>
            </a:graphic>
          </wp:anchor>
        </w:drawing>
      </w:r>
    </w:p>
    <w:p>
      <w:pPr>
        <w:spacing w:after="0" w:line="201" w:lineRule="exact"/>
        <w:rPr>
          <w:sz w:val="20"/>
          <w:szCs w:val="20"/>
          <w:color w:val="auto"/>
        </w:rPr>
      </w:pPr>
    </w:p>
    <w:p>
      <w:pPr>
        <w:ind w:left="232" w:right="1300"/>
        <w:spacing w:after="0" w:line="245" w:lineRule="auto"/>
        <w:rPr>
          <w:sz w:val="20"/>
          <w:szCs w:val="20"/>
          <w:color w:val="auto"/>
        </w:rPr>
      </w:pPr>
      <w:r>
        <w:rPr>
          <w:rFonts w:ascii="Arial" w:cs="Arial" w:eastAsia="Arial" w:hAnsi="Arial"/>
          <w:sz w:val="18"/>
          <w:szCs w:val="18"/>
          <w:color w:val="FFFFFF"/>
        </w:rPr>
        <w:t>Founded over 40 years ago on October 5, 1978</w:t>
      </w:r>
    </w:p>
    <w:p>
      <w:pPr>
        <w:spacing w:after="0" w:line="162"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Headquartered in</w:t>
      </w:r>
    </w:p>
    <w:p>
      <w:pPr>
        <w:ind w:left="232"/>
        <w:spacing w:after="0"/>
        <w:rPr>
          <w:sz w:val="20"/>
          <w:szCs w:val="20"/>
          <w:color w:val="auto"/>
        </w:rPr>
      </w:pPr>
      <w:r>
        <w:rPr>
          <w:rFonts w:ascii="Arial" w:cs="Arial" w:eastAsia="Arial" w:hAnsi="Arial"/>
          <w:sz w:val="18"/>
          <w:szCs w:val="18"/>
          <w:color w:val="FFFFFF"/>
        </w:rPr>
        <w:t>Boise, Idaho, USA</w:t>
      </w:r>
    </w:p>
    <w:p>
      <w:pPr>
        <w:spacing w:after="0" w:line="14"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4th</w:t>
      </w:r>
    </w:p>
    <w:p>
      <w:pPr>
        <w:ind w:left="232"/>
        <w:spacing w:after="0" w:line="219" w:lineRule="auto"/>
        <w:rPr>
          <w:sz w:val="20"/>
          <w:szCs w:val="20"/>
          <w:color w:val="auto"/>
        </w:rPr>
      </w:pPr>
      <w:r>
        <w:rPr>
          <w:rFonts w:ascii="Arial" w:cs="Arial" w:eastAsia="Arial" w:hAnsi="Arial"/>
          <w:sz w:val="18"/>
          <w:szCs w:val="18"/>
          <w:color w:val="FFFFFF"/>
        </w:rPr>
        <w:t>Largest semiconductor company</w:t>
      </w:r>
    </w:p>
    <w:p>
      <w:pPr>
        <w:spacing w:after="0" w:line="1" w:lineRule="exact"/>
        <w:rPr>
          <w:sz w:val="20"/>
          <w:szCs w:val="20"/>
          <w:color w:val="auto"/>
        </w:rPr>
      </w:pPr>
    </w:p>
    <w:p>
      <w:pPr>
        <w:ind w:left="232"/>
        <w:spacing w:after="0"/>
        <w:rPr>
          <w:sz w:val="20"/>
          <w:szCs w:val="20"/>
          <w:color w:val="auto"/>
        </w:rPr>
      </w:pPr>
      <w:r>
        <w:rPr>
          <w:rFonts w:ascii="Arial" w:cs="Arial" w:eastAsia="Arial" w:hAnsi="Arial"/>
          <w:sz w:val="17"/>
          <w:szCs w:val="17"/>
          <w:color w:val="FFFFFF"/>
        </w:rPr>
        <w:t>in the world, excluding IP/software revenue*</w:t>
      </w:r>
    </w:p>
    <w:p>
      <w:pPr>
        <w:spacing w:after="0" w:line="128"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134</w:t>
      </w:r>
    </w:p>
    <w:p>
      <w:pPr>
        <w:spacing w:after="0" w:line="20"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On the 2020 Fortune 500</w:t>
      </w:r>
    </w:p>
    <w:p>
      <w:pPr>
        <w:spacing w:after="0" w:line="116"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44,000</w:t>
      </w:r>
    </w:p>
    <w:p>
      <w:pPr>
        <w:spacing w:after="0" w:line="20"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Patents granted and growing**</w:t>
      </w:r>
    </w:p>
    <w:p>
      <w:pPr>
        <w:spacing w:after="0" w:line="116"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17</w:t>
      </w:r>
    </w:p>
    <w:p>
      <w:pPr>
        <w:spacing w:after="0" w:line="20"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Countries**</w:t>
      </w:r>
    </w:p>
    <w:p>
      <w:pPr>
        <w:spacing w:after="0" w:line="116"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13</w:t>
      </w:r>
    </w:p>
    <w:p>
      <w:pPr>
        <w:ind w:left="232"/>
        <w:spacing w:after="0" w:line="226" w:lineRule="auto"/>
        <w:rPr>
          <w:sz w:val="20"/>
          <w:szCs w:val="20"/>
          <w:color w:val="auto"/>
        </w:rPr>
      </w:pPr>
      <w:r>
        <w:rPr>
          <w:rFonts w:ascii="Arial" w:cs="Arial" w:eastAsia="Arial" w:hAnsi="Arial"/>
          <w:sz w:val="18"/>
          <w:szCs w:val="18"/>
          <w:color w:val="FFFFFF"/>
        </w:rPr>
        <w:t>Manufacturing sites and</w:t>
      </w:r>
    </w:p>
    <w:p>
      <w:pPr>
        <w:ind w:left="232"/>
        <w:spacing w:after="0"/>
        <w:rPr>
          <w:sz w:val="20"/>
          <w:szCs w:val="20"/>
          <w:color w:val="auto"/>
        </w:rPr>
      </w:pPr>
      <w:r>
        <w:rPr>
          <w:rFonts w:ascii="Arial" w:cs="Arial" w:eastAsia="Arial" w:hAnsi="Arial"/>
          <w:sz w:val="18"/>
          <w:szCs w:val="18"/>
          <w:color w:val="FFFFFF"/>
        </w:rPr>
        <w:t>14 customer labs**</w:t>
      </w:r>
    </w:p>
    <w:p>
      <w:pPr>
        <w:spacing w:after="0" w:line="116"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40,000</w:t>
      </w:r>
    </w:p>
    <w:p>
      <w:pPr>
        <w:spacing w:after="0" w:line="20"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Team members**</w:t>
      </w:r>
    </w:p>
    <w:p>
      <w:pPr>
        <w:spacing w:after="0" w:line="248" w:lineRule="exact"/>
        <w:rPr>
          <w:sz w:val="20"/>
          <w:szCs w:val="20"/>
          <w:color w:val="auto"/>
        </w:rPr>
      </w:pPr>
    </w:p>
    <w:p>
      <w:pPr>
        <w:ind w:left="232" w:right="60"/>
        <w:spacing w:after="0" w:line="235" w:lineRule="auto"/>
        <w:rPr>
          <w:sz w:val="20"/>
          <w:szCs w:val="20"/>
          <w:color w:val="auto"/>
        </w:rPr>
      </w:pPr>
      <w:r>
        <w:rPr>
          <w:rFonts w:ascii="Arial" w:cs="Arial" w:eastAsia="Arial" w:hAnsi="Arial"/>
          <w:sz w:val="16"/>
          <w:szCs w:val="16"/>
          <w:color w:val="FFFFFF"/>
        </w:rPr>
        <w:t>*Gartner Market Share: Semiconductors by End Market, Worldwide, 2019 (April 2020) **Micron data as of September 3, 2020.</w:t>
      </w:r>
    </w:p>
    <w:p>
      <w:pPr>
        <w:ind w:left="232"/>
        <w:spacing w:after="0" w:line="236" w:lineRule="auto"/>
        <w:rPr>
          <w:sz w:val="20"/>
          <w:szCs w:val="20"/>
          <w:color w:val="auto"/>
        </w:rPr>
      </w:pPr>
      <w:r>
        <w:rPr>
          <w:rFonts w:ascii="Arial" w:cs="Arial" w:eastAsia="Arial" w:hAnsi="Arial"/>
          <w:sz w:val="16"/>
          <w:szCs w:val="16"/>
          <w:b w:val="1"/>
          <w:bCs w:val="1"/>
          <w:color w:val="FFFFFF"/>
        </w:rPr>
        <w:t>Media Inquiries</w:t>
      </w:r>
    </w:p>
    <w:p>
      <w:pPr>
        <w:spacing w:after="0" w:line="1" w:lineRule="exact"/>
        <w:rPr>
          <w:sz w:val="20"/>
          <w:szCs w:val="20"/>
          <w:color w:val="auto"/>
        </w:rPr>
      </w:pPr>
    </w:p>
    <w:p>
      <w:pPr>
        <w:ind w:left="232"/>
        <w:spacing w:after="0"/>
        <w:rPr>
          <w:sz w:val="20"/>
          <w:szCs w:val="20"/>
          <w:color w:val="auto"/>
        </w:rPr>
      </w:pPr>
      <w:r>
        <w:rPr>
          <w:rFonts w:ascii="Arial" w:cs="Arial" w:eastAsia="Arial" w:hAnsi="Arial"/>
          <w:sz w:val="16"/>
          <w:szCs w:val="16"/>
          <w:color w:val="FFFFFF"/>
        </w:rPr>
        <w:t>mediarelations@micron.com</w:t>
      </w:r>
    </w:p>
    <w:p>
      <w:pPr>
        <w:spacing w:after="0" w:line="199" w:lineRule="exact"/>
        <w:rPr>
          <w:sz w:val="20"/>
          <w:szCs w:val="20"/>
          <w:color w:val="auto"/>
        </w:rPr>
      </w:pPr>
    </w:p>
    <w:p>
      <w:pPr>
        <w:ind w:left="232"/>
        <w:spacing w:after="0"/>
        <w:rPr>
          <w:sz w:val="20"/>
          <w:szCs w:val="20"/>
          <w:color w:val="auto"/>
        </w:rPr>
      </w:pPr>
      <w:r>
        <w:rPr>
          <w:rFonts w:ascii="Arial" w:cs="Arial" w:eastAsia="Arial" w:hAnsi="Arial"/>
          <w:sz w:val="16"/>
          <w:szCs w:val="16"/>
          <w:b w:val="1"/>
          <w:bCs w:val="1"/>
          <w:color w:val="FFFFFF"/>
        </w:rPr>
        <w:t>Government Inquiries</w:t>
      </w:r>
    </w:p>
    <w:p>
      <w:pPr>
        <w:ind w:left="232"/>
        <w:spacing w:after="0"/>
        <w:rPr>
          <w:sz w:val="20"/>
          <w:szCs w:val="20"/>
          <w:color w:val="auto"/>
        </w:rPr>
      </w:pPr>
      <w:r>
        <w:rPr>
          <w:rFonts w:ascii="Arial" w:cs="Arial" w:eastAsia="Arial" w:hAnsi="Arial"/>
          <w:sz w:val="16"/>
          <w:szCs w:val="16"/>
          <w:color w:val="FFFFFF"/>
        </w:rPr>
        <w:t>govaffairs@micron.com</w:t>
      </w:r>
    </w:p>
    <w:p>
      <w:pPr>
        <w:spacing w:after="0" w:line="199" w:lineRule="exact"/>
        <w:rPr>
          <w:sz w:val="20"/>
          <w:szCs w:val="20"/>
          <w:color w:val="auto"/>
        </w:rPr>
      </w:pPr>
    </w:p>
    <w:p>
      <w:pPr>
        <w:ind w:left="232" w:right="1320"/>
        <w:spacing w:after="0" w:line="259" w:lineRule="auto"/>
        <w:rPr>
          <w:sz w:val="20"/>
          <w:szCs w:val="20"/>
          <w:color w:val="auto"/>
        </w:rPr>
      </w:pPr>
      <w:r>
        <w:rPr>
          <w:rFonts w:ascii="Arial" w:cs="Arial" w:eastAsia="Arial" w:hAnsi="Arial"/>
          <w:sz w:val="16"/>
          <w:szCs w:val="16"/>
          <w:b w:val="1"/>
          <w:bCs w:val="1"/>
          <w:color w:val="FFFFFF"/>
        </w:rPr>
        <w:t xml:space="preserve">Investor Inquiries </w:t>
      </w:r>
      <w:r>
        <w:rPr>
          <w:rFonts w:ascii="Arial" w:cs="Arial" w:eastAsia="Arial" w:hAnsi="Arial"/>
          <w:sz w:val="16"/>
          <w:szCs w:val="16"/>
          <w:color w:val="FFFFFF"/>
        </w:rPr>
        <w:t>investorrelations@micron.com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63"/>
          <w:szCs w:val="63"/>
          <w:color w:val="auto"/>
        </w:rPr>
        <w:t>It’s All About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-2797175</wp:posOffset>
            </wp:positionV>
            <wp:extent cx="4217670" cy="2185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17670" cy="2185670"/>
                    </a:xfrm>
                    <a:prstGeom prst="rect">
                      <a:avLst/>
                    </a:prstGeom>
                    <a:noFill/>
                  </pic:spPr>
                </pic:pic>
              </a:graphicData>
            </a:graphic>
          </wp:anchor>
        </w:drawing>
      </w:r>
    </w:p>
    <w:p>
      <w:pPr>
        <w:spacing w:after="0" w:line="31" w:lineRule="exact"/>
        <w:rPr>
          <w:sz w:val="20"/>
          <w:szCs w:val="20"/>
          <w:color w:val="auto"/>
        </w:rPr>
      </w:pPr>
    </w:p>
    <w:p>
      <w:pPr>
        <w:ind w:right="160"/>
        <w:spacing w:after="0" w:line="219" w:lineRule="auto"/>
        <w:rPr>
          <w:sz w:val="20"/>
          <w:szCs w:val="20"/>
          <w:color w:val="auto"/>
        </w:rPr>
      </w:pPr>
      <w:r>
        <w:rPr>
          <w:rFonts w:ascii="Arial" w:cs="Arial" w:eastAsia="Arial" w:hAnsi="Arial"/>
          <w:sz w:val="25"/>
          <w:szCs w:val="25"/>
          <w:b w:val="1"/>
          <w:bCs w:val="1"/>
          <w:color w:val="0090DA"/>
        </w:rPr>
        <w:t>Data is today’s new business currency, and memory and storage are emerging as strategic differentiators which will redefine how we extract value from data to learn, explore, communicate, and navigate our world.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Are</w:t>
      </w:r>
    </w:p>
    <w:p>
      <w:pPr>
        <w:spacing w:after="0" w:line="61" w:lineRule="exact"/>
        <w:rPr>
          <w:sz w:val="20"/>
          <w:szCs w:val="20"/>
          <w:color w:val="auto"/>
        </w:rPr>
      </w:pPr>
    </w:p>
    <w:p>
      <w:pPr>
        <w:ind w:right="100"/>
        <w:spacing w:after="0" w:line="212" w:lineRule="auto"/>
        <w:rPr>
          <w:sz w:val="20"/>
          <w:szCs w:val="20"/>
          <w:color w:val="auto"/>
        </w:rPr>
      </w:pPr>
      <w:r>
        <w:rPr>
          <w:rFonts w:ascii="Arial" w:cs="Arial" w:eastAsia="Arial" w:hAnsi="Arial"/>
          <w:sz w:val="18"/>
          <w:szCs w:val="18"/>
          <w:color w:val="auto"/>
        </w:rPr>
        <w:t>Micron designs, develops, and manufactures industry-leading memory and storage products. By creating rapid advancements in artificial intelligence, 5G, machine learning, and autonomous vehicles, we unlock innovation in key market segments like mobile, data center, healthcare, automotive, and cloud networking. Our technology and expertise are central to cutting-edge computing applications and new business models which disrupt and advance the industry.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w:t>
      </w:r>
    </w:p>
    <w:p>
      <w:pPr>
        <w:spacing w:after="0" w:line="61" w:lineRule="exact"/>
        <w:rPr>
          <w:sz w:val="20"/>
          <w:szCs w:val="20"/>
          <w:color w:val="auto"/>
        </w:rPr>
      </w:pPr>
    </w:p>
    <w:p>
      <w:pPr>
        <w:ind w:right="120"/>
        <w:spacing w:after="0" w:line="212" w:lineRule="auto"/>
        <w:rPr>
          <w:sz w:val="20"/>
          <w:szCs w:val="20"/>
          <w:color w:val="auto"/>
        </w:rPr>
      </w:pPr>
      <w:r>
        <w:rPr>
          <w:rFonts w:ascii="Arial" w:cs="Arial" w:eastAsia="Arial" w:hAnsi="Arial"/>
          <w:sz w:val="18"/>
          <w:szCs w:val="18"/>
          <w:color w:val="auto"/>
        </w:rPr>
        <w:t xml:space="preserve">As a global leader in memory and storage solutions, we are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By advancing technologies to collect, store, and manage data with unprecedented speed and efficiency, we continue to lead the transformation of information intelligence. In a world of change, we remain nimble, allowing our products to continue inspiring the world to learn, communicate, and advance faster than ever.</w:t>
      </w: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Commitment</w:t>
      </w:r>
    </w:p>
    <w:p>
      <w:pPr>
        <w:spacing w:after="0" w:line="61"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The world has come to expect our commitment to innovative solutions and people depend on our integrity. We rededicate ourselves daily to demonstrating our environmental conscience, an inclusive team culture where all voices are heard and respected, and sharing our philanthropic social giving for good.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9"/>
          <w:szCs w:val="29"/>
          <w:b w:val="1"/>
          <w:bCs w:val="1"/>
          <w:color w:val="0090DA"/>
        </w:rPr>
        <w:t>Global Product Portfolio</w:t>
      </w:r>
    </w:p>
    <w:p>
      <w:pPr>
        <w:spacing w:after="0" w:line="61" w:lineRule="exact"/>
        <w:rPr>
          <w:sz w:val="20"/>
          <w:szCs w:val="20"/>
          <w:color w:val="auto"/>
        </w:rPr>
      </w:pPr>
    </w:p>
    <w:p>
      <w:pPr>
        <w:ind w:right="2160"/>
        <w:spacing w:after="0" w:line="212" w:lineRule="auto"/>
        <w:rPr>
          <w:sz w:val="20"/>
          <w:szCs w:val="20"/>
          <w:color w:val="auto"/>
        </w:rPr>
      </w:pPr>
      <w:r>
        <w:rPr>
          <w:rFonts w:ascii="Arial" w:cs="Arial" w:eastAsia="Arial" w:hAnsi="Arial"/>
          <w:sz w:val="16"/>
          <w:szCs w:val="16"/>
          <w:color w:val="0090DA"/>
        </w:rPr>
        <w:t xml:space="preserve">DRAM | </w:t>
      </w:r>
      <w:r>
        <w:rPr>
          <w:rFonts w:ascii="Arial" w:cs="Arial" w:eastAsia="Arial" w:hAnsi="Arial"/>
          <w:sz w:val="17"/>
          <w:szCs w:val="17"/>
          <w:color w:val="0090DA"/>
        </w:rPr>
        <w:t>NAND |</w:t>
      </w:r>
      <w:r>
        <w:rPr>
          <w:rFonts w:ascii="Arial" w:cs="Arial" w:eastAsia="Arial" w:hAnsi="Arial"/>
          <w:sz w:val="16"/>
          <w:szCs w:val="16"/>
          <w:color w:val="0090DA"/>
        </w:rPr>
        <w:t xml:space="preserve"> 3D XPoint</w:t>
      </w:r>
      <w:r>
        <w:rPr>
          <w:rFonts w:ascii="Arial" w:cs="Arial" w:eastAsia="Arial" w:hAnsi="Arial"/>
          <w:sz w:val="21"/>
          <w:szCs w:val="21"/>
          <w:color w:val="0090DA"/>
          <w:vertAlign w:val="superscript"/>
        </w:rPr>
        <w:t>TM</w:t>
      </w:r>
      <w:r>
        <w:rPr>
          <w:rFonts w:ascii="Arial" w:cs="Arial" w:eastAsia="Arial" w:hAnsi="Arial"/>
          <w:sz w:val="16"/>
          <w:szCs w:val="16"/>
          <w:color w:val="0090DA"/>
        </w:rPr>
        <w:t xml:space="preserve"> Memory | NOR | Solid-State Drives High Bandwidth Memory (HBM) | Multichip Packages | AI Accelerators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96520</wp:posOffset>
            </wp:positionV>
            <wp:extent cx="458597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5970" cy="308610"/>
                    </a:xfrm>
                    <a:prstGeom prst="rect">
                      <a:avLst/>
                    </a:prstGeom>
                    <a:noFill/>
                  </pic:spPr>
                </pic:pic>
              </a:graphicData>
            </a:graphic>
          </wp:anchor>
        </w:drawing>
      </w:r>
    </w:p>
    <w:p>
      <w:pPr>
        <w:spacing w:after="0" w:line="192" w:lineRule="exact"/>
        <w:rPr>
          <w:sz w:val="20"/>
          <w:szCs w:val="20"/>
          <w:color w:val="auto"/>
        </w:rPr>
      </w:pPr>
    </w:p>
    <w:p>
      <w:pPr>
        <w:jc w:val="right"/>
        <w:ind w:right="20"/>
        <w:spacing w:after="0"/>
        <w:rPr>
          <w:sz w:val="20"/>
          <w:szCs w:val="20"/>
          <w:color w:val="auto"/>
        </w:rPr>
      </w:pPr>
      <w:r>
        <w:rPr>
          <w:rFonts w:ascii="Arial" w:cs="Arial" w:eastAsia="Arial" w:hAnsi="Arial"/>
          <w:sz w:val="25"/>
          <w:szCs w:val="25"/>
          <w:b w:val="1"/>
          <w:bCs w:val="1"/>
          <w:color w:val="FFFFFF"/>
        </w:rPr>
        <w:t>Connect with us on micron.com</w:t>
      </w:r>
    </w:p>
    <w:p>
      <w:pPr>
        <w:spacing w:after="0" w:line="230" w:lineRule="exact"/>
        <w:rPr>
          <w:sz w:val="20"/>
          <w:szCs w:val="20"/>
          <w:color w:val="auto"/>
        </w:rPr>
      </w:pPr>
    </w:p>
    <w:p>
      <w:pPr>
        <w:sectPr>
          <w:pgSz w:w="11900" w:h="16838" w:orient="portrait"/>
          <w:cols w:equalWidth="0" w:num="2">
            <w:col w:w="3732" w:space="300"/>
            <w:col w:w="7200"/>
          </w:cols>
          <w:pgMar w:left="328" w:top="1440" w:right="339" w:bottom="1440" w:gutter="0" w:footer="0" w:header="0"/>
        </w:sectPr>
      </w:pPr>
    </w:p>
    <w:p>
      <w:pPr>
        <w:ind w:left="-8" w:firstLine="8"/>
        <w:spacing w:after="0" w:line="233" w:lineRule="auto"/>
        <w:tabs>
          <w:tab w:leader="none" w:pos="138" w:val="left"/>
        </w:tabs>
        <w:numPr>
          <w:ilvl w:val="0"/>
          <w:numId w:val="3"/>
        </w:numPr>
        <w:rPr>
          <w:rFonts w:ascii="Arial" w:cs="Arial" w:eastAsia="Arial" w:hAnsi="Arial"/>
          <w:sz w:val="14"/>
          <w:szCs w:val="14"/>
          <w:color w:val="auto"/>
        </w:rPr>
      </w:pPr>
      <w:r>
        <w:rPr>
          <w:rFonts w:ascii="Arial" w:cs="Arial" w:eastAsia="Arial" w:hAnsi="Arial"/>
          <w:sz w:val="14"/>
          <w:szCs w:val="14"/>
          <w:color w:val="auto"/>
        </w:rPr>
        <w:t>2021 Micron Technology, Inc. Micron, the Micron logo, the M orbit logo, Intelligence Accelerated</w:t>
      </w:r>
      <w:r>
        <w:rPr>
          <w:rFonts w:ascii="Arial" w:cs="Arial" w:eastAsia="Arial" w:hAnsi="Arial"/>
          <w:sz w:val="18"/>
          <w:szCs w:val="18"/>
          <w:color w:val="auto"/>
          <w:vertAlign w:val="superscript"/>
        </w:rPr>
        <w:t>TM</w:t>
      </w:r>
      <w:r>
        <w:rPr>
          <w:rFonts w:ascii="Arial" w:cs="Arial" w:eastAsia="Arial" w:hAnsi="Arial"/>
          <w:sz w:val="14"/>
          <w:szCs w:val="14"/>
          <w:color w:val="auto"/>
        </w:rPr>
        <w:t>, and other Micron trademarks are the property of Micron Technology, Inc. All other trademarks are the property of their respective owners. Products and specifications are subject to change without notice. Rev 01/21 CCMMD-1707390403-3712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8540" w:type="dxa"/>
            <w:vAlign w:val="bottom"/>
            <w:shd w:val="clear" w:color="auto" w:fill="D1D2D4"/>
          </w:tcPr>
          <w:p>
            <w:pPr>
              <w:spacing w:after="0"/>
              <w:rPr>
                <w:sz w:val="19"/>
                <w:szCs w:val="19"/>
                <w:color w:val="auto"/>
              </w:rPr>
            </w:pPr>
          </w:p>
        </w:tc>
        <w:tc>
          <w:tcPr>
            <w:tcW w:w="1620" w:type="dxa"/>
            <w:vAlign w:val="bottom"/>
            <w:shd w:val="clear" w:color="auto" w:fill="D1D2D4"/>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230"/>
        </w:trPr>
        <w:tc>
          <w:tcPr>
            <w:tcW w:w="962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 Financial Statements</w:t>
            </w:r>
          </w:p>
        </w:tc>
        <w:tc>
          <w:tcPr>
            <w:tcW w:w="1620" w:type="dxa"/>
            <w:vAlign w:val="bottom"/>
          </w:tcPr>
          <w:p>
            <w:pPr>
              <w:spacing w:after="0"/>
              <w:rPr>
                <w:sz w:val="19"/>
                <w:szCs w:val="19"/>
                <w:color w:val="auto"/>
              </w:rPr>
            </w:pPr>
          </w:p>
        </w:tc>
      </w:tr>
      <w:tr>
        <w:trPr>
          <w:trHeight w:val="229"/>
        </w:trPr>
        <w:tc>
          <w:tcPr>
            <w:tcW w:w="10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w:t>
            </w:r>
          </w:p>
        </w:tc>
        <w:tc>
          <w:tcPr>
            <w:tcW w:w="8540" w:type="dxa"/>
            <w:vAlign w:val="bottom"/>
            <w:shd w:val="clear" w:color="auto" w:fill="D1D2D4"/>
          </w:tcPr>
          <w:p>
            <w:pPr>
              <w:ind w:left="60"/>
              <w:spacing w:after="0"/>
              <w:rPr>
                <w:sz w:val="20"/>
                <w:szCs w:val="20"/>
                <w:color w:val="auto"/>
              </w:rPr>
            </w:pPr>
            <w:r>
              <w:rPr>
                <w:rFonts w:ascii="Arial" w:cs="Arial" w:eastAsia="Arial" w:hAnsi="Arial"/>
                <w:sz w:val="18"/>
                <w:szCs w:val="18"/>
                <w:color w:val="auto"/>
              </w:rPr>
              <w:t>Financial Statements:</w:t>
            </w:r>
          </w:p>
        </w:tc>
        <w:tc>
          <w:tcPr>
            <w:tcW w:w="1620" w:type="dxa"/>
            <w:vAlign w:val="bottom"/>
            <w:shd w:val="clear" w:color="auto" w:fill="D1D2D4"/>
          </w:tcPr>
          <w:p>
            <w:pPr>
              <w:spacing w:after="0"/>
              <w:rPr>
                <w:sz w:val="19"/>
                <w:szCs w:val="19"/>
                <w:color w:val="auto"/>
              </w:rPr>
            </w:pPr>
          </w:p>
        </w:tc>
      </w:tr>
      <w:tr>
        <w:trPr>
          <w:trHeight w:val="230"/>
        </w:trPr>
        <w:tc>
          <w:tcPr>
            <w:tcW w:w="1080" w:type="dxa"/>
            <w:vAlign w:val="bottom"/>
          </w:tcPr>
          <w:p>
            <w:pPr>
              <w:spacing w:after="0"/>
              <w:rPr>
                <w:sz w:val="19"/>
                <w:szCs w:val="19"/>
                <w:color w:val="auto"/>
              </w:rPr>
            </w:pPr>
          </w:p>
        </w:tc>
        <w:tc>
          <w:tcPr>
            <w:tcW w:w="8540" w:type="dxa"/>
            <w:vAlign w:val="bottom"/>
          </w:tcPr>
          <w:p>
            <w:pPr>
              <w:ind w:left="180"/>
              <w:spacing w:after="0"/>
              <w:rPr>
                <w:sz w:val="20"/>
                <w:szCs w:val="20"/>
                <w:color w:val="auto"/>
              </w:rPr>
            </w:pPr>
            <w:r>
              <w:rPr>
                <w:rFonts w:ascii="Arial" w:cs="Arial" w:eastAsia="Arial" w:hAnsi="Arial"/>
                <w:sz w:val="18"/>
                <w:szCs w:val="18"/>
                <w:color w:val="auto"/>
              </w:rPr>
              <w:t>Consolidated Statements of Operations</w:t>
            </w:r>
          </w:p>
        </w:tc>
        <w:tc>
          <w:tcPr>
            <w:tcW w:w="16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r>
      <w:tr>
        <w:trPr>
          <w:trHeight w:val="229"/>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Consolidated Statements of Comprehensive Income</w:t>
            </w:r>
          </w:p>
        </w:tc>
        <w:tc>
          <w:tcPr>
            <w:tcW w:w="1620" w:type="dxa"/>
            <w:vAlign w:val="bottom"/>
            <w:shd w:val="clear" w:color="auto" w:fill="D1D2D4"/>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29"/>
        </w:trPr>
        <w:tc>
          <w:tcPr>
            <w:tcW w:w="1080" w:type="dxa"/>
            <w:vAlign w:val="bottom"/>
          </w:tcPr>
          <w:p>
            <w:pPr>
              <w:spacing w:after="0"/>
              <w:rPr>
                <w:sz w:val="19"/>
                <w:szCs w:val="19"/>
                <w:color w:val="auto"/>
              </w:rPr>
            </w:pPr>
          </w:p>
        </w:tc>
        <w:tc>
          <w:tcPr>
            <w:tcW w:w="8540" w:type="dxa"/>
            <w:vAlign w:val="bottom"/>
          </w:tcPr>
          <w:p>
            <w:pPr>
              <w:ind w:left="180"/>
              <w:spacing w:after="0"/>
              <w:rPr>
                <w:sz w:val="20"/>
                <w:szCs w:val="20"/>
                <w:color w:val="auto"/>
              </w:rPr>
            </w:pPr>
            <w:r>
              <w:rPr>
                <w:rFonts w:ascii="Arial" w:cs="Arial" w:eastAsia="Arial" w:hAnsi="Arial"/>
                <w:sz w:val="18"/>
                <w:szCs w:val="18"/>
                <w:color w:val="auto"/>
              </w:rPr>
              <w:t>Consolidated Balance Sheets</w:t>
            </w:r>
          </w:p>
        </w:tc>
        <w:tc>
          <w:tcPr>
            <w:tcW w:w="16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230"/>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Consolidated Statements of Changes in Equity</w:t>
            </w:r>
          </w:p>
        </w:tc>
        <w:tc>
          <w:tcPr>
            <w:tcW w:w="1620" w:type="dxa"/>
            <w:vAlign w:val="bottom"/>
            <w:shd w:val="clear" w:color="auto" w:fill="D1D2D4"/>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r>
      <w:tr>
        <w:trPr>
          <w:trHeight w:val="229"/>
        </w:trPr>
        <w:tc>
          <w:tcPr>
            <w:tcW w:w="1080" w:type="dxa"/>
            <w:vAlign w:val="bottom"/>
          </w:tcPr>
          <w:p>
            <w:pPr>
              <w:spacing w:after="0"/>
              <w:rPr>
                <w:sz w:val="19"/>
                <w:szCs w:val="19"/>
                <w:color w:val="auto"/>
              </w:rPr>
            </w:pPr>
          </w:p>
        </w:tc>
        <w:tc>
          <w:tcPr>
            <w:tcW w:w="8540" w:type="dxa"/>
            <w:vAlign w:val="bottom"/>
          </w:tcPr>
          <w:p>
            <w:pPr>
              <w:ind w:left="180"/>
              <w:spacing w:after="0"/>
              <w:rPr>
                <w:sz w:val="20"/>
                <w:szCs w:val="20"/>
                <w:color w:val="auto"/>
              </w:rPr>
            </w:pPr>
            <w:r>
              <w:rPr>
                <w:rFonts w:ascii="Arial" w:cs="Arial" w:eastAsia="Arial" w:hAnsi="Arial"/>
                <w:sz w:val="18"/>
                <w:szCs w:val="18"/>
                <w:color w:val="auto"/>
              </w:rPr>
              <w:t>Consolidated Statements of Cash Flows</w:t>
            </w:r>
          </w:p>
        </w:tc>
        <w:tc>
          <w:tcPr>
            <w:tcW w:w="162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tc>
      </w:tr>
      <w:tr>
        <w:trPr>
          <w:trHeight w:val="229"/>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620" w:type="dxa"/>
            <w:vAlign w:val="bottom"/>
            <w:shd w:val="clear" w:color="auto" w:fill="D1D2D4"/>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8</w:t>
              </w:r>
            </w:hyperlink>
          </w:p>
        </w:tc>
      </w:tr>
      <w:tr>
        <w:trPr>
          <w:trHeight w:val="230"/>
        </w:trPr>
        <w:tc>
          <w:tcPr>
            <w:tcW w:w="1080" w:type="dxa"/>
            <w:vAlign w:val="bottom"/>
          </w:tcPr>
          <w:p>
            <w:pPr>
              <w:ind w:left="140"/>
              <w:spacing w:after="0"/>
              <w:rPr>
                <w:sz w:val="20"/>
                <w:szCs w:val="20"/>
                <w:color w:val="auto"/>
              </w:rPr>
            </w:pPr>
            <w:r>
              <w:rPr>
                <w:rFonts w:ascii="Arial" w:cs="Arial" w:eastAsia="Arial" w:hAnsi="Arial"/>
                <w:sz w:val="18"/>
                <w:szCs w:val="18"/>
                <w:color w:val="auto"/>
              </w:rPr>
              <w:t>Item 2.</w:t>
            </w:r>
          </w:p>
        </w:tc>
        <w:tc>
          <w:tcPr>
            <w:tcW w:w="8540" w:type="dxa"/>
            <w:vAlign w:val="bottom"/>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2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r>
      <w:tr>
        <w:trPr>
          <w:trHeight w:val="229"/>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sz w:val="20"/>
                <w:szCs w:val="20"/>
                <w:color w:val="auto"/>
              </w:rPr>
            </w:pPr>
            <w:r>
              <w:rPr>
                <w:rFonts w:ascii="Arial" w:cs="Arial" w:eastAsia="Arial" w:hAnsi="Arial"/>
                <w:sz w:val="18"/>
                <w:szCs w:val="18"/>
                <w:color w:val="auto"/>
              </w:rPr>
              <w:t>Results of Operations</w:t>
            </w:r>
          </w:p>
        </w:tc>
        <w:tc>
          <w:tcPr>
            <w:tcW w:w="1620" w:type="dxa"/>
            <w:vAlign w:val="bottom"/>
            <w:shd w:val="clear" w:color="auto" w:fill="D1D2D4"/>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25</w:t>
              </w:r>
            </w:hyperlink>
          </w:p>
        </w:tc>
      </w:tr>
      <w:tr>
        <w:trPr>
          <w:trHeight w:val="230"/>
        </w:trPr>
        <w:tc>
          <w:tcPr>
            <w:tcW w:w="1080" w:type="dxa"/>
            <w:vAlign w:val="bottom"/>
          </w:tcPr>
          <w:p>
            <w:pPr>
              <w:spacing w:after="0"/>
              <w:rPr>
                <w:sz w:val="19"/>
                <w:szCs w:val="19"/>
                <w:color w:val="auto"/>
              </w:rPr>
            </w:pPr>
          </w:p>
        </w:tc>
        <w:tc>
          <w:tcPr>
            <w:tcW w:w="8540" w:type="dxa"/>
            <w:vAlign w:val="bottom"/>
          </w:tcPr>
          <w:p>
            <w:pPr>
              <w:ind w:left="180"/>
              <w:spacing w:after="0"/>
              <w:rPr>
                <w:sz w:val="20"/>
                <w:szCs w:val="20"/>
                <w:color w:val="auto"/>
              </w:rPr>
            </w:pPr>
            <w:r>
              <w:rPr>
                <w:rFonts w:ascii="Arial" w:cs="Arial" w:eastAsia="Arial" w:hAnsi="Arial"/>
                <w:sz w:val="18"/>
                <w:szCs w:val="18"/>
                <w:color w:val="auto"/>
              </w:rPr>
              <w:t>Liquidity and Capital Resources</w:t>
            </w:r>
          </w:p>
        </w:tc>
        <w:tc>
          <w:tcPr>
            <w:tcW w:w="162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tc>
      </w:tr>
      <w:tr>
        <w:trPr>
          <w:trHeight w:val="229"/>
        </w:trPr>
        <w:tc>
          <w:tcPr>
            <w:tcW w:w="10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3.</w:t>
            </w:r>
          </w:p>
        </w:tc>
        <w:tc>
          <w:tcPr>
            <w:tcW w:w="8540" w:type="dxa"/>
            <w:vAlign w:val="bottom"/>
            <w:shd w:val="clear" w:color="auto" w:fill="D1D2D4"/>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1620" w:type="dxa"/>
            <w:vAlign w:val="bottom"/>
            <w:shd w:val="clear" w:color="auto" w:fill="D1D2D4"/>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r>
      <w:tr>
        <w:trPr>
          <w:trHeight w:val="229"/>
        </w:trPr>
        <w:tc>
          <w:tcPr>
            <w:tcW w:w="1080" w:type="dxa"/>
            <w:vAlign w:val="bottom"/>
          </w:tcPr>
          <w:p>
            <w:pPr>
              <w:ind w:left="140"/>
              <w:spacing w:after="0"/>
              <w:rPr>
                <w:sz w:val="20"/>
                <w:szCs w:val="20"/>
                <w:color w:val="auto"/>
              </w:rPr>
            </w:pPr>
            <w:r>
              <w:rPr>
                <w:rFonts w:ascii="Arial" w:cs="Arial" w:eastAsia="Arial" w:hAnsi="Arial"/>
                <w:sz w:val="18"/>
                <w:szCs w:val="18"/>
                <w:color w:val="auto"/>
              </w:rPr>
              <w:t>Item 4.</w:t>
            </w:r>
          </w:p>
        </w:tc>
        <w:tc>
          <w:tcPr>
            <w:tcW w:w="854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162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r>
      <w:tr>
        <w:trPr>
          <w:trHeight w:val="230"/>
        </w:trPr>
        <w:tc>
          <w:tcPr>
            <w:tcW w:w="962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620" w:type="dxa"/>
            <w:vAlign w:val="bottom"/>
            <w:shd w:val="clear" w:color="auto" w:fill="D1D2D4"/>
          </w:tcPr>
          <w:p>
            <w:pPr>
              <w:spacing w:after="0"/>
              <w:rPr>
                <w:sz w:val="19"/>
                <w:szCs w:val="19"/>
                <w:color w:val="auto"/>
              </w:rPr>
            </w:pPr>
          </w:p>
        </w:tc>
      </w:tr>
      <w:tr>
        <w:trPr>
          <w:trHeight w:val="229"/>
        </w:trPr>
        <w:tc>
          <w:tcPr>
            <w:tcW w:w="1080" w:type="dxa"/>
            <w:vAlign w:val="bottom"/>
          </w:tcPr>
          <w:p>
            <w:pPr>
              <w:ind w:left="140"/>
              <w:spacing w:after="0"/>
              <w:rPr>
                <w:sz w:val="20"/>
                <w:szCs w:val="20"/>
                <w:color w:val="auto"/>
              </w:rPr>
            </w:pPr>
            <w:r>
              <w:rPr>
                <w:rFonts w:ascii="Arial" w:cs="Arial" w:eastAsia="Arial" w:hAnsi="Arial"/>
                <w:sz w:val="18"/>
                <w:szCs w:val="18"/>
                <w:color w:val="auto"/>
              </w:rPr>
              <w:t>Item 1.</w:t>
            </w:r>
          </w:p>
        </w:tc>
        <w:tc>
          <w:tcPr>
            <w:tcW w:w="854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162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r>
      <w:tr>
        <w:trPr>
          <w:trHeight w:val="230"/>
        </w:trPr>
        <w:tc>
          <w:tcPr>
            <w:tcW w:w="10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1A.</w:t>
            </w:r>
          </w:p>
        </w:tc>
        <w:tc>
          <w:tcPr>
            <w:tcW w:w="8540" w:type="dxa"/>
            <w:vAlign w:val="bottom"/>
            <w:shd w:val="clear" w:color="auto" w:fill="D1D2D4"/>
          </w:tcPr>
          <w:p>
            <w:pPr>
              <w:ind w:left="80"/>
              <w:spacing w:after="0"/>
              <w:rPr>
                <w:sz w:val="20"/>
                <w:szCs w:val="20"/>
                <w:color w:val="auto"/>
              </w:rPr>
            </w:pPr>
            <w:r>
              <w:rPr>
                <w:rFonts w:ascii="Arial" w:cs="Arial" w:eastAsia="Arial" w:hAnsi="Arial"/>
                <w:sz w:val="18"/>
                <w:szCs w:val="18"/>
                <w:color w:val="auto"/>
              </w:rPr>
              <w:t>Risk Factors</w:t>
            </w:r>
          </w:p>
        </w:tc>
        <w:tc>
          <w:tcPr>
            <w:tcW w:w="1620" w:type="dxa"/>
            <w:vAlign w:val="bottom"/>
            <w:shd w:val="clear" w:color="auto" w:fill="D1D2D4"/>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r>
      <w:tr>
        <w:trPr>
          <w:trHeight w:val="229"/>
        </w:trPr>
        <w:tc>
          <w:tcPr>
            <w:tcW w:w="1080" w:type="dxa"/>
            <w:vAlign w:val="bottom"/>
          </w:tcPr>
          <w:p>
            <w:pPr>
              <w:ind w:left="140"/>
              <w:spacing w:after="0"/>
              <w:rPr>
                <w:sz w:val="20"/>
                <w:szCs w:val="20"/>
                <w:color w:val="auto"/>
              </w:rPr>
            </w:pPr>
            <w:r>
              <w:rPr>
                <w:rFonts w:ascii="Arial" w:cs="Arial" w:eastAsia="Arial" w:hAnsi="Arial"/>
                <w:sz w:val="18"/>
                <w:szCs w:val="18"/>
                <w:color w:val="auto"/>
              </w:rPr>
              <w:t>Item 2.</w:t>
            </w:r>
          </w:p>
        </w:tc>
        <w:tc>
          <w:tcPr>
            <w:tcW w:w="8540" w:type="dxa"/>
            <w:vAlign w:val="bottom"/>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162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48</w:t>
              </w:r>
            </w:hyperlink>
          </w:p>
        </w:tc>
      </w:tr>
      <w:tr>
        <w:trPr>
          <w:trHeight w:val="229"/>
        </w:trPr>
        <w:tc>
          <w:tcPr>
            <w:tcW w:w="10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6.</w:t>
            </w:r>
          </w:p>
        </w:tc>
        <w:tc>
          <w:tcPr>
            <w:tcW w:w="8540" w:type="dxa"/>
            <w:vAlign w:val="bottom"/>
            <w:shd w:val="clear" w:color="auto" w:fill="D1D2D4"/>
          </w:tcPr>
          <w:p>
            <w:pPr>
              <w:ind w:left="80"/>
              <w:spacing w:after="0"/>
              <w:rPr>
                <w:sz w:val="20"/>
                <w:szCs w:val="20"/>
                <w:color w:val="auto"/>
              </w:rPr>
            </w:pPr>
            <w:r>
              <w:rPr>
                <w:rFonts w:ascii="Arial" w:cs="Arial" w:eastAsia="Arial" w:hAnsi="Arial"/>
                <w:sz w:val="18"/>
                <w:szCs w:val="18"/>
                <w:color w:val="auto"/>
              </w:rPr>
              <w:t>Exhibits</w:t>
            </w:r>
          </w:p>
        </w:tc>
        <w:tc>
          <w:tcPr>
            <w:tcW w:w="1620" w:type="dxa"/>
            <w:vAlign w:val="bottom"/>
            <w:shd w:val="clear" w:color="auto" w:fill="D1D2D4"/>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49</w:t>
              </w:r>
            </w:hyperlink>
          </w:p>
        </w:tc>
      </w:tr>
      <w:tr>
        <w:trPr>
          <w:trHeight w:val="243"/>
        </w:trPr>
        <w:tc>
          <w:tcPr>
            <w:tcW w:w="1080" w:type="dxa"/>
            <w:vAlign w:val="bottom"/>
          </w:tcPr>
          <w:p>
            <w:pPr>
              <w:ind w:left="140"/>
              <w:spacing w:after="0"/>
              <w:rPr>
                <w:sz w:val="20"/>
                <w:szCs w:val="20"/>
                <w:color w:val="auto"/>
              </w:rPr>
            </w:pPr>
            <w:r>
              <w:rPr>
                <w:rFonts w:ascii="Arial" w:cs="Arial" w:eastAsia="Arial" w:hAnsi="Arial"/>
                <w:sz w:val="18"/>
                <w:szCs w:val="18"/>
                <w:color w:val="auto"/>
              </w:rPr>
              <w:t>Signatures</w:t>
            </w:r>
          </w:p>
        </w:tc>
        <w:tc>
          <w:tcPr>
            <w:tcW w:w="8540" w:type="dxa"/>
            <w:vAlign w:val="bottom"/>
          </w:tcPr>
          <w:p>
            <w:pPr>
              <w:spacing w:after="0"/>
              <w:rPr>
                <w:sz w:val="21"/>
                <w:szCs w:val="21"/>
                <w:color w:val="auto"/>
              </w:rPr>
            </w:pPr>
          </w:p>
        </w:tc>
        <w:tc>
          <w:tcPr>
            <w:tcW w:w="162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 w:name="page4"/>
    <w:bookmarkEnd w:id="3"/>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48"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spacing w:after="0"/>
              <w:rPr>
                <w:sz w:val="19"/>
                <w:szCs w:val="19"/>
                <w:color w:val="auto"/>
              </w:rPr>
            </w:pPr>
          </w:p>
        </w:tc>
        <w:tc>
          <w:tcPr>
            <w:tcW w:w="980" w:type="dxa"/>
            <w:vAlign w:val="bottom"/>
          </w:tcPr>
          <w:p>
            <w:pPr>
              <w:ind w:left="240"/>
              <w:spacing w:after="0"/>
              <w:rPr>
                <w:sz w:val="20"/>
                <w:szCs w:val="20"/>
                <w:color w:val="auto"/>
              </w:rPr>
            </w:pPr>
            <w:r>
              <w:rPr>
                <w:rFonts w:ascii="Arial" w:cs="Arial" w:eastAsia="Arial" w:hAnsi="Arial"/>
                <w:sz w:val="16"/>
                <w:szCs w:val="16"/>
                <w:b w:val="1"/>
                <w:bCs w:val="1"/>
                <w:color w:val="auto"/>
              </w:rPr>
              <w:t>Term</w:t>
            </w:r>
          </w:p>
        </w:tc>
        <w:tc>
          <w:tcPr>
            <w:tcW w:w="980" w:type="dxa"/>
            <w:vAlign w:val="bottom"/>
          </w:tcPr>
          <w:p>
            <w:pPr>
              <w:spacing w:after="0"/>
              <w:rPr>
                <w:sz w:val="19"/>
                <w:szCs w:val="19"/>
                <w:color w:val="auto"/>
              </w:rPr>
            </w:pPr>
          </w:p>
        </w:tc>
        <w:tc>
          <w:tcPr>
            <w:tcW w:w="3200" w:type="dxa"/>
            <w:vAlign w:val="bottom"/>
            <w:gridSpan w:val="2"/>
          </w:tcPr>
          <w:p>
            <w:pPr>
              <w:ind w:left="840"/>
              <w:spacing w:after="0"/>
              <w:rPr>
                <w:sz w:val="20"/>
                <w:szCs w:val="20"/>
                <w:color w:val="auto"/>
              </w:rPr>
            </w:pPr>
            <w:r>
              <w:rPr>
                <w:rFonts w:ascii="Arial" w:cs="Arial" w:eastAsia="Arial" w:hAnsi="Arial"/>
                <w:sz w:val="16"/>
                <w:szCs w:val="16"/>
                <w:b w:val="1"/>
                <w:bCs w:val="1"/>
                <w:color w:val="auto"/>
              </w:rPr>
              <w:t>Definition</w:t>
            </w:r>
          </w:p>
        </w:tc>
        <w:tc>
          <w:tcPr>
            <w:tcW w:w="1560" w:type="dxa"/>
            <w:vAlign w:val="bottom"/>
          </w:tcPr>
          <w:p>
            <w:pPr>
              <w:ind w:left="700"/>
              <w:spacing w:after="0"/>
              <w:rPr>
                <w:sz w:val="20"/>
                <w:szCs w:val="20"/>
                <w:color w:val="auto"/>
              </w:rPr>
            </w:pPr>
            <w:r>
              <w:rPr>
                <w:rFonts w:ascii="Arial" w:cs="Arial" w:eastAsia="Arial" w:hAnsi="Arial"/>
                <w:sz w:val="16"/>
                <w:szCs w:val="16"/>
                <w:b w:val="1"/>
                <w:bCs w:val="1"/>
                <w:color w:val="auto"/>
              </w:rPr>
              <w:t>Term</w:t>
            </w:r>
          </w:p>
        </w:tc>
        <w:tc>
          <w:tcPr>
            <w:tcW w:w="4060" w:type="dxa"/>
            <w:vAlign w:val="bottom"/>
          </w:tcPr>
          <w:p>
            <w:pPr>
              <w:ind w:left="1760"/>
              <w:spacing w:after="0"/>
              <w:rPr>
                <w:sz w:val="20"/>
                <w:szCs w:val="20"/>
                <w:color w:val="auto"/>
              </w:rPr>
            </w:pPr>
            <w:r>
              <w:rPr>
                <w:rFonts w:ascii="Arial" w:cs="Arial" w:eastAsia="Arial" w:hAnsi="Arial"/>
                <w:sz w:val="16"/>
                <w:szCs w:val="16"/>
                <w:b w:val="1"/>
                <w:bCs w:val="1"/>
                <w:color w:val="auto"/>
              </w:rPr>
              <w:t>Definition</w:t>
            </w:r>
          </w:p>
        </w:tc>
      </w:tr>
      <w:tr>
        <w:trPr>
          <w:trHeight w:val="34"/>
        </w:trPr>
        <w:tc>
          <w:tcPr>
            <w:tcW w:w="46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308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top w:val="single" w:sz="8" w:color="0090DA"/>
            </w:tcBorders>
          </w:tcPr>
          <w:p>
            <w:pPr>
              <w:spacing w:after="0"/>
              <w:rPr>
                <w:sz w:val="2"/>
                <w:szCs w:val="2"/>
                <w:color w:val="auto"/>
              </w:rPr>
            </w:pPr>
          </w:p>
        </w:tc>
        <w:tc>
          <w:tcPr>
            <w:tcW w:w="4060" w:type="dxa"/>
            <w:vAlign w:val="bottom"/>
            <w:tcBorders>
              <w:top w:val="single" w:sz="8" w:color="0090DA"/>
            </w:tcBorders>
          </w:tcPr>
          <w:p>
            <w:pPr>
              <w:spacing w:after="0"/>
              <w:rPr>
                <w:sz w:val="2"/>
                <w:szCs w:val="2"/>
                <w:color w:val="auto"/>
              </w:rPr>
            </w:pP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2023</w:t>
            </w:r>
          </w:p>
        </w:tc>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9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8"/>
              </w:rPr>
              <w:t>2.497%</w:t>
            </w:r>
          </w:p>
        </w:tc>
        <w:tc>
          <w:tcPr>
            <w:tcW w:w="320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2023</w:t>
            </w:r>
          </w:p>
        </w:tc>
        <w:tc>
          <w:tcPr>
            <w:tcW w:w="1560" w:type="dxa"/>
            <w:vAlign w:val="bottom"/>
            <w:shd w:val="clear" w:color="auto" w:fill="D1D2D4"/>
          </w:tcPr>
          <w:p>
            <w:pPr>
              <w:spacing w:after="0"/>
              <w:rPr>
                <w:sz w:val="20"/>
                <w:szCs w:val="20"/>
                <w:color w:val="auto"/>
              </w:rPr>
            </w:pPr>
            <w:r>
              <w:rPr>
                <w:rFonts w:ascii="Arial" w:cs="Arial" w:eastAsia="Arial" w:hAnsi="Arial"/>
                <w:sz w:val="18"/>
                <w:szCs w:val="18"/>
                <w:color w:val="auto"/>
              </w:rPr>
              <w:t>GDDR</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Graphics Double Data Rate</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2024</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980" w:type="dxa"/>
            <w:vAlign w:val="bottom"/>
          </w:tcPr>
          <w:p>
            <w:pPr>
              <w:ind w:left="360"/>
              <w:spacing w:after="0"/>
              <w:rPr>
                <w:sz w:val="20"/>
                <w:szCs w:val="20"/>
                <w:color w:val="auto"/>
              </w:rPr>
            </w:pPr>
            <w:r>
              <w:rPr>
                <w:rFonts w:ascii="Arial" w:cs="Arial" w:eastAsia="Arial" w:hAnsi="Arial"/>
                <w:sz w:val="18"/>
                <w:szCs w:val="18"/>
                <w:color w:val="auto"/>
                <w:w w:val="98"/>
              </w:rPr>
              <w:t>4.640%</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2024</w:t>
            </w:r>
          </w:p>
        </w:tc>
        <w:tc>
          <w:tcPr>
            <w:tcW w:w="1560" w:type="dxa"/>
            <w:vAlign w:val="bottom"/>
          </w:tcPr>
          <w:p>
            <w:pPr>
              <w:spacing w:after="0"/>
              <w:rPr>
                <w:sz w:val="20"/>
                <w:szCs w:val="20"/>
                <w:color w:val="auto"/>
              </w:rPr>
            </w:pPr>
            <w:r>
              <w:rPr>
                <w:rFonts w:ascii="Arial" w:cs="Arial" w:eastAsia="Arial" w:hAnsi="Arial"/>
                <w:sz w:val="18"/>
                <w:szCs w:val="18"/>
                <w:color w:val="auto"/>
              </w:rPr>
              <w:t>IMFT</w:t>
            </w:r>
          </w:p>
        </w:tc>
        <w:tc>
          <w:tcPr>
            <w:tcW w:w="4060" w:type="dxa"/>
            <w:vAlign w:val="bottom"/>
          </w:tcPr>
          <w:p>
            <w:pPr>
              <w:ind w:left="240"/>
              <w:spacing w:after="0"/>
              <w:rPr>
                <w:sz w:val="20"/>
                <w:szCs w:val="20"/>
                <w:color w:val="auto"/>
              </w:rPr>
            </w:pPr>
            <w:r>
              <w:rPr>
                <w:rFonts w:ascii="Arial" w:cs="Arial" w:eastAsia="Arial" w:hAnsi="Arial"/>
                <w:sz w:val="18"/>
                <w:szCs w:val="18"/>
                <w:color w:val="auto"/>
              </w:rPr>
              <w:t>IM Flash Technologies, LLC</w:t>
            </w:r>
          </w:p>
        </w:tc>
      </w:tr>
      <w:tr>
        <w:trPr>
          <w:trHeight w:val="229"/>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516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Term Loan A   Senior Term Loan A due 2024</w:t>
            </w:r>
          </w:p>
        </w:tc>
        <w:tc>
          <w:tcPr>
            <w:tcW w:w="1560" w:type="dxa"/>
            <w:vAlign w:val="bottom"/>
            <w:shd w:val="clear" w:color="auto" w:fill="D1D2D4"/>
          </w:tcPr>
          <w:p>
            <w:pPr>
              <w:spacing w:after="0"/>
              <w:rPr>
                <w:sz w:val="20"/>
                <w:szCs w:val="20"/>
                <w:color w:val="auto"/>
              </w:rPr>
            </w:pPr>
            <w:r>
              <w:rPr>
                <w:rFonts w:ascii="Arial" w:cs="Arial" w:eastAsia="Arial" w:hAnsi="Arial"/>
                <w:sz w:val="18"/>
                <w:szCs w:val="18"/>
                <w:color w:val="auto"/>
              </w:rPr>
              <w:t>Inotera</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Inotera Memories, Inc.</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2025</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980" w:type="dxa"/>
            <w:vAlign w:val="bottom"/>
          </w:tcPr>
          <w:p>
            <w:pPr>
              <w:ind w:left="360"/>
              <w:spacing w:after="0"/>
              <w:rPr>
                <w:sz w:val="20"/>
                <w:szCs w:val="20"/>
                <w:color w:val="auto"/>
              </w:rPr>
            </w:pPr>
            <w:r>
              <w:rPr>
                <w:rFonts w:ascii="Arial" w:cs="Arial" w:eastAsia="Arial" w:hAnsi="Arial"/>
                <w:sz w:val="18"/>
                <w:szCs w:val="18"/>
                <w:color w:val="auto"/>
                <w:w w:val="98"/>
              </w:rPr>
              <w:t>5.500%</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2025</w:t>
            </w:r>
          </w:p>
        </w:tc>
        <w:tc>
          <w:tcPr>
            <w:tcW w:w="1560" w:type="dxa"/>
            <w:vAlign w:val="bottom"/>
          </w:tcPr>
          <w:p>
            <w:pPr>
              <w:spacing w:after="0"/>
              <w:rPr>
                <w:sz w:val="20"/>
                <w:szCs w:val="20"/>
                <w:color w:val="auto"/>
              </w:rPr>
            </w:pPr>
            <w:r>
              <w:rPr>
                <w:rFonts w:ascii="Arial" w:cs="Arial" w:eastAsia="Arial" w:hAnsi="Arial"/>
                <w:sz w:val="18"/>
                <w:szCs w:val="18"/>
                <w:color w:val="auto"/>
              </w:rPr>
              <w:t>Intel</w:t>
            </w:r>
          </w:p>
        </w:tc>
        <w:tc>
          <w:tcPr>
            <w:tcW w:w="4060" w:type="dxa"/>
            <w:vAlign w:val="bottom"/>
          </w:tcPr>
          <w:p>
            <w:pPr>
              <w:ind w:left="240"/>
              <w:spacing w:after="0"/>
              <w:rPr>
                <w:sz w:val="20"/>
                <w:szCs w:val="20"/>
                <w:color w:val="auto"/>
              </w:rPr>
            </w:pPr>
            <w:r>
              <w:rPr>
                <w:rFonts w:ascii="Arial" w:cs="Arial" w:eastAsia="Arial" w:hAnsi="Arial"/>
                <w:sz w:val="18"/>
                <w:szCs w:val="18"/>
                <w:color w:val="auto"/>
              </w:rPr>
              <w:t>Intel Corporation</w:t>
            </w:r>
          </w:p>
        </w:tc>
      </w:tr>
      <w:tr>
        <w:trPr>
          <w:trHeight w:val="229"/>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9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8"/>
              </w:rPr>
              <w:t>4.975%</w:t>
            </w:r>
          </w:p>
        </w:tc>
        <w:tc>
          <w:tcPr>
            <w:tcW w:w="320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2026</w:t>
            </w:r>
          </w:p>
        </w:tc>
        <w:tc>
          <w:tcPr>
            <w:tcW w:w="1560" w:type="dxa"/>
            <w:vAlign w:val="bottom"/>
            <w:shd w:val="clear" w:color="auto" w:fill="D1D2D4"/>
          </w:tcPr>
          <w:p>
            <w:pPr>
              <w:spacing w:after="0"/>
              <w:rPr>
                <w:sz w:val="20"/>
                <w:szCs w:val="20"/>
                <w:color w:val="auto"/>
              </w:rPr>
            </w:pPr>
            <w:r>
              <w:rPr>
                <w:rFonts w:ascii="Arial" w:cs="Arial" w:eastAsia="Arial" w:hAnsi="Arial"/>
                <w:sz w:val="18"/>
                <w:szCs w:val="18"/>
                <w:color w:val="auto"/>
              </w:rPr>
              <w:t>MCP</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Multi-Chip Package</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2027</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980" w:type="dxa"/>
            <w:vAlign w:val="bottom"/>
          </w:tcPr>
          <w:p>
            <w:pPr>
              <w:ind w:left="360"/>
              <w:spacing w:after="0"/>
              <w:rPr>
                <w:sz w:val="20"/>
                <w:szCs w:val="20"/>
                <w:color w:val="auto"/>
              </w:rPr>
            </w:pPr>
            <w:r>
              <w:rPr>
                <w:rFonts w:ascii="Arial" w:cs="Arial" w:eastAsia="Arial" w:hAnsi="Arial"/>
                <w:sz w:val="18"/>
                <w:szCs w:val="18"/>
                <w:color w:val="auto"/>
                <w:w w:val="98"/>
              </w:rPr>
              <w:t>4.185%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2027</w:t>
            </w:r>
          </w:p>
        </w:tc>
        <w:tc>
          <w:tcPr>
            <w:tcW w:w="1560" w:type="dxa"/>
            <w:vAlign w:val="bottom"/>
          </w:tcPr>
          <w:p>
            <w:pPr>
              <w:spacing w:after="0"/>
              <w:rPr>
                <w:sz w:val="20"/>
                <w:szCs w:val="20"/>
                <w:color w:val="auto"/>
              </w:rPr>
            </w:pPr>
            <w:r>
              <w:rPr>
                <w:rFonts w:ascii="Arial" w:cs="Arial" w:eastAsia="Arial" w:hAnsi="Arial"/>
                <w:sz w:val="18"/>
                <w:szCs w:val="18"/>
                <w:color w:val="auto"/>
              </w:rPr>
              <w:t>Micron</w:t>
            </w:r>
          </w:p>
        </w:tc>
        <w:tc>
          <w:tcPr>
            <w:tcW w:w="4060" w:type="dxa"/>
            <w:vAlign w:val="bottom"/>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w:t>
            </w:r>
          </w:p>
        </w:tc>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9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8"/>
              </w:rPr>
              <w:t>5.327%</w:t>
            </w:r>
          </w:p>
        </w:tc>
        <w:tc>
          <w:tcPr>
            <w:tcW w:w="320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2029</w:t>
            </w:r>
          </w:p>
        </w:tc>
        <w:tc>
          <w:tcPr>
            <w:tcW w:w="1560" w:type="dxa"/>
            <w:vAlign w:val="bottom"/>
            <w:shd w:val="clear" w:color="auto" w:fill="D1D2D4"/>
          </w:tcPr>
          <w:p>
            <w:pPr>
              <w:spacing w:after="0"/>
              <w:rPr>
                <w:sz w:val="20"/>
                <w:szCs w:val="20"/>
                <w:color w:val="auto"/>
              </w:rPr>
            </w:pPr>
            <w:r>
              <w:rPr>
                <w:rFonts w:ascii="Arial" w:cs="Arial" w:eastAsia="Arial" w:hAnsi="Arial"/>
                <w:sz w:val="18"/>
                <w:szCs w:val="18"/>
                <w:color w:val="auto"/>
              </w:rPr>
              <w:t>MMJ</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Micron Memory Japan, G.K.</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2030</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980" w:type="dxa"/>
            <w:vAlign w:val="bottom"/>
          </w:tcPr>
          <w:p>
            <w:pPr>
              <w:ind w:left="360"/>
              <w:spacing w:after="0"/>
              <w:rPr>
                <w:sz w:val="20"/>
                <w:szCs w:val="20"/>
                <w:color w:val="auto"/>
              </w:rPr>
            </w:pPr>
            <w:r>
              <w:rPr>
                <w:rFonts w:ascii="Arial" w:cs="Arial" w:eastAsia="Arial" w:hAnsi="Arial"/>
                <w:sz w:val="18"/>
                <w:szCs w:val="18"/>
                <w:color w:val="auto"/>
                <w:w w:val="98"/>
              </w:rPr>
              <w:t>4.663%</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2030</w:t>
            </w:r>
          </w:p>
        </w:tc>
        <w:tc>
          <w:tcPr>
            <w:tcW w:w="1560" w:type="dxa"/>
            <w:vAlign w:val="bottom"/>
          </w:tcPr>
          <w:p>
            <w:pPr>
              <w:spacing w:after="0"/>
              <w:rPr>
                <w:sz w:val="20"/>
                <w:szCs w:val="20"/>
                <w:color w:val="auto"/>
              </w:rPr>
            </w:pPr>
            <w:r>
              <w:rPr>
                <w:rFonts w:ascii="Arial" w:cs="Arial" w:eastAsia="Arial" w:hAnsi="Arial"/>
                <w:sz w:val="18"/>
                <w:szCs w:val="18"/>
                <w:color w:val="auto"/>
              </w:rPr>
              <w:t>MTU</w:t>
            </w:r>
          </w:p>
        </w:tc>
        <w:tc>
          <w:tcPr>
            <w:tcW w:w="4060" w:type="dxa"/>
            <w:vAlign w:val="bottom"/>
          </w:tcPr>
          <w:p>
            <w:pPr>
              <w:ind w:left="240"/>
              <w:spacing w:after="0"/>
              <w:rPr>
                <w:sz w:val="20"/>
                <w:szCs w:val="20"/>
                <w:color w:val="auto"/>
              </w:rPr>
            </w:pPr>
            <w:r>
              <w:rPr>
                <w:rFonts w:ascii="Arial" w:cs="Arial" w:eastAsia="Arial" w:hAnsi="Arial"/>
                <w:sz w:val="18"/>
                <w:szCs w:val="18"/>
                <w:color w:val="auto"/>
              </w:rPr>
              <w:t>Micron Technology Utah, LLC</w:t>
            </w:r>
          </w:p>
        </w:tc>
      </w:tr>
      <w:tr>
        <w:trPr>
          <w:trHeight w:val="176"/>
        </w:trPr>
        <w:tc>
          <w:tcPr>
            <w:tcW w:w="1440" w:type="dxa"/>
            <w:vAlign w:val="bottom"/>
            <w:gridSpan w:val="2"/>
            <w:shd w:val="clear" w:color="auto" w:fill="D1D2D4"/>
          </w:tcPr>
          <w:p>
            <w:pPr>
              <w:ind w:left="20"/>
              <w:spacing w:after="0" w:line="176" w:lineRule="exact"/>
              <w:rPr>
                <w:sz w:val="20"/>
                <w:szCs w:val="20"/>
                <w:color w:val="auto"/>
              </w:rPr>
            </w:pPr>
            <w:r>
              <w:rPr>
                <w:rFonts w:ascii="Arial" w:cs="Arial" w:eastAsia="Arial" w:hAnsi="Arial"/>
                <w:sz w:val="18"/>
                <w:szCs w:val="18"/>
                <w:color w:val="auto"/>
              </w:rPr>
              <w:t>2032D Notes</w:t>
            </w:r>
          </w:p>
        </w:tc>
        <w:tc>
          <w:tcPr>
            <w:tcW w:w="980" w:type="dxa"/>
            <w:vAlign w:val="bottom"/>
            <w:shd w:val="clear" w:color="auto" w:fill="D1D2D4"/>
          </w:tcPr>
          <w:p>
            <w:pPr>
              <w:ind w:left="360"/>
              <w:spacing w:after="0" w:line="176" w:lineRule="exact"/>
              <w:rPr>
                <w:sz w:val="20"/>
                <w:szCs w:val="20"/>
                <w:color w:val="auto"/>
              </w:rPr>
            </w:pPr>
            <w:r>
              <w:rPr>
                <w:rFonts w:ascii="Arial" w:cs="Arial" w:eastAsia="Arial" w:hAnsi="Arial"/>
                <w:sz w:val="18"/>
                <w:szCs w:val="18"/>
                <w:color w:val="auto"/>
                <w:w w:val="98"/>
              </w:rPr>
              <w:t>3.125%</w:t>
            </w:r>
          </w:p>
        </w:tc>
        <w:tc>
          <w:tcPr>
            <w:tcW w:w="3200" w:type="dxa"/>
            <w:vAlign w:val="bottom"/>
            <w:gridSpan w:val="2"/>
            <w:shd w:val="clear" w:color="auto" w:fill="D1D2D4"/>
          </w:tcPr>
          <w:p>
            <w:pPr>
              <w:ind w:left="40"/>
              <w:spacing w:after="0" w:line="176" w:lineRule="exact"/>
              <w:rPr>
                <w:sz w:val="20"/>
                <w:szCs w:val="20"/>
                <w:color w:val="auto"/>
              </w:rPr>
            </w:pPr>
            <w:r>
              <w:rPr>
                <w:rFonts w:ascii="Arial" w:cs="Arial" w:eastAsia="Arial" w:hAnsi="Arial"/>
                <w:sz w:val="18"/>
                <w:szCs w:val="18"/>
                <w:color w:val="auto"/>
              </w:rPr>
              <w:t>Convertible Senior Notes due 2032</w:t>
            </w:r>
          </w:p>
        </w:tc>
        <w:tc>
          <w:tcPr>
            <w:tcW w:w="1560" w:type="dxa"/>
            <w:vAlign w:val="bottom"/>
            <w:shd w:val="clear" w:color="auto" w:fill="D1D2D4"/>
          </w:tcPr>
          <w:p>
            <w:pPr>
              <w:spacing w:after="0" w:line="176" w:lineRule="exact"/>
              <w:rPr>
                <w:sz w:val="20"/>
                <w:szCs w:val="20"/>
                <w:color w:val="auto"/>
              </w:rPr>
            </w:pPr>
            <w:r>
              <w:rPr>
                <w:rFonts w:ascii="Arial" w:cs="Arial" w:eastAsia="Arial" w:hAnsi="Arial"/>
                <w:sz w:val="18"/>
                <w:szCs w:val="18"/>
                <w:color w:val="auto"/>
              </w:rPr>
              <w:t>Revolving Credit</w:t>
            </w:r>
          </w:p>
        </w:tc>
        <w:tc>
          <w:tcPr>
            <w:tcW w:w="4060" w:type="dxa"/>
            <w:vAlign w:val="bottom"/>
            <w:shd w:val="clear" w:color="auto" w:fill="D1D2D4"/>
          </w:tcPr>
          <w:p>
            <w:pPr>
              <w:ind w:left="240"/>
              <w:spacing w:after="0" w:line="176" w:lineRule="exact"/>
              <w:rPr>
                <w:sz w:val="20"/>
                <w:szCs w:val="20"/>
                <w:color w:val="auto"/>
              </w:rPr>
            </w:pPr>
            <w:r>
              <w:rPr>
                <w:rFonts w:ascii="Arial" w:cs="Arial" w:eastAsia="Arial" w:hAnsi="Arial"/>
                <w:sz w:val="18"/>
                <w:szCs w:val="18"/>
                <w:color w:val="auto"/>
              </w:rPr>
              <w:t>$2.5 billion Revolving Credit Facility due July</w:t>
            </w:r>
          </w:p>
        </w:tc>
      </w:tr>
      <w:tr>
        <w:trPr>
          <w:trHeight w:val="229"/>
        </w:trPr>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30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560" w:type="dxa"/>
            <w:vAlign w:val="bottom"/>
            <w:shd w:val="clear" w:color="auto" w:fill="D1D2D4"/>
          </w:tcPr>
          <w:p>
            <w:pPr>
              <w:spacing w:after="0"/>
              <w:rPr>
                <w:sz w:val="20"/>
                <w:szCs w:val="20"/>
                <w:color w:val="auto"/>
              </w:rPr>
            </w:pPr>
            <w:r>
              <w:rPr>
                <w:rFonts w:ascii="Arial" w:cs="Arial" w:eastAsia="Arial" w:hAnsi="Arial"/>
                <w:sz w:val="18"/>
                <w:szCs w:val="18"/>
                <w:color w:val="auto"/>
              </w:rPr>
              <w:t>Facility</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2023</w:t>
            </w:r>
          </w:p>
        </w:tc>
      </w:tr>
      <w:tr>
        <w:trPr>
          <w:trHeight w:val="243"/>
        </w:trPr>
        <w:tc>
          <w:tcPr>
            <w:tcW w:w="460" w:type="dxa"/>
            <w:vAlign w:val="bottom"/>
          </w:tcPr>
          <w:p>
            <w:pPr>
              <w:ind w:left="20"/>
              <w:spacing w:after="0"/>
              <w:rPr>
                <w:sz w:val="20"/>
                <w:szCs w:val="20"/>
                <w:color w:val="auto"/>
              </w:rPr>
            </w:pPr>
            <w:r>
              <w:rPr>
                <w:rFonts w:ascii="Arial" w:cs="Arial" w:eastAsia="Arial" w:hAnsi="Arial"/>
                <w:sz w:val="18"/>
                <w:szCs w:val="18"/>
                <w:color w:val="auto"/>
              </w:rPr>
              <w:t>DDR</w:t>
            </w:r>
          </w:p>
        </w:tc>
        <w:tc>
          <w:tcPr>
            <w:tcW w:w="980" w:type="dxa"/>
            <w:vAlign w:val="bottom"/>
          </w:tcPr>
          <w:p>
            <w:pPr>
              <w:spacing w:after="0"/>
              <w:rPr>
                <w:sz w:val="21"/>
                <w:szCs w:val="21"/>
                <w:color w:val="auto"/>
              </w:rPr>
            </w:pP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Double Data Rate</w:t>
            </w:r>
          </w:p>
        </w:tc>
        <w:tc>
          <w:tcPr>
            <w:tcW w:w="1560" w:type="dxa"/>
            <w:vAlign w:val="bottom"/>
          </w:tcPr>
          <w:p>
            <w:pPr>
              <w:spacing w:after="0"/>
              <w:rPr>
                <w:sz w:val="20"/>
                <w:szCs w:val="20"/>
                <w:color w:val="auto"/>
              </w:rPr>
            </w:pPr>
            <w:r>
              <w:rPr>
                <w:rFonts w:ascii="Arial" w:cs="Arial" w:eastAsia="Arial" w:hAnsi="Arial"/>
                <w:sz w:val="18"/>
                <w:szCs w:val="18"/>
                <w:color w:val="auto"/>
              </w:rPr>
              <w:t>SSD</w:t>
            </w:r>
          </w:p>
        </w:tc>
        <w:tc>
          <w:tcPr>
            <w:tcW w:w="4060" w:type="dxa"/>
            <w:vAlign w:val="bottom"/>
          </w:tcPr>
          <w:p>
            <w:pPr>
              <w:ind w:left="240"/>
              <w:spacing w:after="0"/>
              <w:rPr>
                <w:sz w:val="20"/>
                <w:szCs w:val="20"/>
                <w:color w:val="auto"/>
              </w:rPr>
            </w:pPr>
            <w:r>
              <w:rPr>
                <w:rFonts w:ascii="Arial" w:cs="Arial" w:eastAsia="Arial" w:hAnsi="Arial"/>
                <w:sz w:val="18"/>
                <w:szCs w:val="18"/>
                <w:color w:val="auto"/>
              </w:rPr>
              <w:t>Solid State Drive</w:t>
            </w:r>
          </w:p>
        </w:tc>
      </w:tr>
    </w:tbl>
    <w:p>
      <w:pPr>
        <w:spacing w:after="0" w:line="207"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Micron Technology, Inc., including its consolidated subsidiaries, is an industry leader in innovative memory and storage solutions. Through our global brands — Micron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Crucial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 our broad portfolio of high-performance memory and storage technologies, including DRAM, NAND, 3D XPoint</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memory, and NOR, is transforming how the world uses information to enrich life </w:t>
      </w:r>
      <w:r>
        <w:rPr>
          <w:rFonts w:ascii="Arial" w:cs="Arial" w:eastAsia="Arial" w:hAnsi="Arial"/>
          <w:sz w:val="17"/>
          <w:szCs w:val="17"/>
          <w:i w:val="1"/>
          <w:iCs w:val="1"/>
          <w:color w:val="auto"/>
        </w:rPr>
        <w:t>for all</w:t>
      </w:r>
      <w:r>
        <w:rPr>
          <w:rFonts w:ascii="Arial" w:cs="Arial" w:eastAsia="Arial" w:hAnsi="Arial"/>
          <w:sz w:val="17"/>
          <w:szCs w:val="17"/>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Micron, Crucial, any associated logos, and all other Micron trademarks are the property of Micron. Intel and 3D XPoint are trademarks of Intel Corporation or its subsidiaries. Other product names or trademarks that are not owned by Micron are for identification purposes only and may be the trademarks of their respective owners.</w:t>
      </w:r>
    </w:p>
    <w:p>
      <w:pPr>
        <w:spacing w:after="0" w:line="17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48"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(the “SEC”), press releases, public conference calls,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19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4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Such forward-looking statements may be identified by words such as "anticipate," "expect," "intend," "pledge," "committed," "plans," "opportunities," "future," "believe," "target," "on track," "estimate," "continue," "likely," "may," "will," "would," "should," "could," and variations of such words and similar expressions. Specific forward-looking statements include, but are not limited to, statements such as those made regarding the impact of coronavirus disease 2019 (“COVID-19”) to our business; underutilization of MTU manufacturing capacity; the effect of a switch to the FIFO inventory accounting method and changes in our inventory cost absorption process in the second quarter of 2021; the sufficiency of our cash and investments; and capital spending in 2021.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 w:name="page5"/>
    <w:bookmarkEnd w:id="4"/>
    <w:p>
      <w:pPr>
        <w:spacing w:after="0"/>
        <w:rPr>
          <w:sz w:val="20"/>
          <w:szCs w:val="20"/>
          <w:color w:val="auto"/>
        </w:rPr>
      </w:pPr>
      <w:r>
        <w:rPr>
          <w:rFonts w:ascii="Arial" w:cs="Arial" w:eastAsia="Arial" w:hAnsi="Arial"/>
          <w:sz w:val="29"/>
          <w:szCs w:val="29"/>
          <w:b w:val="1"/>
          <w:bCs w:val="1"/>
          <w:color w:val="auto"/>
        </w:rPr>
        <w:t>PART I.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5,773</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43"/>
        </w:trPr>
        <w:tc>
          <w:tcPr>
            <w:tcW w:w="8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05"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10080"/>
        <w:spacing w:after="0"/>
        <w:rPr>
          <w:sz w:val="20"/>
          <w:szCs w:val="20"/>
          <w:color w:val="auto"/>
        </w:rPr>
      </w:pPr>
      <w:r>
        <w:rPr>
          <w:sz w:val="1"/>
          <w:szCs w:val="1"/>
          <w:color w:val="auto"/>
        </w:rPr>
        <w:drawing>
          <wp:inline distT="0" distB="0" distL="0" distR="0">
            <wp:extent cx="643255" cy="179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2"/>
          <w:szCs w:val="12"/>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0"/>
          <w:szCs w:val="40"/>
          <w:b w:val="1"/>
          <w:bCs w:val="1"/>
          <w:color w:val="auto"/>
        </w:rPr>
        <w:t>Micron Technology, Inc.</w:t>
      </w:r>
    </w:p>
    <w:p>
      <w:pPr>
        <w:spacing w:after="0" w:line="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w:t>
            </w:r>
          </w:p>
        </w:tc>
        <w:tc>
          <w:tcPr>
            <w:tcW w:w="140" w:type="dxa"/>
            <w:vAlign w:val="bottom"/>
          </w:tcPr>
          <w:p>
            <w:pPr>
              <w:spacing w:after="0"/>
              <w:rPr>
                <w:sz w:val="17"/>
                <w:szCs w:val="17"/>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November 28,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Gains (losses) on investments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Pension liability adjustments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Comprehensive income attributable to Micron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3"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20"/>
          <w:szCs w:val="20"/>
          <w:b w:val="1"/>
          <w:bCs w:val="1"/>
          <w:color w:val="0090DA"/>
        </w:rPr>
        <w:t>|</w:t>
      </w:r>
      <w:r>
        <w:rPr>
          <w:rFonts w:ascii="Arial" w:cs="Arial" w:eastAsia="Arial" w:hAnsi="Arial"/>
          <w:sz w:val="17"/>
          <w:szCs w:val="17"/>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40"/>
          <w:szCs w:val="40"/>
          <w:b w:val="1"/>
          <w:bCs w:val="1"/>
          <w:color w:val="auto"/>
        </w:rPr>
        <w:t>Micron Technology, Inc.</w:t>
      </w:r>
    </w:p>
    <w:p>
      <w:pPr>
        <w:spacing w:after="0" w:line="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par value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w:t>
            </w:r>
          </w:p>
        </w:tc>
        <w:tc>
          <w:tcPr>
            <w:tcW w:w="14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5,985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1,047</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3,691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5,521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16,529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17,965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32,229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53,691</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4,856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5,688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6,356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555</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13,784</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3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D1D2D4"/>
          </w:tcPr>
          <w:p>
            <w:pPr>
              <w:ind w:left="140"/>
              <w:spacing w:after="0" w:line="176" w:lineRule="exact"/>
              <w:rPr>
                <w:sz w:val="20"/>
                <w:szCs w:val="20"/>
                <w:color w:val="auto"/>
              </w:rPr>
            </w:pPr>
            <w:r>
              <w:rPr>
                <w:rFonts w:ascii="Arial" w:cs="Arial" w:eastAsia="Arial" w:hAnsi="Arial"/>
                <w:sz w:val="18"/>
                <w:szCs w:val="18"/>
                <w:color w:val="auto"/>
              </w:rPr>
              <w:t>Common stock, $0.10 par value, 3,000 shares authorized, 1,198 shares issued and 1,117 outstanding</w:t>
            </w:r>
          </w:p>
        </w:tc>
        <w:tc>
          <w:tcPr>
            <w:tcW w:w="140" w:type="dxa"/>
            <w:vAlign w:val="bottom"/>
            <w:shd w:val="clear" w:color="auto" w:fill="D1D2D4"/>
          </w:tcPr>
          <w:p>
            <w:pPr>
              <w:spacing w:after="0"/>
              <w:rPr>
                <w:sz w:val="15"/>
                <w:szCs w:val="15"/>
                <w:color w:val="auto"/>
              </w:rPr>
            </w:pPr>
          </w:p>
        </w:tc>
        <w:tc>
          <w:tcPr>
            <w:tcW w:w="13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D1D2D4"/>
          </w:tcPr>
          <w:p>
            <w:pPr>
              <w:spacing w:after="0"/>
              <w:rPr>
                <w:sz w:val="15"/>
                <w:szCs w:val="15"/>
                <w:color w:val="auto"/>
              </w:rPr>
            </w:pPr>
          </w:p>
        </w:tc>
        <w:tc>
          <w:tcPr>
            <w:tcW w:w="13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(1,194 shares issued and 1,113 outstanding as of September 3, 2020)</w:t>
            </w:r>
          </w:p>
        </w:tc>
        <w:tc>
          <w:tcPr>
            <w:tcW w:w="140" w:type="dxa"/>
            <w:vAlign w:val="bottom"/>
            <w:shd w:val="clear" w:color="auto" w:fill="D1D2D4"/>
          </w:tcPr>
          <w:p>
            <w:pPr>
              <w:spacing w:after="0"/>
              <w:rPr>
                <w:sz w:val="19"/>
                <w:szCs w:val="19"/>
                <w:color w:val="auto"/>
              </w:rPr>
            </w:pPr>
          </w:p>
        </w:tc>
        <w:tc>
          <w:tcPr>
            <w:tcW w:w="1300" w:type="dxa"/>
            <w:vAlign w:val="bottom"/>
            <w:vMerge w:val="continue"/>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20"/>
              <w:spacing w:after="0"/>
              <w:rPr>
                <w:sz w:val="20"/>
                <w:szCs w:val="20"/>
                <w:color w:val="auto"/>
              </w:rPr>
            </w:pPr>
            <w:r>
              <w:rPr>
                <w:rFonts w:ascii="Arial" w:cs="Arial" w:eastAsia="Arial" w:hAnsi="Arial"/>
                <w:sz w:val="18"/>
                <w:szCs w:val="18"/>
                <w:color w:val="auto"/>
              </w:rPr>
              <w:t>Additional capital</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9,034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34,138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33,384</w:t>
            </w:r>
          </w:p>
        </w:tc>
        <w:tc>
          <w:tcPr>
            <w:tcW w:w="0" w:type="dxa"/>
            <w:vAlign w:val="bottom"/>
          </w:tcPr>
          <w:p>
            <w:pPr>
              <w:spacing w:after="0"/>
              <w:rPr>
                <w:sz w:val="1"/>
                <w:szCs w:val="1"/>
                <w:color w:val="auto"/>
              </w:rPr>
            </w:pPr>
          </w:p>
        </w:tc>
      </w:tr>
      <w:tr>
        <w:trPr>
          <w:trHeight w:val="229"/>
        </w:trPr>
        <w:tc>
          <w:tcPr>
            <w:tcW w:w="8360" w:type="dxa"/>
            <w:vAlign w:val="bottom"/>
          </w:tcPr>
          <w:p>
            <w:pPr>
              <w:ind w:left="120"/>
              <w:spacing w:after="0"/>
              <w:rPr>
                <w:sz w:val="20"/>
                <w:szCs w:val="20"/>
                <w:color w:val="auto"/>
              </w:rPr>
            </w:pPr>
            <w:r>
              <w:rPr>
                <w:rFonts w:ascii="Arial" w:cs="Arial" w:eastAsia="Arial" w:hAnsi="Arial"/>
                <w:sz w:val="18"/>
                <w:szCs w:val="18"/>
                <w:color w:val="auto"/>
              </w:rPr>
              <w:t>Treasury stock, 81 shares held (81 shares held as of September 3, 2020)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2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53,691</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3"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10080"/>
        <w:spacing w:after="0"/>
        <w:rPr>
          <w:sz w:val="20"/>
          <w:szCs w:val="20"/>
          <w:color w:val="auto"/>
        </w:rPr>
      </w:pPr>
      <w:r>
        <w:rPr>
          <w:sz w:val="1"/>
          <w:szCs w:val="1"/>
          <w:color w:val="auto"/>
        </w:rPr>
        <w:drawing>
          <wp:inline distT="0" distB="0" distL="0" distR="0">
            <wp:extent cx="643255" cy="1797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2"/>
          <w:szCs w:val="12"/>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40"/>
          <w:szCs w:val="40"/>
          <w:b w:val="1"/>
          <w:bCs w:val="1"/>
          <w:color w:val="auto"/>
        </w:rPr>
        <w:t>Micron Technology, Inc.</w:t>
      </w:r>
    </w:p>
    <w:p>
      <w:pPr>
        <w:spacing w:after="0" w:line="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bottom w:val="single" w:sz="8" w:color="0090DA"/>
            </w:tcBorders>
            <w:gridSpan w:val="5"/>
          </w:tcPr>
          <w:p>
            <w:pPr>
              <w:ind w:left="14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Accumulated</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vMerge w:val="restart"/>
          </w:tcPr>
          <w:p>
            <w:pPr>
              <w:jc w:val="center"/>
              <w:spacing w:after="0" w:line="183" w:lineRule="exact"/>
              <w:rPr>
                <w:sz w:val="20"/>
                <w:szCs w:val="20"/>
                <w:color w:val="auto"/>
              </w:rPr>
            </w:pPr>
            <w:r>
              <w:rPr>
                <w:rFonts w:ascii="Arial" w:cs="Arial" w:eastAsia="Arial" w:hAnsi="Arial"/>
                <w:sz w:val="16"/>
                <w:szCs w:val="16"/>
                <w:b w:val="1"/>
                <w:bCs w:val="1"/>
                <w:color w:val="auto"/>
                <w:w w:val="99"/>
              </w:rPr>
              <w:t>Number</w:t>
            </w: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vMerge w:val="restart"/>
          </w:tcPr>
          <w:p>
            <w:pPr>
              <w:jc w:val="right"/>
              <w:ind w:right="312"/>
              <w:spacing w:after="0" w:line="183"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line="20" w:lineRule="exact"/>
              <w:rPr>
                <w:sz w:val="1"/>
                <w:szCs w:val="1"/>
                <w:color w:val="auto"/>
              </w:rPr>
            </w:pPr>
          </w:p>
        </w:tc>
      </w:tr>
      <w:tr>
        <w:trPr>
          <w:trHeight w:val="162"/>
        </w:trPr>
        <w:tc>
          <w:tcPr>
            <w:tcW w:w="2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8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8"/>
              </w:rPr>
              <w:t>Other</w:t>
            </w:r>
          </w:p>
        </w:tc>
        <w:tc>
          <w:tcPr>
            <w:tcW w:w="4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of</w:t>
            </w:r>
          </w:p>
        </w:tc>
        <w:tc>
          <w:tcPr>
            <w:tcW w:w="7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90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240" w:type="dxa"/>
            <w:vAlign w:val="bottom"/>
            <w:gridSpan w:val="6"/>
          </w:tcPr>
          <w:p>
            <w:pPr>
              <w:jc w:val="right"/>
              <w:spacing w:after="0" w:line="162" w:lineRule="exact"/>
              <w:rPr>
                <w:sz w:val="20"/>
                <w:szCs w:val="20"/>
                <w:color w:val="auto"/>
              </w:rPr>
            </w:pPr>
            <w:r>
              <w:rPr>
                <w:rFonts w:ascii="Arial" w:cs="Arial" w:eastAsia="Arial" w:hAnsi="Arial"/>
                <w:sz w:val="16"/>
                <w:szCs w:val="16"/>
                <w:b w:val="1"/>
                <w:bCs w:val="1"/>
                <w:color w:val="auto"/>
              </w:rPr>
              <w:t>Treasury Comprehensive Shareholders’</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0090DA"/>
            </w:tcBorders>
          </w:tcPr>
          <w:p>
            <w:pPr>
              <w:spacing w:after="0"/>
              <w:rPr>
                <w:sz w:val="18"/>
                <w:szCs w:val="18"/>
                <w:color w:val="auto"/>
              </w:rPr>
            </w:pPr>
          </w:p>
        </w:tc>
        <w:tc>
          <w:tcPr>
            <w:tcW w:w="40" w:type="dxa"/>
            <w:vAlign w:val="bottom"/>
            <w:tcBorders>
              <w:bottom w:val="single" w:sz="8" w:color="0090DA"/>
            </w:tcBorders>
          </w:tcPr>
          <w:p>
            <w:pPr>
              <w:spacing w:after="0"/>
              <w:rPr>
                <w:sz w:val="18"/>
                <w:szCs w:val="18"/>
                <w:color w:val="auto"/>
              </w:rPr>
            </w:pPr>
          </w:p>
        </w:tc>
        <w:tc>
          <w:tcPr>
            <w:tcW w:w="640" w:type="dxa"/>
            <w:vAlign w:val="bottom"/>
            <w:tcBorders>
              <w:bottom w:val="single" w:sz="8" w:color="0090DA"/>
            </w:tcBorders>
          </w:tcPr>
          <w:p>
            <w:pPr>
              <w:spacing w:after="0"/>
              <w:rPr>
                <w:sz w:val="18"/>
                <w:szCs w:val="18"/>
                <w:color w:val="auto"/>
              </w:rPr>
            </w:pPr>
          </w:p>
        </w:tc>
        <w:tc>
          <w:tcPr>
            <w:tcW w:w="280" w:type="dxa"/>
            <w:vAlign w:val="bottom"/>
            <w:tcBorders>
              <w:bottom w:val="single" w:sz="8" w:color="0090DA"/>
            </w:tcBorders>
          </w:tcPr>
          <w:p>
            <w:pPr>
              <w:spacing w:after="0"/>
              <w:rPr>
                <w:sz w:val="18"/>
                <w:szCs w:val="18"/>
                <w:color w:val="auto"/>
              </w:rPr>
            </w:pPr>
          </w:p>
        </w:tc>
        <w:tc>
          <w:tcPr>
            <w:tcW w:w="500" w:type="dxa"/>
            <w:vAlign w:val="bottom"/>
            <w:tcBorders>
              <w:bottom w:val="single" w:sz="8" w:color="0090DA"/>
            </w:tcBorders>
          </w:tcPr>
          <w:p>
            <w:pPr>
              <w:spacing w:after="0"/>
              <w:rPr>
                <w:sz w:val="18"/>
                <w:szCs w:val="18"/>
                <w:color w:val="auto"/>
              </w:rPr>
            </w:pPr>
          </w:p>
        </w:tc>
        <w:tc>
          <w:tcPr>
            <w:tcW w:w="140" w:type="dxa"/>
            <w:vAlign w:val="bottom"/>
            <w:tcBorders>
              <w:bottom w:val="single" w:sz="8" w:color="0090DA"/>
            </w:tcBorders>
          </w:tcPr>
          <w:p>
            <w:pPr>
              <w:spacing w:after="0"/>
              <w:rPr>
                <w:sz w:val="18"/>
                <w:szCs w:val="18"/>
                <w:color w:val="auto"/>
              </w:rPr>
            </w:pPr>
          </w:p>
        </w:tc>
        <w:tc>
          <w:tcPr>
            <w:tcW w:w="360" w:type="dxa"/>
            <w:vAlign w:val="bottom"/>
            <w:tcBorders>
              <w:bottom w:val="single" w:sz="8" w:color="0090DA"/>
            </w:tcBorders>
          </w:tcPr>
          <w:p>
            <w:pPr>
              <w:spacing w:after="0"/>
              <w:rPr>
                <w:sz w:val="18"/>
                <w:szCs w:val="18"/>
                <w:color w:val="auto"/>
              </w:rPr>
            </w:pPr>
          </w:p>
        </w:tc>
        <w:tc>
          <w:tcPr>
            <w:tcW w:w="70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Shares</w:t>
            </w:r>
          </w:p>
        </w:tc>
        <w:tc>
          <w:tcPr>
            <w:tcW w:w="760" w:type="dxa"/>
            <w:vAlign w:val="bottom"/>
            <w:tcBorders>
              <w:bottom w:val="single" w:sz="8" w:color="0090DA"/>
            </w:tcBorders>
            <w:gridSpan w:val="3"/>
            <w:vMerge w:val="continue"/>
          </w:tcPr>
          <w:p>
            <w:pPr>
              <w:spacing w:after="0"/>
              <w:rPr>
                <w:sz w:val="18"/>
                <w:szCs w:val="18"/>
                <w:color w:val="auto"/>
              </w:rPr>
            </w:pPr>
          </w:p>
        </w:tc>
        <w:tc>
          <w:tcPr>
            <w:tcW w:w="140" w:type="dxa"/>
            <w:vAlign w:val="bottom"/>
            <w:tcBorders>
              <w:bottom w:val="single" w:sz="8" w:color="0090DA"/>
            </w:tcBorders>
          </w:tcPr>
          <w:p>
            <w:pPr>
              <w:spacing w:after="0"/>
              <w:rPr>
                <w:sz w:val="18"/>
                <w:szCs w:val="18"/>
                <w:color w:val="auto"/>
              </w:rPr>
            </w:pPr>
          </w:p>
        </w:tc>
        <w:tc>
          <w:tcPr>
            <w:tcW w:w="760" w:type="dxa"/>
            <w:vAlign w:val="bottom"/>
            <w:tcBorders>
              <w:bottom w:val="single" w:sz="8" w:color="0090DA"/>
            </w:tcBorders>
            <w:gridSpan w:val="2"/>
          </w:tcPr>
          <w:p>
            <w:pPr>
              <w:jc w:val="right"/>
              <w:ind w:right="92"/>
              <w:spacing w:after="0"/>
              <w:rPr>
                <w:sz w:val="20"/>
                <w:szCs w:val="20"/>
                <w:color w:val="auto"/>
              </w:rPr>
            </w:pPr>
            <w:r>
              <w:rPr>
                <w:rFonts w:ascii="Arial" w:cs="Arial" w:eastAsia="Arial" w:hAnsi="Arial"/>
                <w:sz w:val="16"/>
                <w:szCs w:val="16"/>
                <w:b w:val="1"/>
                <w:bCs w:val="1"/>
                <w:color w:val="auto"/>
              </w:rPr>
              <w:t>Capital</w:t>
            </w:r>
          </w:p>
        </w:tc>
        <w:tc>
          <w:tcPr>
            <w:tcW w:w="820" w:type="dxa"/>
            <w:vAlign w:val="bottom"/>
            <w:tcBorders>
              <w:bottom w:val="single" w:sz="8" w:color="0090DA"/>
            </w:tcBorders>
          </w:tcPr>
          <w:p>
            <w:pPr>
              <w:ind w:left="60"/>
              <w:spacing w:after="0"/>
              <w:rPr>
                <w:sz w:val="20"/>
                <w:szCs w:val="20"/>
                <w:color w:val="auto"/>
              </w:rPr>
            </w:pPr>
            <w:r>
              <w:rPr>
                <w:rFonts w:ascii="Arial" w:cs="Arial" w:eastAsia="Arial" w:hAnsi="Arial"/>
                <w:sz w:val="16"/>
                <w:szCs w:val="16"/>
                <w:b w:val="1"/>
                <w:bCs w:val="1"/>
                <w:color w:val="auto"/>
              </w:rPr>
              <w:t>Earnings</w:t>
            </w:r>
          </w:p>
        </w:tc>
        <w:tc>
          <w:tcPr>
            <w:tcW w:w="76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Stock</w:t>
            </w:r>
          </w:p>
        </w:tc>
        <w:tc>
          <w:tcPr>
            <w:tcW w:w="124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1240" w:type="dxa"/>
            <w:vAlign w:val="bottom"/>
            <w:tcBorders>
              <w:bottom w:val="single" w:sz="8" w:color="0090DA"/>
            </w:tcBorders>
            <w:gridSpan w:val="2"/>
          </w:tcPr>
          <w:p>
            <w:pPr>
              <w:jc w:val="right"/>
              <w:ind w:right="25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4"/>
        </w:trPr>
        <w:tc>
          <w:tcPr>
            <w:tcW w:w="2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00" w:type="dxa"/>
            <w:vAlign w:val="bottom"/>
            <w:gridSpan w:val="2"/>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September 3, 2020</w:t>
            </w:r>
          </w:p>
        </w:tc>
        <w:tc>
          <w:tcPr>
            <w:tcW w:w="64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060" w:type="dxa"/>
            <w:vAlign w:val="bottom"/>
            <w:gridSpan w:val="3"/>
            <w:shd w:val="clear" w:color="auto" w:fill="D1D2D4"/>
          </w:tcPr>
          <w:p>
            <w:pPr>
              <w:jc w:val="right"/>
              <w:spacing w:after="0"/>
              <w:rPr>
                <w:sz w:val="20"/>
                <w:szCs w:val="20"/>
                <w:color w:val="auto"/>
              </w:rPr>
            </w:pPr>
            <w:r>
              <w:rPr>
                <w:rFonts w:ascii="Arial" w:cs="Arial" w:eastAsia="Arial" w:hAnsi="Arial"/>
                <w:sz w:val="18"/>
                <w:szCs w:val="18"/>
                <w:color w:val="auto"/>
              </w:rPr>
              <w:t>1,194</w:t>
            </w:r>
          </w:p>
        </w:tc>
        <w:tc>
          <w:tcPr>
            <w:tcW w:w="1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8,917</w:t>
            </w:r>
          </w:p>
        </w:tc>
        <w:tc>
          <w:tcPr>
            <w:tcW w:w="82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w w:val="99"/>
              </w:rPr>
              <w:t>$ 33,384</w:t>
            </w:r>
          </w:p>
        </w:tc>
        <w:tc>
          <w:tcPr>
            <w:tcW w:w="760" w:type="dxa"/>
            <w:vAlign w:val="bottom"/>
            <w:gridSpan w:val="2"/>
            <w:shd w:val="clear" w:color="auto" w:fill="D1D2D4"/>
          </w:tcPr>
          <w:p>
            <w:pPr>
              <w:jc w:val="center"/>
              <w:spacing w:after="0"/>
              <w:rPr>
                <w:sz w:val="20"/>
                <w:szCs w:val="20"/>
                <w:color w:val="auto"/>
              </w:rPr>
            </w:pPr>
            <w:r>
              <w:rPr>
                <w:rFonts w:ascii="Arial" w:cs="Arial" w:eastAsia="Arial" w:hAnsi="Arial"/>
                <w:sz w:val="18"/>
                <w:szCs w:val="18"/>
                <w:color w:val="auto"/>
              </w:rPr>
              <w:t>$ (3,495)</w:t>
            </w:r>
          </w:p>
        </w:tc>
        <w:tc>
          <w:tcPr>
            <w:tcW w:w="500" w:type="dxa"/>
            <w:vAlign w:val="bottom"/>
            <w:shd w:val="clear" w:color="auto" w:fill="D1D2D4"/>
          </w:tcPr>
          <w:p>
            <w:pPr>
              <w:jc w:val="right"/>
              <w:ind w:right="29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460" w:type="dxa"/>
            <w:vAlign w:val="bottom"/>
            <w:shd w:val="clear" w:color="auto" w:fill="D1D2D4"/>
          </w:tcPr>
          <w:p>
            <w:pPr>
              <w:jc w:val="right"/>
              <w:ind w:right="191"/>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38,996</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64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560" w:type="dxa"/>
            <w:vAlign w:val="bottom"/>
            <w:shd w:val="clear" w:color="auto" w:fill="D1D2D4"/>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46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Stock issued under stock plans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64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82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560" w:type="dxa"/>
            <w:vAlign w:val="bottom"/>
            <w:shd w:val="clear" w:color="auto" w:fill="D1D2D4"/>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D1D2D4"/>
            </w:tcBorders>
            <w:gridSpan w:val="2"/>
          </w:tcPr>
          <w:p>
            <w:pPr>
              <w:ind w:left="20"/>
              <w:spacing w:after="0"/>
              <w:rPr>
                <w:sz w:val="20"/>
                <w:szCs w:val="20"/>
                <w:color w:val="auto"/>
              </w:rPr>
            </w:pPr>
            <w:r>
              <w:rPr>
                <w:rFonts w:ascii="Arial" w:cs="Arial" w:eastAsia="Arial" w:hAnsi="Arial"/>
                <w:sz w:val="16"/>
                <w:szCs w:val="16"/>
                <w:color w:val="auto"/>
              </w:rPr>
              <w:t>Repurchase of stock</w:t>
            </w:r>
          </w:p>
        </w:tc>
        <w:tc>
          <w:tcPr>
            <w:tcW w:w="640" w:type="dxa"/>
            <w:vAlign w:val="bottom"/>
            <w:tcBorders>
              <w:bottom w:val="single" w:sz="8" w:color="D1D2D4"/>
            </w:tcBorders>
          </w:tcPr>
          <w:p>
            <w:pPr>
              <w:spacing w:after="0"/>
              <w:rPr>
                <w:sz w:val="19"/>
                <w:szCs w:val="19"/>
                <w:color w:val="auto"/>
              </w:rPr>
            </w:pPr>
          </w:p>
        </w:tc>
        <w:tc>
          <w:tcPr>
            <w:tcW w:w="280" w:type="dxa"/>
            <w:vAlign w:val="bottom"/>
            <w:tcBorders>
              <w:bottom w:val="single" w:sz="8" w:color="D1D2D4"/>
            </w:tcBorders>
          </w:tcPr>
          <w:p>
            <w:pPr>
              <w:spacing w:after="0"/>
              <w:rPr>
                <w:sz w:val="19"/>
                <w:szCs w:val="19"/>
                <w:color w:val="auto"/>
              </w:rPr>
            </w:pPr>
          </w:p>
        </w:tc>
        <w:tc>
          <w:tcPr>
            <w:tcW w:w="500" w:type="dxa"/>
            <w:vAlign w:val="bottom"/>
            <w:tcBorders>
              <w:bottom w:val="single" w:sz="8" w:color="D1D2D4"/>
            </w:tcBorders>
          </w:tcPr>
          <w:p>
            <w:pPr>
              <w:spacing w:after="0"/>
              <w:rPr>
                <w:sz w:val="19"/>
                <w:szCs w:val="19"/>
                <w:color w:val="auto"/>
              </w:rPr>
            </w:pPr>
          </w:p>
        </w:tc>
        <w:tc>
          <w:tcPr>
            <w:tcW w:w="140" w:type="dxa"/>
            <w:vAlign w:val="bottom"/>
            <w:tcBorders>
              <w:bottom w:val="single" w:sz="8" w:color="D1D2D4"/>
            </w:tcBorders>
          </w:tcPr>
          <w:p>
            <w:pPr>
              <w:spacing w:after="0"/>
              <w:rPr>
                <w:sz w:val="19"/>
                <w:szCs w:val="19"/>
                <w:color w:val="auto"/>
              </w:rPr>
            </w:pPr>
          </w:p>
        </w:tc>
        <w:tc>
          <w:tcPr>
            <w:tcW w:w="360" w:type="dxa"/>
            <w:vAlign w:val="bottom"/>
            <w:tcBorders>
              <w:bottom w:val="single" w:sz="8" w:color="D1D2D4"/>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D1D2D4"/>
            </w:tcBorders>
            <w:gridSpan w:val="2"/>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December 3, 2020</w:t>
            </w:r>
          </w:p>
        </w:tc>
        <w:tc>
          <w:tcPr>
            <w:tcW w:w="640" w:type="dxa"/>
            <w:vAlign w:val="bottom"/>
            <w:tcBorders>
              <w:bottom w:val="single" w:sz="8" w:color="D1D2D4"/>
            </w:tcBorders>
            <w:shd w:val="clear" w:color="auto" w:fill="D1D2D4"/>
          </w:tcPr>
          <w:p>
            <w:pPr>
              <w:spacing w:after="0"/>
              <w:rPr>
                <w:sz w:val="21"/>
                <w:szCs w:val="21"/>
                <w:color w:val="auto"/>
              </w:rPr>
            </w:pPr>
          </w:p>
        </w:tc>
        <w:tc>
          <w:tcPr>
            <w:tcW w:w="280" w:type="dxa"/>
            <w:vAlign w:val="bottom"/>
            <w:tcBorders>
              <w:bottom w:val="single" w:sz="8" w:color="D1D2D4"/>
            </w:tcBorders>
            <w:shd w:val="clear" w:color="auto" w:fill="D1D2D4"/>
          </w:tcPr>
          <w:p>
            <w:pPr>
              <w:spacing w:after="0"/>
              <w:rPr>
                <w:sz w:val="21"/>
                <w:szCs w:val="21"/>
                <w:color w:val="auto"/>
              </w:rPr>
            </w:pPr>
          </w:p>
        </w:tc>
        <w:tc>
          <w:tcPr>
            <w:tcW w:w="50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D1D2D4"/>
            </w:tcBorders>
            <w:shd w:val="clear" w:color="auto" w:fill="D1D2D4"/>
          </w:tcPr>
          <w:p>
            <w:pPr>
              <w:spacing w:after="0"/>
              <w:rPr>
                <w:sz w:val="21"/>
                <w:szCs w:val="21"/>
                <w:color w:val="auto"/>
              </w:rPr>
            </w:pPr>
          </w:p>
        </w:tc>
        <w:tc>
          <w:tcPr>
            <w:tcW w:w="360" w:type="dxa"/>
            <w:vAlign w:val="bottom"/>
            <w:tcBorders>
              <w:bottom w:val="single" w:sz="8" w:color="D1D2D4"/>
            </w:tcBorders>
            <w:shd w:val="clear" w:color="auto" w:fill="D1D2D4"/>
          </w:tcPr>
          <w:p>
            <w:pPr>
              <w:spacing w:after="0"/>
              <w:rPr>
                <w:sz w:val="21"/>
                <w:szCs w:val="21"/>
                <w:color w:val="auto"/>
              </w:rPr>
            </w:pPr>
          </w:p>
        </w:tc>
        <w:tc>
          <w:tcPr>
            <w:tcW w:w="70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Borders>
              <w:bottom w:val="single" w:sz="8" w:color="auto"/>
            </w:tcBorders>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9,034</w:t>
            </w:r>
          </w:p>
        </w:tc>
        <w:tc>
          <w:tcPr>
            <w:tcW w:w="820" w:type="dxa"/>
            <w:vAlign w:val="bottom"/>
            <w:tcBorders>
              <w:bottom w:val="single" w:sz="8" w:color="auto"/>
            </w:tcBorders>
            <w:shd w:val="clear" w:color="auto" w:fill="D1D2D4"/>
          </w:tcPr>
          <w:p>
            <w:pPr>
              <w:jc w:val="right"/>
              <w:ind w:right="11"/>
              <w:spacing w:after="0"/>
              <w:rPr>
                <w:sz w:val="20"/>
                <w:szCs w:val="20"/>
                <w:color w:val="auto"/>
              </w:rPr>
            </w:pPr>
            <w:r>
              <w:rPr>
                <w:rFonts w:ascii="Arial" w:cs="Arial" w:eastAsia="Arial" w:hAnsi="Arial"/>
                <w:sz w:val="18"/>
                <w:szCs w:val="18"/>
                <w:color w:val="auto"/>
                <w:w w:val="99"/>
              </w:rPr>
              <w:t>$ 34,138</w:t>
            </w:r>
          </w:p>
        </w:tc>
        <w:tc>
          <w:tcPr>
            <w:tcW w:w="760" w:type="dxa"/>
            <w:vAlign w:val="bottom"/>
            <w:tcBorders>
              <w:bottom w:val="single" w:sz="8" w:color="auto"/>
            </w:tcBorders>
            <w:gridSpan w:val="2"/>
            <w:shd w:val="clear" w:color="auto" w:fill="D1D2D4"/>
          </w:tcPr>
          <w:p>
            <w:pPr>
              <w:jc w:val="center"/>
              <w:spacing w:after="0"/>
              <w:rPr>
                <w:sz w:val="20"/>
                <w:szCs w:val="20"/>
                <w:color w:val="auto"/>
              </w:rPr>
            </w:pPr>
            <w:r>
              <w:rPr>
                <w:rFonts w:ascii="Arial" w:cs="Arial" w:eastAsia="Arial" w:hAnsi="Arial"/>
                <w:sz w:val="18"/>
                <w:szCs w:val="18"/>
                <w:color w:val="auto"/>
              </w:rPr>
              <w:t>$ (3,495)</w:t>
            </w:r>
          </w:p>
        </w:tc>
        <w:tc>
          <w:tcPr>
            <w:tcW w:w="500" w:type="dxa"/>
            <w:vAlign w:val="bottom"/>
            <w:tcBorders>
              <w:bottom w:val="single" w:sz="8" w:color="auto"/>
            </w:tcBorders>
            <w:shd w:val="clear" w:color="auto" w:fill="D1D2D4"/>
          </w:tcPr>
          <w:p>
            <w:pPr>
              <w:jc w:val="right"/>
              <w:ind w:right="29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460" w:type="dxa"/>
            <w:vAlign w:val="bottom"/>
            <w:tcBorders>
              <w:bottom w:val="single" w:sz="8" w:color="auto"/>
            </w:tcBorders>
            <w:shd w:val="clear" w:color="auto" w:fill="D1D2D4"/>
          </w:tcPr>
          <w:p>
            <w:pPr>
              <w:jc w:val="right"/>
              <w:ind w:right="19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39,907</w:t>
            </w:r>
          </w:p>
        </w:tc>
        <w:tc>
          <w:tcPr>
            <w:tcW w:w="0" w:type="dxa"/>
            <w:vAlign w:val="bottom"/>
          </w:tcPr>
          <w:p>
            <w:pPr>
              <w:spacing w:after="0"/>
              <w:rPr>
                <w:sz w:val="1"/>
                <w:szCs w:val="1"/>
                <w:color w:val="auto"/>
              </w:rPr>
            </w:pPr>
          </w:p>
        </w:tc>
      </w:tr>
      <w:tr>
        <w:trPr>
          <w:trHeight w:val="20"/>
        </w:trPr>
        <w:tc>
          <w:tcPr>
            <w:tcW w:w="2860" w:type="dxa"/>
            <w:vAlign w:val="bottom"/>
            <w:tcBorders>
              <w:top w:val="single" w:sz="8" w:color="D1D2D4"/>
            </w:tcBorders>
          </w:tcPr>
          <w:p>
            <w:pPr>
              <w:spacing w:after="0" w:line="20" w:lineRule="exact"/>
              <w:rPr>
                <w:sz w:val="1"/>
                <w:szCs w:val="1"/>
                <w:color w:val="auto"/>
              </w:rPr>
            </w:pPr>
          </w:p>
        </w:tc>
        <w:tc>
          <w:tcPr>
            <w:tcW w:w="40" w:type="dxa"/>
            <w:vAlign w:val="bottom"/>
            <w:tcBorders>
              <w:top w:val="single" w:sz="8" w:color="D1D2D4"/>
            </w:tcBorders>
          </w:tcPr>
          <w:p>
            <w:pPr>
              <w:spacing w:after="0" w:line="20" w:lineRule="exact"/>
              <w:rPr>
                <w:sz w:val="1"/>
                <w:szCs w:val="1"/>
                <w:color w:val="auto"/>
              </w:rPr>
            </w:pPr>
          </w:p>
        </w:tc>
        <w:tc>
          <w:tcPr>
            <w:tcW w:w="64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tcBorders>
          </w:tcPr>
          <w:p>
            <w:pPr>
              <w:spacing w:after="0" w:line="20" w:lineRule="exact"/>
              <w:rPr>
                <w:sz w:val="1"/>
                <w:szCs w:val="1"/>
                <w:color w:val="auto"/>
              </w:rPr>
            </w:pPr>
          </w:p>
        </w:tc>
        <w:tc>
          <w:tcPr>
            <w:tcW w:w="5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tcBorders>
          </w:tcPr>
          <w:p>
            <w:pPr>
              <w:spacing w:after="0" w:line="20" w:lineRule="exact"/>
              <w:rPr>
                <w:sz w:val="1"/>
                <w:szCs w:val="1"/>
                <w:color w:val="auto"/>
              </w:rPr>
            </w:pPr>
          </w:p>
        </w:tc>
        <w:tc>
          <w:tcPr>
            <w:tcW w:w="360" w:type="dxa"/>
            <w:vAlign w:val="bottom"/>
            <w:tcBorders>
              <w:top w:val="single" w:sz="8" w:color="D1D2D4"/>
            </w:tcBorders>
          </w:tcPr>
          <w:p>
            <w:pPr>
              <w:spacing w:after="0" w:line="20" w:lineRule="exact"/>
              <w:rPr>
                <w:sz w:val="1"/>
                <w:szCs w:val="1"/>
                <w:color w:val="auto"/>
              </w:rPr>
            </w:pPr>
          </w:p>
        </w:tc>
        <w:tc>
          <w:tcPr>
            <w:tcW w:w="380" w:type="dxa"/>
            <w:vAlign w:val="bottom"/>
            <w:tcBorders>
              <w:top w:val="single" w:sz="8" w:color="D1D2D4"/>
              <w:bottom w:val="single" w:sz="8" w:color="auto"/>
            </w:tcBorders>
          </w:tcPr>
          <w:p>
            <w:pPr>
              <w:spacing w:after="0" w:line="20" w:lineRule="exact"/>
              <w:rPr>
                <w:sz w:val="1"/>
                <w:szCs w:val="1"/>
                <w:color w:val="auto"/>
              </w:rPr>
            </w:pPr>
          </w:p>
        </w:tc>
        <w:tc>
          <w:tcPr>
            <w:tcW w:w="1980" w:type="dxa"/>
            <w:vAlign w:val="bottom"/>
            <w:tcBorders>
              <w:top w:val="single" w:sz="8" w:color="D1D2D4"/>
              <w:bottom w:val="single" w:sz="8" w:color="auto"/>
            </w:tcBorders>
            <w:gridSpan w:val="7"/>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560" w:type="dxa"/>
            <w:vAlign w:val="bottom"/>
            <w:tcBorders>
              <w:top w:val="single" w:sz="8" w:color="D1D2D4"/>
              <w:bottom w:val="single" w:sz="8" w:color="auto"/>
            </w:tcBorders>
          </w:tcPr>
          <w:p>
            <w:pPr>
              <w:spacing w:after="0" w:line="20" w:lineRule="exact"/>
              <w:rPr>
                <w:sz w:val="1"/>
                <w:szCs w:val="1"/>
                <w:color w:val="auto"/>
              </w:rPr>
            </w:pPr>
          </w:p>
        </w:tc>
        <w:tc>
          <w:tcPr>
            <w:tcW w:w="500" w:type="dxa"/>
            <w:vAlign w:val="bottom"/>
            <w:tcBorders>
              <w:top w:val="single" w:sz="8" w:color="D1D2D4"/>
              <w:bottom w:val="single" w:sz="8" w:color="auto"/>
            </w:tcBorders>
          </w:tcPr>
          <w:p>
            <w:pPr>
              <w:spacing w:after="0" w:line="20" w:lineRule="exact"/>
              <w:rPr>
                <w:sz w:val="1"/>
                <w:szCs w:val="1"/>
                <w:color w:val="auto"/>
              </w:rPr>
            </w:pPr>
          </w:p>
        </w:tc>
        <w:tc>
          <w:tcPr>
            <w:tcW w:w="740" w:type="dxa"/>
            <w:vAlign w:val="bottom"/>
            <w:tcBorders>
              <w:top w:val="single" w:sz="8" w:color="D1D2D4"/>
              <w:bottom w:val="single" w:sz="8" w:color="auto"/>
            </w:tcBorders>
          </w:tcPr>
          <w:p>
            <w:pPr>
              <w:spacing w:after="0" w:line="20" w:lineRule="exact"/>
              <w:rPr>
                <w:sz w:val="1"/>
                <w:szCs w:val="1"/>
                <w:color w:val="auto"/>
              </w:rPr>
            </w:pPr>
          </w:p>
        </w:tc>
        <w:tc>
          <w:tcPr>
            <w:tcW w:w="460" w:type="dxa"/>
            <w:vAlign w:val="bottom"/>
            <w:tcBorders>
              <w:top w:val="single" w:sz="8" w:color="D1D2D4"/>
              <w:bottom w:val="single" w:sz="8" w:color="auto"/>
            </w:tcBorders>
          </w:tcPr>
          <w:p>
            <w:pPr>
              <w:spacing w:after="0" w:line="20" w:lineRule="exact"/>
              <w:rPr>
                <w:sz w:val="1"/>
                <w:szCs w:val="1"/>
                <w:color w:val="auto"/>
              </w:rPr>
            </w:pPr>
          </w:p>
        </w:tc>
        <w:tc>
          <w:tcPr>
            <w:tcW w:w="7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860" w:type="dxa"/>
            <w:vAlign w:val="bottom"/>
          </w:tcPr>
          <w:p>
            <w:pPr>
              <w:spacing w:after="0"/>
              <w:rPr>
                <w:sz w:val="24"/>
                <w:szCs w:val="24"/>
                <w:color w:val="auto"/>
              </w:rPr>
            </w:pPr>
          </w:p>
        </w:tc>
        <w:tc>
          <w:tcPr>
            <w:tcW w:w="40" w:type="dxa"/>
            <w:vAlign w:val="bottom"/>
            <w:tcBorders>
              <w:bottom w:val="single" w:sz="8" w:color="0090DA"/>
            </w:tcBorders>
          </w:tcPr>
          <w:p>
            <w:pPr>
              <w:spacing w:after="0"/>
              <w:rPr>
                <w:sz w:val="24"/>
                <w:szCs w:val="24"/>
                <w:color w:val="auto"/>
              </w:rPr>
            </w:pPr>
          </w:p>
        </w:tc>
        <w:tc>
          <w:tcPr>
            <w:tcW w:w="640" w:type="dxa"/>
            <w:vAlign w:val="bottom"/>
            <w:tcBorders>
              <w:bottom w:val="single" w:sz="8" w:color="0090DA"/>
            </w:tcBorders>
          </w:tcPr>
          <w:p>
            <w:pPr>
              <w:spacing w:after="0"/>
              <w:rPr>
                <w:sz w:val="24"/>
                <w:szCs w:val="24"/>
                <w:color w:val="auto"/>
              </w:rPr>
            </w:pPr>
          </w:p>
        </w:tc>
        <w:tc>
          <w:tcPr>
            <w:tcW w:w="280" w:type="dxa"/>
            <w:vAlign w:val="bottom"/>
            <w:tcBorders>
              <w:bottom w:val="single" w:sz="8" w:color="0090DA"/>
            </w:tcBorders>
          </w:tcPr>
          <w:p>
            <w:pPr>
              <w:spacing w:after="0"/>
              <w:rPr>
                <w:sz w:val="24"/>
                <w:szCs w:val="24"/>
                <w:color w:val="auto"/>
              </w:rPr>
            </w:pPr>
          </w:p>
        </w:tc>
        <w:tc>
          <w:tcPr>
            <w:tcW w:w="500" w:type="dxa"/>
            <w:vAlign w:val="bottom"/>
            <w:tcBorders>
              <w:bottom w:val="single" w:sz="8" w:color="0090DA"/>
            </w:tcBorders>
          </w:tcPr>
          <w:p>
            <w:pPr>
              <w:spacing w:after="0"/>
              <w:rPr>
                <w:sz w:val="24"/>
                <w:szCs w:val="24"/>
                <w:color w:val="auto"/>
              </w:rPr>
            </w:pPr>
          </w:p>
        </w:tc>
        <w:tc>
          <w:tcPr>
            <w:tcW w:w="140" w:type="dxa"/>
            <w:vAlign w:val="bottom"/>
            <w:tcBorders>
              <w:bottom w:val="single" w:sz="8" w:color="0090DA"/>
            </w:tcBorders>
          </w:tcPr>
          <w:p>
            <w:pPr>
              <w:spacing w:after="0"/>
              <w:rPr>
                <w:sz w:val="24"/>
                <w:szCs w:val="24"/>
                <w:color w:val="auto"/>
              </w:rPr>
            </w:pPr>
          </w:p>
        </w:tc>
        <w:tc>
          <w:tcPr>
            <w:tcW w:w="360" w:type="dxa"/>
            <w:vAlign w:val="bottom"/>
            <w:tcBorders>
              <w:bottom w:val="single" w:sz="8" w:color="0090DA"/>
            </w:tcBorders>
          </w:tcPr>
          <w:p>
            <w:pPr>
              <w:spacing w:after="0"/>
              <w:rPr>
                <w:sz w:val="24"/>
                <w:szCs w:val="24"/>
                <w:color w:val="auto"/>
              </w:rPr>
            </w:pPr>
          </w:p>
        </w:tc>
        <w:tc>
          <w:tcPr>
            <w:tcW w:w="380" w:type="dxa"/>
            <w:vAlign w:val="bottom"/>
            <w:tcBorders>
              <w:bottom w:val="single" w:sz="8" w:color="0090DA"/>
            </w:tcBorders>
          </w:tcPr>
          <w:p>
            <w:pPr>
              <w:spacing w:after="0"/>
              <w:rPr>
                <w:sz w:val="24"/>
                <w:szCs w:val="24"/>
                <w:color w:val="auto"/>
              </w:rPr>
            </w:pPr>
          </w:p>
        </w:tc>
        <w:tc>
          <w:tcPr>
            <w:tcW w:w="1980" w:type="dxa"/>
            <w:vAlign w:val="bottom"/>
            <w:tcBorders>
              <w:bottom w:val="single" w:sz="8" w:color="0090DA"/>
            </w:tcBorders>
            <w:gridSpan w:val="7"/>
          </w:tcPr>
          <w:p>
            <w:pPr>
              <w:jc w:val="right"/>
              <w:ind w:right="232"/>
              <w:spacing w:after="0"/>
              <w:rPr>
                <w:sz w:val="20"/>
                <w:szCs w:val="20"/>
                <w:color w:val="auto"/>
              </w:rPr>
            </w:pPr>
            <w:r>
              <w:rPr>
                <w:rFonts w:ascii="Arial" w:cs="Arial" w:eastAsia="Arial" w:hAnsi="Arial"/>
                <w:sz w:val="16"/>
                <w:szCs w:val="16"/>
                <w:b w:val="1"/>
                <w:bCs w:val="1"/>
                <w:color w:val="auto"/>
              </w:rPr>
              <w:t>Micron Shareholders</w:t>
            </w:r>
          </w:p>
        </w:tc>
        <w:tc>
          <w:tcPr>
            <w:tcW w:w="820" w:type="dxa"/>
            <w:vAlign w:val="bottom"/>
            <w:tcBorders>
              <w:bottom w:val="single" w:sz="8" w:color="0090DA"/>
            </w:tcBorders>
          </w:tcPr>
          <w:p>
            <w:pPr>
              <w:spacing w:after="0"/>
              <w:rPr>
                <w:sz w:val="24"/>
                <w:szCs w:val="24"/>
                <w:color w:val="auto"/>
              </w:rPr>
            </w:pPr>
          </w:p>
        </w:tc>
        <w:tc>
          <w:tcPr>
            <w:tcW w:w="200" w:type="dxa"/>
            <w:vAlign w:val="bottom"/>
            <w:tcBorders>
              <w:bottom w:val="single" w:sz="8" w:color="0090DA"/>
            </w:tcBorders>
          </w:tcPr>
          <w:p>
            <w:pPr>
              <w:spacing w:after="0"/>
              <w:rPr>
                <w:sz w:val="24"/>
                <w:szCs w:val="24"/>
                <w:color w:val="auto"/>
              </w:rPr>
            </w:pPr>
          </w:p>
        </w:tc>
        <w:tc>
          <w:tcPr>
            <w:tcW w:w="560" w:type="dxa"/>
            <w:vAlign w:val="bottom"/>
            <w:tcBorders>
              <w:bottom w:val="single" w:sz="8" w:color="0090DA"/>
            </w:tcBorders>
          </w:tcPr>
          <w:p>
            <w:pPr>
              <w:spacing w:after="0"/>
              <w:rPr>
                <w:sz w:val="24"/>
                <w:szCs w:val="24"/>
                <w:color w:val="auto"/>
              </w:rPr>
            </w:pPr>
          </w:p>
        </w:tc>
        <w:tc>
          <w:tcPr>
            <w:tcW w:w="500" w:type="dxa"/>
            <w:vAlign w:val="bottom"/>
            <w:tcBorders>
              <w:bottom w:val="single" w:sz="8" w:color="0090DA"/>
            </w:tcBorders>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40" w:type="dxa"/>
            <w:vAlign w:val="bottom"/>
            <w:tcBorders>
              <w:bottom w:val="single" w:sz="8" w:color="0090DA"/>
            </w:tcBorders>
          </w:tcPr>
          <w:p>
            <w:pPr>
              <w:spacing w:after="0"/>
              <w:rPr>
                <w:sz w:val="20"/>
                <w:szCs w:val="20"/>
                <w:color w:val="auto"/>
              </w:rPr>
            </w:pPr>
          </w:p>
        </w:tc>
        <w:tc>
          <w:tcPr>
            <w:tcW w:w="1420" w:type="dxa"/>
            <w:vAlign w:val="bottom"/>
            <w:tcBorders>
              <w:bottom w:val="single" w:sz="8" w:color="0090DA"/>
            </w:tcBorders>
            <w:gridSpan w:val="3"/>
          </w:tcPr>
          <w:p>
            <w:pPr>
              <w:jc w:val="right"/>
              <w:ind w:right="5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restart"/>
          </w:tcPr>
          <w:p>
            <w:pPr>
              <w:jc w:val="center"/>
              <w:spacing w:after="0" w:line="183" w:lineRule="exact"/>
              <w:rPr>
                <w:sz w:val="20"/>
                <w:szCs w:val="20"/>
                <w:color w:val="auto"/>
              </w:rPr>
            </w:pPr>
            <w:r>
              <w:rPr>
                <w:rFonts w:ascii="Arial" w:cs="Arial" w:eastAsia="Arial" w:hAnsi="Arial"/>
                <w:sz w:val="16"/>
                <w:szCs w:val="16"/>
                <w:b w:val="1"/>
                <w:bCs w:val="1"/>
                <w:color w:val="auto"/>
              </w:rPr>
              <w:t>Number</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vMerge w:val="restart"/>
          </w:tcPr>
          <w:p>
            <w:pPr>
              <w:jc w:val="right"/>
              <w:ind w:right="12"/>
              <w:spacing w:after="0" w:line="183" w:lineRule="exact"/>
              <w:rPr>
                <w:sz w:val="20"/>
                <w:szCs w:val="20"/>
                <w:color w:val="auto"/>
              </w:rPr>
            </w:pPr>
            <w:r>
              <w:rPr>
                <w:rFonts w:ascii="Arial" w:cs="Arial" w:eastAsia="Arial" w:hAnsi="Arial"/>
                <w:sz w:val="16"/>
                <w:szCs w:val="16"/>
                <w:b w:val="1"/>
                <w:bCs w:val="1"/>
                <w:color w:val="auto"/>
                <w:w w:val="98"/>
              </w:rPr>
              <w:t>Total Micron</w:t>
            </w:r>
          </w:p>
        </w:tc>
        <w:tc>
          <w:tcPr>
            <w:tcW w:w="1200" w:type="dxa"/>
            <w:vAlign w:val="bottom"/>
            <w:gridSpan w:val="2"/>
            <w:vMerge w:val="restart"/>
          </w:tcPr>
          <w:p>
            <w:pPr>
              <w:jc w:val="center"/>
              <w:spacing w:after="0" w:line="183" w:lineRule="exact"/>
              <w:rPr>
                <w:sz w:val="20"/>
                <w:szCs w:val="20"/>
                <w:color w:val="auto"/>
              </w:rPr>
            </w:pPr>
            <w:r>
              <w:rPr>
                <w:rFonts w:ascii="Arial" w:cs="Arial" w:eastAsia="Arial" w:hAnsi="Arial"/>
                <w:sz w:val="16"/>
                <w:szCs w:val="16"/>
                <w:b w:val="1"/>
                <w:bCs w:val="1"/>
                <w:color w:val="auto"/>
              </w:rPr>
              <w:t>Noncontrolling</w:t>
            </w: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780" w:type="dxa"/>
            <w:vAlign w:val="bottom"/>
            <w:vMerge w:val="restart"/>
          </w:tcPr>
          <w:p>
            <w:pPr>
              <w:jc w:val="right"/>
              <w:ind w:right="1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of</w:t>
            </w: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4940" w:type="dxa"/>
            <w:vAlign w:val="bottom"/>
            <w:gridSpan w:val="14"/>
          </w:tcPr>
          <w:p>
            <w:pPr>
              <w:jc w:val="right"/>
              <w:spacing w:after="0" w:line="162" w:lineRule="exact"/>
              <w:rPr>
                <w:sz w:val="20"/>
                <w:szCs w:val="20"/>
                <w:color w:val="auto"/>
              </w:rPr>
            </w:pPr>
            <w:r>
              <w:rPr>
                <w:rFonts w:ascii="Arial" w:cs="Arial" w:eastAsia="Arial" w:hAnsi="Arial"/>
                <w:sz w:val="16"/>
                <w:szCs w:val="16"/>
                <w:b w:val="1"/>
                <w:bCs w:val="1"/>
                <w:color w:val="auto"/>
              </w:rPr>
              <w:t>Additional Retained  Treasury Comprehensive Shareholders’</w:t>
            </w:r>
          </w:p>
        </w:tc>
        <w:tc>
          <w:tcPr>
            <w:tcW w:w="12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Interest in</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tcBorders>
              <w:bottom w:val="single" w:sz="8" w:color="0090DA"/>
            </w:tcBorders>
          </w:tcPr>
          <w:p>
            <w:pPr>
              <w:spacing w:after="0"/>
              <w:rPr>
                <w:sz w:val="18"/>
                <w:szCs w:val="18"/>
                <w:color w:val="auto"/>
              </w:rPr>
            </w:pPr>
          </w:p>
        </w:tc>
        <w:tc>
          <w:tcPr>
            <w:tcW w:w="40" w:type="dxa"/>
            <w:vAlign w:val="bottom"/>
            <w:tcBorders>
              <w:bottom w:val="single" w:sz="8" w:color="0090DA"/>
            </w:tcBorders>
          </w:tcPr>
          <w:p>
            <w:pPr>
              <w:spacing w:after="0"/>
              <w:rPr>
                <w:sz w:val="18"/>
                <w:szCs w:val="18"/>
                <w:color w:val="auto"/>
              </w:rPr>
            </w:pPr>
          </w:p>
        </w:tc>
        <w:tc>
          <w:tcPr>
            <w:tcW w:w="64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780" w:type="dxa"/>
            <w:vAlign w:val="bottom"/>
            <w:tcBorders>
              <w:bottom w:val="single" w:sz="8" w:color="0090DA"/>
            </w:tcBorders>
            <w:gridSpan w:val="2"/>
            <w:vMerge w:val="continue"/>
          </w:tcPr>
          <w:p>
            <w:pPr>
              <w:spacing w:after="0"/>
              <w:rPr>
                <w:sz w:val="18"/>
                <w:szCs w:val="18"/>
                <w:color w:val="auto"/>
              </w:rPr>
            </w:pPr>
          </w:p>
        </w:tc>
        <w:tc>
          <w:tcPr>
            <w:tcW w:w="140" w:type="dxa"/>
            <w:vAlign w:val="bottom"/>
            <w:tcBorders>
              <w:bottom w:val="single" w:sz="8" w:color="0090DA"/>
            </w:tcBorders>
          </w:tcPr>
          <w:p>
            <w:pPr>
              <w:spacing w:after="0"/>
              <w:rPr>
                <w:sz w:val="18"/>
                <w:szCs w:val="18"/>
                <w:color w:val="auto"/>
              </w:rPr>
            </w:pPr>
          </w:p>
        </w:tc>
        <w:tc>
          <w:tcPr>
            <w:tcW w:w="740" w:type="dxa"/>
            <w:vAlign w:val="bottom"/>
            <w:tcBorders>
              <w:bottom w:val="single" w:sz="8" w:color="0090DA"/>
            </w:tcBorders>
            <w:gridSpan w:val="2"/>
          </w:tcPr>
          <w:p>
            <w:pPr>
              <w:jc w:val="right"/>
              <w:ind w:right="75"/>
              <w:spacing w:after="0"/>
              <w:rPr>
                <w:sz w:val="20"/>
                <w:szCs w:val="20"/>
                <w:color w:val="auto"/>
              </w:rPr>
            </w:pPr>
            <w:r>
              <w:rPr>
                <w:rFonts w:ascii="Arial" w:cs="Arial" w:eastAsia="Arial" w:hAnsi="Arial"/>
                <w:sz w:val="16"/>
                <w:szCs w:val="16"/>
                <w:b w:val="1"/>
                <w:bCs w:val="1"/>
                <w:color w:val="auto"/>
              </w:rPr>
              <w:t>Capital</w:t>
            </w:r>
          </w:p>
        </w:tc>
        <w:tc>
          <w:tcPr>
            <w:tcW w:w="800" w:type="dxa"/>
            <w:vAlign w:val="bottom"/>
            <w:tcBorders>
              <w:bottom w:val="single" w:sz="8" w:color="0090DA"/>
            </w:tcBorders>
            <w:gridSpan w:val="3"/>
          </w:tcPr>
          <w:p>
            <w:pPr>
              <w:jc w:val="center"/>
              <w:spacing w:after="0"/>
              <w:rPr>
                <w:sz w:val="20"/>
                <w:szCs w:val="20"/>
                <w:color w:val="auto"/>
              </w:rPr>
            </w:pPr>
            <w:r>
              <w:rPr>
                <w:rFonts w:ascii="Arial" w:cs="Arial" w:eastAsia="Arial" w:hAnsi="Arial"/>
                <w:sz w:val="16"/>
                <w:szCs w:val="16"/>
                <w:b w:val="1"/>
                <w:bCs w:val="1"/>
                <w:color w:val="auto"/>
              </w:rPr>
              <w:t>Earnings</w:t>
            </w:r>
          </w:p>
        </w:tc>
        <w:tc>
          <w:tcPr>
            <w:tcW w:w="800" w:type="dxa"/>
            <w:vAlign w:val="bottom"/>
            <w:tcBorders>
              <w:bottom w:val="single" w:sz="8" w:color="0090DA"/>
            </w:tcBorders>
            <w:gridSpan w:val="3"/>
          </w:tcPr>
          <w:p>
            <w:pPr>
              <w:jc w:val="right"/>
              <w:ind w:right="91"/>
              <w:spacing w:after="0"/>
              <w:rPr>
                <w:sz w:val="20"/>
                <w:szCs w:val="20"/>
                <w:color w:val="auto"/>
              </w:rPr>
            </w:pPr>
            <w:r>
              <w:rPr>
                <w:rFonts w:ascii="Arial" w:cs="Arial" w:eastAsia="Arial" w:hAnsi="Arial"/>
                <w:sz w:val="16"/>
                <w:szCs w:val="16"/>
                <w:b w:val="1"/>
                <w:bCs w:val="1"/>
                <w:color w:val="auto"/>
              </w:rPr>
              <w:t>Stock</w:t>
            </w:r>
          </w:p>
        </w:tc>
        <w:tc>
          <w:tcPr>
            <w:tcW w:w="1200" w:type="dxa"/>
            <w:vAlign w:val="bottom"/>
            <w:tcBorders>
              <w:bottom w:val="single" w:sz="8" w:color="0090DA"/>
            </w:tcBorders>
            <w:gridSpan w:val="2"/>
          </w:tcPr>
          <w:p>
            <w:pPr>
              <w:jc w:val="right"/>
              <w:spacing w:after="0"/>
              <w:rPr>
                <w:sz w:val="20"/>
                <w:szCs w:val="20"/>
                <w:color w:val="auto"/>
              </w:rPr>
            </w:pPr>
            <w:r>
              <w:rPr>
                <w:rFonts w:ascii="Arial" w:cs="Arial" w:eastAsia="Arial" w:hAnsi="Arial"/>
                <w:sz w:val="16"/>
                <w:szCs w:val="16"/>
                <w:b w:val="1"/>
                <w:bCs w:val="1"/>
                <w:color w:val="auto"/>
              </w:rPr>
              <w:t>Income (Loss)</w:t>
            </w:r>
          </w:p>
        </w:tc>
        <w:tc>
          <w:tcPr>
            <w:tcW w:w="200" w:type="dxa"/>
            <w:vAlign w:val="bottom"/>
            <w:tcBorders>
              <w:bottom w:val="single" w:sz="8" w:color="0090DA"/>
            </w:tcBorders>
          </w:tcPr>
          <w:p>
            <w:pPr>
              <w:spacing w:after="0"/>
              <w:rPr>
                <w:sz w:val="18"/>
                <w:szCs w:val="18"/>
                <w:color w:val="auto"/>
              </w:rPr>
            </w:pPr>
          </w:p>
        </w:tc>
        <w:tc>
          <w:tcPr>
            <w:tcW w:w="1060" w:type="dxa"/>
            <w:vAlign w:val="bottom"/>
            <w:tcBorders>
              <w:bottom w:val="single" w:sz="8" w:color="0090DA"/>
            </w:tcBorders>
            <w:gridSpan w:val="2"/>
          </w:tcPr>
          <w:p>
            <w:pPr>
              <w:jc w:val="right"/>
              <w:ind w:right="252"/>
              <w:spacing w:after="0"/>
              <w:rPr>
                <w:sz w:val="20"/>
                <w:szCs w:val="20"/>
                <w:color w:val="auto"/>
              </w:rPr>
            </w:pPr>
            <w:r>
              <w:rPr>
                <w:rFonts w:ascii="Arial" w:cs="Arial" w:eastAsia="Arial" w:hAnsi="Arial"/>
                <w:sz w:val="16"/>
                <w:szCs w:val="16"/>
                <w:b w:val="1"/>
                <w:bCs w:val="1"/>
                <w:color w:val="auto"/>
              </w:rPr>
              <w:t>Equity</w:t>
            </w:r>
          </w:p>
        </w:tc>
        <w:tc>
          <w:tcPr>
            <w:tcW w:w="120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Subsidiary</w:t>
            </w:r>
          </w:p>
        </w:tc>
        <w:tc>
          <w:tcPr>
            <w:tcW w:w="780" w:type="dxa"/>
            <w:vAlign w:val="bottom"/>
            <w:tcBorders>
              <w:bottom w:val="single" w:sz="8" w:color="0090DA"/>
            </w:tcBorders>
          </w:tcPr>
          <w:p>
            <w:pPr>
              <w:jc w:val="right"/>
              <w:ind w:right="5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4"/>
        </w:trPr>
        <w:tc>
          <w:tcPr>
            <w:tcW w:w="2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00" w:type="dxa"/>
            <w:vAlign w:val="bottom"/>
            <w:gridSpan w:val="2"/>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August 29, 2019</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1,182</w:t>
            </w:r>
          </w:p>
        </w:tc>
        <w:tc>
          <w:tcPr>
            <w:tcW w:w="280" w:type="dxa"/>
            <w:vAlign w:val="bottom"/>
            <w:shd w:val="clear" w:color="auto" w:fill="D1D2D4"/>
          </w:tcPr>
          <w:p>
            <w:pPr>
              <w:jc w:val="right"/>
              <w:ind w:right="53"/>
              <w:spacing w:after="0"/>
              <w:rPr>
                <w:sz w:val="20"/>
                <w:szCs w:val="20"/>
                <w:color w:val="auto"/>
              </w:rPr>
            </w:pPr>
            <w:r>
              <w:rPr>
                <w:rFonts w:ascii="Arial" w:cs="Arial" w:eastAsia="Arial" w:hAnsi="Arial"/>
                <w:sz w:val="18"/>
                <w:szCs w:val="18"/>
                <w:color w:val="auto"/>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8,214</w:t>
            </w:r>
          </w:p>
        </w:tc>
        <w:tc>
          <w:tcPr>
            <w:tcW w:w="800" w:type="dxa"/>
            <w:vAlign w:val="bottom"/>
            <w:gridSpan w:val="3"/>
            <w:shd w:val="clear" w:color="auto" w:fill="D1D2D4"/>
          </w:tcPr>
          <w:p>
            <w:pPr>
              <w:jc w:val="right"/>
              <w:spacing w:after="0"/>
              <w:rPr>
                <w:sz w:val="20"/>
                <w:szCs w:val="20"/>
                <w:color w:val="auto"/>
              </w:rPr>
            </w:pPr>
            <w:r>
              <w:rPr>
                <w:rFonts w:ascii="Arial" w:cs="Arial" w:eastAsia="Arial" w:hAnsi="Arial"/>
                <w:sz w:val="18"/>
                <w:szCs w:val="18"/>
                <w:color w:val="auto"/>
              </w:rPr>
              <w:t>$ 30,761</w:t>
            </w:r>
          </w:p>
        </w:tc>
        <w:tc>
          <w:tcPr>
            <w:tcW w:w="800" w:type="dxa"/>
            <w:vAlign w:val="bottom"/>
            <w:gridSpan w:val="3"/>
            <w:shd w:val="clear" w:color="auto" w:fill="D1D2D4"/>
          </w:tcPr>
          <w:p>
            <w:pPr>
              <w:jc w:val="right"/>
              <w:spacing w:after="0"/>
              <w:rPr>
                <w:sz w:val="20"/>
                <w:szCs w:val="20"/>
                <w:color w:val="auto"/>
              </w:rPr>
            </w:pPr>
            <w:r>
              <w:rPr>
                <w:rFonts w:ascii="Arial" w:cs="Arial" w:eastAsia="Arial" w:hAnsi="Arial"/>
                <w:sz w:val="18"/>
                <w:szCs w:val="18"/>
                <w:color w:val="auto"/>
              </w:rPr>
              <w:t>$ (3,221)</w:t>
            </w:r>
          </w:p>
        </w:tc>
        <w:tc>
          <w:tcPr>
            <w:tcW w:w="380" w:type="dxa"/>
            <w:vAlign w:val="bottom"/>
            <w:shd w:val="clear" w:color="auto" w:fill="D1D2D4"/>
          </w:tcPr>
          <w:p>
            <w:pPr>
              <w:jc w:val="right"/>
              <w:ind w:right="17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35,881</w:t>
            </w:r>
          </w:p>
        </w:tc>
        <w:tc>
          <w:tcPr>
            <w:tcW w:w="740" w:type="dxa"/>
            <w:vAlign w:val="bottom"/>
            <w:shd w:val="clear" w:color="auto" w:fill="D1D2D4"/>
          </w:tcPr>
          <w:p>
            <w:pPr>
              <w:jc w:val="right"/>
              <w:ind w:right="5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889</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$36,770</w:t>
            </w:r>
          </w:p>
        </w:tc>
        <w:tc>
          <w:tcPr>
            <w:tcW w:w="0" w:type="dxa"/>
            <w:vAlign w:val="bottom"/>
          </w:tcPr>
          <w:p>
            <w:pPr>
              <w:spacing w:after="0"/>
              <w:rPr>
                <w:sz w:val="1"/>
                <w:szCs w:val="1"/>
                <w:color w:val="auto"/>
              </w:rPr>
            </w:pP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491</w:t>
            </w: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78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162"/>
        </w:trPr>
        <w:tc>
          <w:tcPr>
            <w:tcW w:w="2900" w:type="dxa"/>
            <w:vAlign w:val="bottom"/>
            <w:gridSpan w:val="2"/>
            <w:shd w:val="clear" w:color="auto" w:fill="D1D2D4"/>
          </w:tcPr>
          <w:p>
            <w:pPr>
              <w:ind w:left="20"/>
              <w:spacing w:after="0" w:line="162" w:lineRule="exact"/>
              <w:rPr>
                <w:sz w:val="20"/>
                <w:szCs w:val="20"/>
                <w:color w:val="auto"/>
              </w:rPr>
            </w:pPr>
            <w:r>
              <w:rPr>
                <w:rFonts w:ascii="Arial" w:cs="Arial" w:eastAsia="Arial" w:hAnsi="Arial"/>
                <w:sz w:val="16"/>
                <w:szCs w:val="16"/>
                <w:color w:val="auto"/>
              </w:rPr>
              <w:t>Other comprehensive income (loss),</w:t>
            </w: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4"/>
                <w:szCs w:val="14"/>
                <w:color w:val="auto"/>
              </w:rPr>
            </w:pPr>
          </w:p>
        </w:tc>
        <w:tc>
          <w:tcPr>
            <w:tcW w:w="5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4"/>
                <w:szCs w:val="14"/>
                <w:color w:val="auto"/>
              </w:rPr>
            </w:pPr>
          </w:p>
        </w:tc>
        <w:tc>
          <w:tcPr>
            <w:tcW w:w="360" w:type="dxa"/>
            <w:vAlign w:val="bottom"/>
            <w:shd w:val="clear" w:color="auto" w:fill="D1D2D4"/>
          </w:tcPr>
          <w:p>
            <w:pPr>
              <w:spacing w:after="0"/>
              <w:rPr>
                <w:sz w:val="14"/>
                <w:szCs w:val="14"/>
                <w:color w:val="auto"/>
              </w:rPr>
            </w:pPr>
          </w:p>
        </w:tc>
        <w:tc>
          <w:tcPr>
            <w:tcW w:w="3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4"/>
                <w:szCs w:val="14"/>
                <w:color w:val="auto"/>
              </w:rPr>
            </w:pPr>
          </w:p>
        </w:tc>
        <w:tc>
          <w:tcPr>
            <w:tcW w:w="140" w:type="dxa"/>
            <w:vAlign w:val="bottom"/>
            <w:shd w:val="clear" w:color="auto" w:fill="D1D2D4"/>
          </w:tcPr>
          <w:p>
            <w:pPr>
              <w:spacing w:after="0"/>
              <w:rPr>
                <w:sz w:val="14"/>
                <w:szCs w:val="14"/>
                <w:color w:val="auto"/>
              </w:rPr>
            </w:pPr>
          </w:p>
        </w:tc>
        <w:tc>
          <w:tcPr>
            <w:tcW w:w="3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4"/>
                <w:szCs w:val="14"/>
                <w:color w:val="auto"/>
              </w:rPr>
            </w:pPr>
          </w:p>
        </w:tc>
        <w:tc>
          <w:tcPr>
            <w:tcW w:w="140" w:type="dxa"/>
            <w:vAlign w:val="bottom"/>
            <w:shd w:val="clear" w:color="auto" w:fill="D1D2D4"/>
          </w:tcPr>
          <w:p>
            <w:pPr>
              <w:spacing w:after="0"/>
              <w:rPr>
                <w:sz w:val="14"/>
                <w:szCs w:val="14"/>
                <w:color w:val="auto"/>
              </w:rPr>
            </w:pPr>
          </w:p>
        </w:tc>
        <w:tc>
          <w:tcPr>
            <w:tcW w:w="3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2D4"/>
          </w:tcPr>
          <w:p>
            <w:pPr>
              <w:spacing w:after="0"/>
              <w:rPr>
                <w:sz w:val="14"/>
                <w:szCs w:val="14"/>
                <w:color w:val="auto"/>
              </w:rPr>
            </w:pPr>
          </w:p>
        </w:tc>
        <w:tc>
          <w:tcPr>
            <w:tcW w:w="1020" w:type="dxa"/>
            <w:vAlign w:val="bottom"/>
            <w:gridSpan w:val="2"/>
            <w:vMerge w:val="restart"/>
            <w:shd w:val="clear" w:color="auto" w:fill="D1D2D4"/>
          </w:tcPr>
          <w:p>
            <w:pPr>
              <w:jc w:val="right"/>
              <w:ind w:right="53"/>
              <w:spacing w:after="0"/>
              <w:rPr>
                <w:sz w:val="20"/>
                <w:szCs w:val="20"/>
                <w:color w:val="auto"/>
              </w:rPr>
            </w:pPr>
            <w:r>
              <w:rPr>
                <w:rFonts w:ascii="Arial" w:cs="Arial" w:eastAsia="Arial" w:hAnsi="Arial"/>
                <w:sz w:val="18"/>
                <w:szCs w:val="18"/>
                <w:color w:val="auto"/>
              </w:rPr>
              <w:t>(3)</w:t>
            </w:r>
          </w:p>
        </w:tc>
        <w:tc>
          <w:tcPr>
            <w:tcW w:w="560" w:type="dxa"/>
            <w:vAlign w:val="bottom"/>
            <w:shd w:val="clear" w:color="auto" w:fill="D1D2D4"/>
          </w:tcPr>
          <w:p>
            <w:pPr>
              <w:spacing w:after="0"/>
              <w:rPr>
                <w:sz w:val="14"/>
                <w:szCs w:val="14"/>
                <w:color w:val="auto"/>
              </w:rPr>
            </w:pPr>
          </w:p>
        </w:tc>
        <w:tc>
          <w:tcPr>
            <w:tcW w:w="5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D1D2D4"/>
          </w:tcPr>
          <w:p>
            <w:pPr>
              <w:spacing w:after="0"/>
              <w:rPr>
                <w:sz w:val="14"/>
                <w:szCs w:val="14"/>
                <w:color w:val="auto"/>
              </w:rPr>
            </w:pPr>
          </w:p>
        </w:tc>
        <w:tc>
          <w:tcPr>
            <w:tcW w:w="4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D1D2D4"/>
          </w:tcPr>
          <w:p>
            <w:pPr>
              <w:ind w:left="20"/>
              <w:spacing w:after="0"/>
              <w:rPr>
                <w:sz w:val="20"/>
                <w:szCs w:val="20"/>
                <w:color w:val="auto"/>
              </w:rPr>
            </w:pPr>
            <w:r>
              <w:rPr>
                <w:rFonts w:ascii="Arial" w:cs="Arial" w:eastAsia="Arial" w:hAnsi="Arial"/>
                <w:sz w:val="16"/>
                <w:szCs w:val="16"/>
                <w:color w:val="auto"/>
              </w:rPr>
              <w:t>net</w:t>
            </w:r>
          </w:p>
        </w:tc>
        <w:tc>
          <w:tcPr>
            <w:tcW w:w="64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50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360" w:type="dxa"/>
            <w:vAlign w:val="bottom"/>
            <w:shd w:val="clear" w:color="auto" w:fill="D1D2D4"/>
          </w:tcPr>
          <w:p>
            <w:pPr>
              <w:spacing w:after="0"/>
              <w:rPr>
                <w:sz w:val="18"/>
                <w:szCs w:val="18"/>
                <w:color w:val="auto"/>
              </w:rPr>
            </w:pPr>
          </w:p>
        </w:tc>
        <w:tc>
          <w:tcPr>
            <w:tcW w:w="380" w:type="dxa"/>
            <w:vAlign w:val="bottom"/>
            <w:vMerge w:val="continue"/>
            <w:shd w:val="clear" w:color="auto" w:fill="D1D2D4"/>
          </w:tcPr>
          <w:p>
            <w:pPr>
              <w:spacing w:after="0"/>
              <w:rPr>
                <w:sz w:val="18"/>
                <w:szCs w:val="18"/>
                <w:color w:val="auto"/>
              </w:rPr>
            </w:pPr>
          </w:p>
        </w:tc>
        <w:tc>
          <w:tcPr>
            <w:tcW w:w="32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34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380" w:type="dxa"/>
            <w:vAlign w:val="bottom"/>
            <w:vMerge w:val="continue"/>
            <w:shd w:val="clear" w:color="auto" w:fill="D1D2D4"/>
          </w:tcPr>
          <w:p>
            <w:pPr>
              <w:spacing w:after="0"/>
              <w:rPr>
                <w:sz w:val="18"/>
                <w:szCs w:val="18"/>
                <w:color w:val="auto"/>
              </w:rPr>
            </w:pPr>
          </w:p>
        </w:tc>
        <w:tc>
          <w:tcPr>
            <w:tcW w:w="380" w:type="dxa"/>
            <w:vAlign w:val="bottom"/>
            <w:shd w:val="clear" w:color="auto" w:fill="D1D2D4"/>
          </w:tcPr>
          <w:p>
            <w:pPr>
              <w:spacing w:after="0"/>
              <w:rPr>
                <w:sz w:val="18"/>
                <w:szCs w:val="18"/>
                <w:color w:val="auto"/>
              </w:rPr>
            </w:pPr>
          </w:p>
        </w:tc>
        <w:tc>
          <w:tcPr>
            <w:tcW w:w="1020" w:type="dxa"/>
            <w:vAlign w:val="bottom"/>
            <w:gridSpan w:val="2"/>
            <w:vMerge w:val="continue"/>
            <w:shd w:val="clear" w:color="auto" w:fill="D1D2D4"/>
          </w:tcPr>
          <w:p>
            <w:pPr>
              <w:spacing w:after="0"/>
              <w:rPr>
                <w:sz w:val="18"/>
                <w:szCs w:val="18"/>
                <w:color w:val="auto"/>
              </w:rPr>
            </w:pPr>
          </w:p>
        </w:tc>
        <w:tc>
          <w:tcPr>
            <w:tcW w:w="560" w:type="dxa"/>
            <w:vAlign w:val="bottom"/>
            <w:shd w:val="clear" w:color="auto" w:fill="D1D2D4"/>
          </w:tcPr>
          <w:p>
            <w:pPr>
              <w:spacing w:after="0"/>
              <w:rPr>
                <w:sz w:val="18"/>
                <w:szCs w:val="18"/>
                <w:color w:val="auto"/>
              </w:rPr>
            </w:pPr>
          </w:p>
        </w:tc>
        <w:tc>
          <w:tcPr>
            <w:tcW w:w="500" w:type="dxa"/>
            <w:vAlign w:val="bottom"/>
            <w:vMerge w:val="continue"/>
            <w:shd w:val="clear" w:color="auto" w:fill="D1D2D4"/>
          </w:tcPr>
          <w:p>
            <w:pPr>
              <w:spacing w:after="0"/>
              <w:rPr>
                <w:sz w:val="18"/>
                <w:szCs w:val="18"/>
                <w:color w:val="auto"/>
              </w:rPr>
            </w:pPr>
          </w:p>
        </w:tc>
        <w:tc>
          <w:tcPr>
            <w:tcW w:w="740" w:type="dxa"/>
            <w:vAlign w:val="bottom"/>
            <w:shd w:val="clear" w:color="auto" w:fill="D1D2D4"/>
          </w:tcPr>
          <w:p>
            <w:pPr>
              <w:spacing w:after="0"/>
              <w:rPr>
                <w:sz w:val="18"/>
                <w:szCs w:val="18"/>
                <w:color w:val="auto"/>
              </w:rPr>
            </w:pPr>
          </w:p>
        </w:tc>
        <w:tc>
          <w:tcPr>
            <w:tcW w:w="460" w:type="dxa"/>
            <w:vAlign w:val="bottom"/>
            <w:vMerge w:val="continue"/>
            <w:shd w:val="clear" w:color="auto" w:fill="D1D2D4"/>
          </w:tcPr>
          <w:p>
            <w:pPr>
              <w:spacing w:after="0"/>
              <w:rPr>
                <w:sz w:val="18"/>
                <w:szCs w:val="18"/>
                <w:color w:val="auto"/>
              </w:rPr>
            </w:pPr>
          </w:p>
        </w:tc>
        <w:tc>
          <w:tcPr>
            <w:tcW w:w="78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Stock issued under stock plans</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56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740" w:type="dxa"/>
            <w:vAlign w:val="bottom"/>
            <w:shd w:val="clear" w:color="auto" w:fill="D1D2D4"/>
          </w:tcPr>
          <w:p>
            <w:pPr>
              <w:spacing w:after="0"/>
              <w:rPr>
                <w:sz w:val="19"/>
                <w:szCs w:val="19"/>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Repurchase of stock</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ind w:left="500"/>
              <w:spacing w:after="0"/>
              <w:rPr>
                <w:sz w:val="20"/>
                <w:szCs w:val="20"/>
                <w:color w:val="auto"/>
              </w:rPr>
            </w:pPr>
            <w:r>
              <w:rPr>
                <w:rFonts w:ascii="Arial" w:cs="Arial" w:eastAsia="Arial" w:hAnsi="Arial"/>
                <w:sz w:val="18"/>
                <w:szCs w:val="18"/>
                <w:color w:val="auto"/>
                <w:w w:val="99"/>
              </w:rPr>
              <w:t>(6)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(34)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D1D2D4"/>
          </w:tcPr>
          <w:p>
            <w:pPr>
              <w:ind w:left="20"/>
              <w:spacing w:after="0"/>
              <w:rPr>
                <w:sz w:val="20"/>
                <w:szCs w:val="20"/>
                <w:color w:val="auto"/>
              </w:rPr>
            </w:pPr>
            <w:r>
              <w:rPr>
                <w:rFonts w:ascii="Arial" w:cs="Arial" w:eastAsia="Arial" w:hAnsi="Arial"/>
                <w:sz w:val="16"/>
                <w:szCs w:val="16"/>
                <w:color w:val="auto"/>
              </w:rPr>
              <w:t>Acquisition of noncontrolling interest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56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740" w:type="dxa"/>
            <w:vAlign w:val="bottom"/>
            <w:shd w:val="clear" w:color="auto" w:fill="D1D2D4"/>
          </w:tcPr>
          <w:p>
            <w:pPr>
              <w:spacing w:after="0"/>
              <w:rPr>
                <w:sz w:val="19"/>
                <w:szCs w:val="19"/>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(904)</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Cash settlement of convertible notes</w:t>
            </w: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color w:val="auto"/>
                <w:w w:val="99"/>
              </w:rPr>
              <w:t>(6)</w:t>
            </w: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900" w:type="dxa"/>
            <w:vAlign w:val="bottom"/>
            <w:gridSpan w:val="2"/>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November 28, 2019</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1,185</w:t>
            </w:r>
          </w:p>
        </w:tc>
        <w:tc>
          <w:tcPr>
            <w:tcW w:w="280" w:type="dxa"/>
            <w:vAlign w:val="bottom"/>
            <w:shd w:val="clear" w:color="auto" w:fill="D1D2D4"/>
          </w:tcPr>
          <w:p>
            <w:pPr>
              <w:jc w:val="right"/>
              <w:ind w:right="53"/>
              <w:spacing w:after="0"/>
              <w:rPr>
                <w:sz w:val="20"/>
                <w:szCs w:val="20"/>
                <w:color w:val="auto"/>
              </w:rPr>
            </w:pPr>
            <w:r>
              <w:rPr>
                <w:rFonts w:ascii="Arial" w:cs="Arial" w:eastAsia="Arial" w:hAnsi="Arial"/>
                <w:sz w:val="18"/>
                <w:szCs w:val="18"/>
                <w:color w:val="auto"/>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8,428</w:t>
            </w:r>
          </w:p>
        </w:tc>
        <w:tc>
          <w:tcPr>
            <w:tcW w:w="800" w:type="dxa"/>
            <w:vAlign w:val="bottom"/>
            <w:gridSpan w:val="3"/>
            <w:shd w:val="clear" w:color="auto" w:fill="D1D2D4"/>
          </w:tcPr>
          <w:p>
            <w:pPr>
              <w:jc w:val="right"/>
              <w:spacing w:after="0"/>
              <w:rPr>
                <w:sz w:val="20"/>
                <w:szCs w:val="20"/>
                <w:color w:val="auto"/>
              </w:rPr>
            </w:pPr>
            <w:r>
              <w:rPr>
                <w:rFonts w:ascii="Arial" w:cs="Arial" w:eastAsia="Arial" w:hAnsi="Arial"/>
                <w:sz w:val="18"/>
                <w:szCs w:val="18"/>
                <w:color w:val="auto"/>
              </w:rPr>
              <w:t>$ 31,218</w:t>
            </w:r>
          </w:p>
        </w:tc>
        <w:tc>
          <w:tcPr>
            <w:tcW w:w="800" w:type="dxa"/>
            <w:vAlign w:val="bottom"/>
            <w:gridSpan w:val="3"/>
            <w:shd w:val="clear" w:color="auto" w:fill="D1D2D4"/>
          </w:tcPr>
          <w:p>
            <w:pPr>
              <w:jc w:val="right"/>
              <w:spacing w:after="0"/>
              <w:rPr>
                <w:sz w:val="20"/>
                <w:szCs w:val="20"/>
                <w:color w:val="auto"/>
              </w:rPr>
            </w:pPr>
            <w:r>
              <w:rPr>
                <w:rFonts w:ascii="Arial" w:cs="Arial" w:eastAsia="Arial" w:hAnsi="Arial"/>
                <w:sz w:val="18"/>
                <w:szCs w:val="18"/>
                <w:color w:val="auto"/>
              </w:rPr>
              <w:t>$ (3,271)</w:t>
            </w:r>
          </w:p>
        </w:tc>
        <w:tc>
          <w:tcPr>
            <w:tcW w:w="380" w:type="dxa"/>
            <w:vAlign w:val="bottom"/>
            <w:shd w:val="clear" w:color="auto" w:fill="D1D2D4"/>
          </w:tcPr>
          <w:p>
            <w:pPr>
              <w:jc w:val="right"/>
              <w:ind w:right="17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36,500</w:t>
            </w:r>
          </w:p>
        </w:tc>
        <w:tc>
          <w:tcPr>
            <w:tcW w:w="740" w:type="dxa"/>
            <w:vAlign w:val="bottom"/>
            <w:shd w:val="clear" w:color="auto" w:fill="D1D2D4"/>
          </w:tcPr>
          <w:p>
            <w:pPr>
              <w:jc w:val="right"/>
              <w:ind w:right="532"/>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$36,500</w:t>
            </w:r>
          </w:p>
        </w:tc>
        <w:tc>
          <w:tcPr>
            <w:tcW w:w="0" w:type="dxa"/>
            <w:vAlign w:val="bottom"/>
          </w:tcPr>
          <w:p>
            <w:pPr>
              <w:spacing w:after="0"/>
              <w:rPr>
                <w:sz w:val="1"/>
                <w:szCs w:val="1"/>
                <w:color w:val="auto"/>
              </w:rPr>
            </w:pPr>
          </w:p>
        </w:tc>
      </w:tr>
      <w:tr>
        <w:trPr>
          <w:trHeight w:val="20"/>
        </w:trPr>
        <w:tc>
          <w:tcPr>
            <w:tcW w:w="2860" w:type="dxa"/>
            <w:vAlign w:val="bottom"/>
            <w:tcBorders>
              <w:top w:val="single" w:sz="8" w:color="D1D2D4"/>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20"/>
          <w:szCs w:val="20"/>
          <w:b w:val="1"/>
          <w:bCs w:val="1"/>
          <w:color w:val="0090DA"/>
        </w:rPr>
        <w:t>|</w:t>
      </w:r>
      <w:r>
        <w:rPr>
          <w:rFonts w:ascii="Arial" w:cs="Arial" w:eastAsia="Arial" w:hAnsi="Arial"/>
          <w:sz w:val="17"/>
          <w:szCs w:val="17"/>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40"/>
          <w:szCs w:val="40"/>
          <w:b w:val="1"/>
          <w:bCs w:val="1"/>
          <w:color w:val="auto"/>
        </w:rPr>
        <w:t>Micron Technology, Inc.</w:t>
      </w:r>
    </w:p>
    <w:p>
      <w:pPr>
        <w:spacing w:after="0" w:line="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Amortization of debt discount and other costs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(Gain) loss on debt prepayments, repurchases, and conversions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836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(2,738)</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(3,418)</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Acquisition of noncontrolling interest in IMFT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6,052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3"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10080"/>
        <w:spacing w:after="0"/>
        <w:rPr>
          <w:sz w:val="20"/>
          <w:szCs w:val="20"/>
          <w:color w:val="auto"/>
        </w:rPr>
      </w:pPr>
      <w:r>
        <w:rPr>
          <w:sz w:val="1"/>
          <w:szCs w:val="1"/>
          <w:color w:val="auto"/>
        </w:rPr>
        <w:drawing>
          <wp:inline distT="0" distB="0" distL="0" distR="0">
            <wp:extent cx="643255" cy="1803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2"/>
          <w:szCs w:val="12"/>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40"/>
          <w:szCs w:val="40"/>
          <w:b w:val="1"/>
          <w:bCs w:val="1"/>
          <w:color w:val="auto"/>
        </w:rPr>
        <w:t>Micron Technology, Inc.</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Basis of Presentation</w:t>
      </w:r>
    </w:p>
    <w:p>
      <w:pPr>
        <w:spacing w:after="0" w:line="26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accompanying consolidated financial statements include the accounts of Micron and our consolidated subsidiaries and have been prepared in accordance with accounting principles generally accepted in the United States of America consistent in all material respects with those applied in our Annual Report on Form 10-K for the year ended September 3, 2020. 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20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fiscal year is the 52 or 53-week period ending on the Thursday closest to August 31. Fiscal 2021 contains 52 weeks and our fiscal 2020 contained 53 weeks. The first quarters of fiscal 2021 and 2020 each contained 13 weeks. All period references are to our fiscal periods unless otherwise indicated. These interim financial statements should be read in conjunction with the consolidated financial statements and accompanying notes included in our Annual Report on Form 10-K for the year ended September 3, 2020.</w:t>
      </w:r>
    </w:p>
    <w:p>
      <w:pPr>
        <w:spacing w:after="0" w:line="196"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Through October 31, 2019, IMFT was a consolidated variable interest entity. We acquired Intel’s noncontrolling interest in IMFT on October 31, 2019, at which time IMFT, now known as MTU, became a wholly-owned subsidiary.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Adopted Accounting Standards</w:t>
      </w:r>
    </w:p>
    <w:p>
      <w:pPr>
        <w:spacing w:after="0" w:line="26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In November 2018, the Financial Accounting Standards Board (“FASB”) issued ASU 2018-18 –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We adopted ASU 2018-18 in the first quarter of 2021 under the retrospective adoption method to the date we adopted ASC 606, which was August 31, 2018. The adoption of this ASU did not have a significant impact on our financial statements.</w:t>
      </w:r>
    </w:p>
    <w:p>
      <w:pPr>
        <w:spacing w:after="0" w:line="2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June 2016, the FASB issued ASU 2016-13 –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We adopted ASU 2016-13 in the first quarter of 2021 under the modified retrospective adoption method. The adoption of this ASU did not have a significant impact on our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6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 August 2020, the FASB issued ASU 2020-06 – </w:t>
      </w:r>
      <w:r>
        <w:rPr>
          <w:rFonts w:ascii="Arial" w:cs="Arial" w:eastAsia="Arial" w:hAnsi="Arial"/>
          <w:sz w:val="18"/>
          <w:szCs w:val="18"/>
          <w:i w:val="1"/>
          <w:iCs w:val="1"/>
          <w:color w:val="auto"/>
        </w:rPr>
        <w:t>Debt - Debt with Conversion and Other Options and Derivatives and Hedging - Contracts in</w:t>
      </w:r>
      <w:r>
        <w:rPr>
          <w:rFonts w:ascii="Arial" w:cs="Arial" w:eastAsia="Arial" w:hAnsi="Arial"/>
          <w:sz w:val="18"/>
          <w:szCs w:val="18"/>
          <w:color w:val="auto"/>
        </w:rPr>
        <w:t xml:space="preserve"> </w:t>
      </w:r>
      <w:r>
        <w:rPr>
          <w:rFonts w:ascii="Arial" w:cs="Arial" w:eastAsia="Arial" w:hAnsi="Arial"/>
          <w:sz w:val="18"/>
          <w:szCs w:val="18"/>
          <w:i w:val="1"/>
          <w:iCs w:val="1"/>
          <w:color w:val="auto"/>
        </w:rPr>
        <w:t>Entity’s Own Equity</w:t>
      </w:r>
      <w:r>
        <w:rPr>
          <w:rFonts w:ascii="Arial" w:cs="Arial" w:eastAsia="Arial" w:hAnsi="Arial"/>
          <w:sz w:val="18"/>
          <w:szCs w:val="18"/>
          <w:color w:val="auto"/>
        </w:rPr>
        <w:t>, which simplifies the accounting for convertible debt instruments by reducing the number of accounting models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embedded conversion features that could be recognized separately from the primary contract. This ASU requires a convertible debt instrument to be accounted for as a single liability measured at its amortized cost, as long as no other features require bifurcation and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bookmarkStart w:id="10" w:name="page11"/>
    <w:bookmarkEnd w:id="10"/>
    <w:p>
      <w:pPr>
        <w:ind w:right="380"/>
        <w:spacing w:after="0" w:line="264" w:lineRule="auto"/>
        <w:rPr>
          <w:sz w:val="20"/>
          <w:szCs w:val="20"/>
          <w:color w:val="auto"/>
        </w:rPr>
      </w:pPr>
      <w:r>
        <w:rPr>
          <w:rFonts w:ascii="Arial" w:cs="Arial" w:eastAsia="Arial" w:hAnsi="Arial"/>
          <w:sz w:val="18"/>
          <w:szCs w:val="18"/>
          <w:color w:val="auto"/>
        </w:rPr>
        <w:t>recognition as derivatives. This ASU requires an entity to use the if-converted method in the diluted earnings per share calculation for convertible instruments. This ASU will be effective for us in the first quarter of 2023, with early adoption permitted beginning in the first quarter of 2022, and permits the use of either the modified retrospective or fully retrospective method of transition. We are evaluating the timing and effects of our adoption of this ASU on our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69"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color w:val="auto"/>
        </w:rPr>
        <w:t>Substantially all of our marketable debt and equity investments were classified as available-for-sale as of the dates noted below. Cash and equivalents and the fair values of our available-for-sale investments, which approximated amortized costs,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20" w:type="dxa"/>
            <w:vAlign w:val="bottom"/>
          </w:tcPr>
          <w:p>
            <w:pPr>
              <w:spacing w:after="0"/>
              <w:rPr>
                <w:sz w:val="20"/>
                <w:szCs w:val="20"/>
                <w:color w:val="auto"/>
              </w:rPr>
            </w:pPr>
          </w:p>
        </w:tc>
        <w:tc>
          <w:tcPr>
            <w:tcW w:w="140" w:type="dxa"/>
            <w:vAlign w:val="bottom"/>
            <w:tcBorders>
              <w:bottom w:val="single" w:sz="8" w:color="00A3E1"/>
            </w:tcBorders>
          </w:tcPr>
          <w:p>
            <w:pPr>
              <w:spacing w:after="0"/>
              <w:rPr>
                <w:sz w:val="20"/>
                <w:szCs w:val="20"/>
                <w:color w:val="auto"/>
              </w:rPr>
            </w:pPr>
          </w:p>
        </w:tc>
        <w:tc>
          <w:tcPr>
            <w:tcW w:w="980" w:type="dxa"/>
            <w:vAlign w:val="bottom"/>
            <w:tcBorders>
              <w:bottom w:val="single" w:sz="8" w:color="00A3E1"/>
            </w:tcBorders>
          </w:tcPr>
          <w:p>
            <w:pPr>
              <w:spacing w:after="0"/>
              <w:rPr>
                <w:sz w:val="20"/>
                <w:szCs w:val="20"/>
                <w:color w:val="auto"/>
              </w:rPr>
            </w:pPr>
          </w:p>
        </w:tc>
        <w:tc>
          <w:tcPr>
            <w:tcW w:w="120" w:type="dxa"/>
            <w:vAlign w:val="bottom"/>
            <w:tcBorders>
              <w:bottom w:val="single" w:sz="8" w:color="00A3E1"/>
            </w:tcBorders>
          </w:tcPr>
          <w:p>
            <w:pPr>
              <w:spacing w:after="0"/>
              <w:rPr>
                <w:sz w:val="20"/>
                <w:szCs w:val="20"/>
                <w:color w:val="auto"/>
              </w:rPr>
            </w:pPr>
          </w:p>
        </w:tc>
        <w:tc>
          <w:tcPr>
            <w:tcW w:w="2420" w:type="dxa"/>
            <w:vAlign w:val="bottom"/>
            <w:tcBorders>
              <w:bottom w:val="single" w:sz="8" w:color="00A3E1"/>
            </w:tcBorders>
            <w:gridSpan w:val="3"/>
          </w:tcPr>
          <w:p>
            <w:pPr>
              <w:jc w:val="right"/>
              <w:ind w:right="530"/>
              <w:spacing w:after="0"/>
              <w:rPr>
                <w:sz w:val="20"/>
                <w:szCs w:val="20"/>
                <w:color w:val="auto"/>
              </w:rPr>
            </w:pPr>
            <w:r>
              <w:rPr>
                <w:rFonts w:ascii="Arial" w:cs="Arial" w:eastAsia="Arial" w:hAnsi="Arial"/>
                <w:sz w:val="18"/>
                <w:szCs w:val="18"/>
                <w:b w:val="1"/>
                <w:bCs w:val="1"/>
                <w:color w:val="auto"/>
              </w:rPr>
              <w:t>December 3, 2020</w:t>
            </w:r>
          </w:p>
        </w:tc>
        <w:tc>
          <w:tcPr>
            <w:tcW w:w="180" w:type="dxa"/>
            <w:vAlign w:val="bottom"/>
            <w:tcBorders>
              <w:bottom w:val="single" w:sz="8" w:color="00A3E1"/>
            </w:tcBorders>
          </w:tcPr>
          <w:p>
            <w:pPr>
              <w:spacing w:after="0"/>
              <w:rPr>
                <w:sz w:val="20"/>
                <w:szCs w:val="20"/>
                <w:color w:val="auto"/>
              </w:rPr>
            </w:pPr>
          </w:p>
        </w:tc>
        <w:tc>
          <w:tcPr>
            <w:tcW w:w="700" w:type="dxa"/>
            <w:vAlign w:val="bottom"/>
            <w:tcBorders>
              <w:bottom w:val="single" w:sz="8" w:color="00A3E1"/>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00A3E1"/>
            </w:tcBorders>
          </w:tcPr>
          <w:p>
            <w:pPr>
              <w:spacing w:after="0"/>
              <w:rPr>
                <w:sz w:val="20"/>
                <w:szCs w:val="20"/>
                <w:color w:val="auto"/>
              </w:rPr>
            </w:pPr>
          </w:p>
        </w:tc>
        <w:tc>
          <w:tcPr>
            <w:tcW w:w="980" w:type="dxa"/>
            <w:vAlign w:val="bottom"/>
            <w:tcBorders>
              <w:bottom w:val="single" w:sz="8" w:color="00A3E1"/>
            </w:tcBorders>
          </w:tcPr>
          <w:p>
            <w:pPr>
              <w:spacing w:after="0"/>
              <w:rPr>
                <w:sz w:val="20"/>
                <w:szCs w:val="20"/>
                <w:color w:val="auto"/>
              </w:rPr>
            </w:pPr>
          </w:p>
        </w:tc>
        <w:tc>
          <w:tcPr>
            <w:tcW w:w="120" w:type="dxa"/>
            <w:vAlign w:val="bottom"/>
            <w:tcBorders>
              <w:bottom w:val="single" w:sz="8" w:color="00A3E1"/>
            </w:tcBorders>
          </w:tcPr>
          <w:p>
            <w:pPr>
              <w:spacing w:after="0"/>
              <w:rPr>
                <w:sz w:val="20"/>
                <w:szCs w:val="20"/>
                <w:color w:val="auto"/>
              </w:rPr>
            </w:pPr>
          </w:p>
        </w:tc>
        <w:tc>
          <w:tcPr>
            <w:tcW w:w="2420" w:type="dxa"/>
            <w:vAlign w:val="bottom"/>
            <w:tcBorders>
              <w:bottom w:val="single" w:sz="8" w:color="00A3E1"/>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3, 2020</w:t>
            </w:r>
          </w:p>
        </w:tc>
        <w:tc>
          <w:tcPr>
            <w:tcW w:w="180" w:type="dxa"/>
            <w:vAlign w:val="bottom"/>
            <w:tcBorders>
              <w:bottom w:val="single" w:sz="8" w:color="00A3E1"/>
            </w:tcBorders>
          </w:tcPr>
          <w:p>
            <w:pPr>
              <w:spacing w:after="0"/>
              <w:rPr>
                <w:sz w:val="20"/>
                <w:szCs w:val="20"/>
                <w:color w:val="auto"/>
              </w:rPr>
            </w:pPr>
          </w:p>
        </w:tc>
        <w:tc>
          <w:tcPr>
            <w:tcW w:w="720" w:type="dxa"/>
            <w:vAlign w:val="bottom"/>
            <w:tcBorders>
              <w:bottom w:val="single" w:sz="8" w:color="00A3E1"/>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4"/>
                <w:szCs w:val="14"/>
                <w:color w:val="auto"/>
              </w:rPr>
            </w:pPr>
          </w:p>
        </w:tc>
        <w:tc>
          <w:tcPr>
            <w:tcW w:w="118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8"/>
              </w:rPr>
              <w:t>Long-term</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8"/>
              </w:rPr>
              <w:t>Total Fair</w:t>
            </w:r>
          </w:p>
        </w:tc>
        <w:tc>
          <w:tcPr>
            <w:tcW w:w="1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4"/>
                <w:szCs w:val="14"/>
                <w:color w:val="auto"/>
              </w:rPr>
            </w:pPr>
          </w:p>
        </w:tc>
        <w:tc>
          <w:tcPr>
            <w:tcW w:w="11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75"/>
        </w:trPr>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Marketable</w:t>
            </w: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18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202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3,082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3,082</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1,828</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2,155</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2,586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Government securities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76"/>
        </w:trPr>
        <w:tc>
          <w:tcPr>
            <w:tcW w:w="2020" w:type="dxa"/>
            <w:vAlign w:val="bottom"/>
          </w:tcPr>
          <w:p>
            <w:pPr>
              <w:ind w:left="140"/>
              <w:spacing w:after="0" w:line="176" w:lineRule="exact"/>
              <w:rPr>
                <w:sz w:val="20"/>
                <w:szCs w:val="20"/>
                <w:color w:val="auto"/>
              </w:rPr>
            </w:pPr>
            <w:r>
              <w:rPr>
                <w:rFonts w:ascii="Arial" w:cs="Arial" w:eastAsia="Arial" w:hAnsi="Arial"/>
                <w:sz w:val="18"/>
                <w:szCs w:val="18"/>
                <w:color w:val="auto"/>
              </w:rPr>
              <w:t>Asset-backed</w:t>
            </w: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5,985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67</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66</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20" w:type="dxa"/>
            <w:vAlign w:val="bottom"/>
          </w:tcPr>
          <w:p>
            <w:pPr>
              <w:ind w:left="20"/>
              <w:spacing w:after="0" w:line="156" w:lineRule="exact"/>
              <w:rPr>
                <w:sz w:val="20"/>
                <w:szCs w:val="20"/>
                <w:color w:val="auto"/>
              </w:rPr>
            </w:pPr>
            <w:r>
              <w:rPr>
                <w:rFonts w:ascii="Arial" w:cs="Arial" w:eastAsia="Arial" w:hAnsi="Arial"/>
                <w:sz w:val="18"/>
                <w:szCs w:val="18"/>
                <w:color w:val="auto"/>
              </w:rPr>
              <w:t>Cash, cash equivalents,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6,052</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7,690</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20" w:type="dxa"/>
            <w:vAlign w:val="bottom"/>
          </w:tcPr>
          <w:p>
            <w:pPr>
              <w:ind w:left="20"/>
              <w:spacing w:after="0" w:line="202" w:lineRule="exact"/>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hanging="232"/>
        <w:spacing w:after="0"/>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securities range from one to four years.</w:t>
      </w:r>
    </w:p>
    <w:p>
      <w:pPr>
        <w:ind w:left="240" w:hanging="232"/>
        <w:spacing w:after="0" w:line="196" w:lineRule="auto"/>
        <w:tabs>
          <w:tab w:leader="none" w:pos="2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December 3, 2020 or September 3, 2020.</w:t>
      </w:r>
    </w:p>
    <w:p>
      <w:pPr>
        <w:spacing w:after="0" w:line="1" w:lineRule="exact"/>
        <w:rPr>
          <w:rFonts w:ascii="Arial" w:cs="Arial" w:eastAsia="Arial" w:hAnsi="Arial"/>
          <w:sz w:val="23"/>
          <w:szCs w:val="23"/>
          <w:i w:val="1"/>
          <w:iCs w:val="1"/>
          <w:color w:val="auto"/>
          <w:vertAlign w:val="superscript"/>
        </w:rPr>
      </w:pPr>
    </w:p>
    <w:p>
      <w:pPr>
        <w:ind w:left="260" w:right="580" w:hanging="252"/>
        <w:spacing w:after="0" w:line="222"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noncurrent assets and primarily relates to certain government incentives received prior to being earned and for which restrictions lapse upon achieving certain performance conditions.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spacing w:after="0"/>
        <w:rPr>
          <w:sz w:val="20"/>
          <w:szCs w:val="20"/>
          <w:color w:val="auto"/>
        </w:rPr>
      </w:pPr>
      <w:r>
        <w:rPr>
          <w:rFonts w:ascii="Arial" w:cs="Arial" w:eastAsia="Arial" w:hAnsi="Arial"/>
          <w:sz w:val="40"/>
          <w:szCs w:val="40"/>
          <w:b w:val="1"/>
          <w:bCs w:val="1"/>
          <w:color w:val="auto"/>
        </w:rPr>
        <w:t>Receivables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w:t>
            </w:r>
          </w:p>
        </w:tc>
        <w:tc>
          <w:tcPr>
            <w:tcW w:w="18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3,182</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Inventories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w:t>
            </w:r>
          </w:p>
        </w:tc>
        <w:tc>
          <w:tcPr>
            <w:tcW w:w="18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3,878</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765</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December 3,</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A3E1"/>
            </w:tcBorders>
          </w:tcPr>
          <w:p>
            <w:pPr>
              <w:spacing w:after="0"/>
              <w:rPr>
                <w:sz w:val="19"/>
                <w:szCs w:val="19"/>
                <w:color w:val="auto"/>
              </w:rPr>
            </w:pPr>
          </w:p>
        </w:tc>
        <w:tc>
          <w:tcPr>
            <w:tcW w:w="124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14,447</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13,981</w:t>
            </w:r>
          </w:p>
        </w:tc>
        <w:tc>
          <w:tcPr>
            <w:tcW w:w="0" w:type="dxa"/>
            <w:vAlign w:val="bottom"/>
          </w:tcPr>
          <w:p>
            <w:pPr>
              <w:spacing w:after="0"/>
              <w:rPr>
                <w:sz w:val="1"/>
                <w:szCs w:val="1"/>
                <w:color w:val="auto"/>
              </w:rPr>
            </w:pPr>
          </w:p>
        </w:tc>
      </w:tr>
      <w:tr>
        <w:trPr>
          <w:trHeight w:val="230"/>
        </w:trPr>
        <w:tc>
          <w:tcPr>
            <w:tcW w:w="848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14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50,291</w:t>
            </w:r>
          </w:p>
        </w:tc>
        <w:tc>
          <w:tcPr>
            <w:tcW w:w="1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48,525</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30"/>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67,823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65,331</w:t>
            </w:r>
          </w:p>
        </w:tc>
        <w:tc>
          <w:tcPr>
            <w:tcW w:w="0" w:type="dxa"/>
            <w:vAlign w:val="bottom"/>
          </w:tcPr>
          <w:p>
            <w:pPr>
              <w:spacing w:after="0"/>
              <w:rPr>
                <w:sz w:val="1"/>
                <w:szCs w:val="1"/>
                <w:color w:val="auto"/>
              </w:rPr>
            </w:pPr>
          </w:p>
        </w:tc>
      </w:tr>
      <w:tr>
        <w:trPr>
          <w:trHeight w:val="229"/>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(35,594)</w:t>
            </w:r>
          </w:p>
        </w:tc>
        <w:tc>
          <w:tcPr>
            <w:tcW w:w="1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(34,300)</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60" w:right="200" w:hanging="252"/>
        <w:spacing w:after="0" w:line="230" w:lineRule="auto"/>
        <w:tabs>
          <w:tab w:leader="none" w:pos="254"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costs related to equipment not placed into service of $2.41 billion as of December 3, 2020 and $1.63 billion as of September 3, 2020.</w:t>
      </w:r>
    </w:p>
    <w:p>
      <w:pPr>
        <w:ind w:left="240" w:hanging="232"/>
        <w:spacing w:after="0" w:line="200" w:lineRule="auto"/>
        <w:tabs>
          <w:tab w:leader="none" w:pos="24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building-related construction, tool installation, and software costs for assets not placed into service.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 and Goodwill</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3, 2020</w:t>
            </w:r>
          </w:p>
        </w:tc>
        <w:tc>
          <w:tcPr>
            <w:tcW w:w="240" w:type="dxa"/>
            <w:vAlign w:val="bottom"/>
          </w:tcPr>
          <w:p>
            <w:pPr>
              <w:spacing w:after="0"/>
              <w:rPr>
                <w:sz w:val="20"/>
                <w:szCs w:val="20"/>
                <w:color w:val="auto"/>
              </w:rPr>
            </w:pPr>
          </w:p>
        </w:tc>
        <w:tc>
          <w:tcPr>
            <w:tcW w:w="26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September 3, 2020</w:t>
            </w:r>
          </w:p>
        </w:tc>
        <w:tc>
          <w:tcPr>
            <w:tcW w:w="0" w:type="dxa"/>
            <w:vAlign w:val="bottom"/>
          </w:tcPr>
          <w:p>
            <w:pPr>
              <w:spacing w:after="0"/>
              <w:rPr>
                <w:sz w:val="1"/>
                <w:szCs w:val="1"/>
                <w:color w:val="auto"/>
              </w:rPr>
            </w:pPr>
          </w:p>
        </w:tc>
      </w:tr>
      <w:tr>
        <w:trPr>
          <w:trHeight w:val="169"/>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Borders>
              <w:top w:val="single" w:sz="8" w:color="00A3E1"/>
            </w:tcBorders>
          </w:tcPr>
          <w:p>
            <w:pPr>
              <w:spacing w:after="0"/>
              <w:rPr>
                <w:sz w:val="14"/>
                <w:szCs w:val="14"/>
                <w:color w:val="auto"/>
              </w:rPr>
            </w:pPr>
          </w:p>
        </w:tc>
        <w:tc>
          <w:tcPr>
            <w:tcW w:w="1160" w:type="dxa"/>
            <w:vAlign w:val="bottom"/>
            <w:tcBorders>
              <w:top w:val="single" w:sz="8" w:color="00A3E1"/>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00A3E1"/>
            </w:tcBorders>
          </w:tcPr>
          <w:p>
            <w:pPr>
              <w:spacing w:after="0"/>
              <w:rPr>
                <w:sz w:val="14"/>
                <w:szCs w:val="14"/>
                <w:color w:val="auto"/>
              </w:rPr>
            </w:pPr>
          </w:p>
        </w:tc>
        <w:tc>
          <w:tcPr>
            <w:tcW w:w="1300" w:type="dxa"/>
            <w:vAlign w:val="bottom"/>
            <w:tcBorders>
              <w:top w:val="single" w:sz="8" w:color="00A3E1"/>
            </w:tcBorders>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4"/>
                <w:szCs w:val="14"/>
                <w:color w:val="auto"/>
              </w:rPr>
            </w:pPr>
          </w:p>
        </w:tc>
        <w:tc>
          <w:tcPr>
            <w:tcW w:w="240" w:type="dxa"/>
            <w:vAlign w:val="bottom"/>
            <w:tcBorders>
              <w:top w:val="single" w:sz="8" w:color="00A3E1"/>
            </w:tcBorders>
          </w:tcPr>
          <w:p>
            <w:pPr>
              <w:spacing w:after="0"/>
              <w:rPr>
                <w:sz w:val="14"/>
                <w:szCs w:val="14"/>
                <w:color w:val="auto"/>
              </w:rPr>
            </w:pPr>
          </w:p>
        </w:tc>
        <w:tc>
          <w:tcPr>
            <w:tcW w:w="1160" w:type="dxa"/>
            <w:vAlign w:val="bottom"/>
            <w:tcBorders>
              <w:top w:val="single" w:sz="8" w:color="00A3E1"/>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00A3E1"/>
            </w:tcBorders>
          </w:tcPr>
          <w:p>
            <w:pPr>
              <w:spacing w:after="0"/>
              <w:rPr>
                <w:sz w:val="14"/>
                <w:szCs w:val="14"/>
                <w:color w:val="auto"/>
              </w:rPr>
            </w:pPr>
          </w:p>
        </w:tc>
        <w:tc>
          <w:tcPr>
            <w:tcW w:w="1300" w:type="dxa"/>
            <w:vAlign w:val="bottom"/>
            <w:tcBorders>
              <w:top w:val="single" w:sz="8" w:color="00A3E1"/>
            </w:tcBorders>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29"/>
        </w:trPr>
        <w:tc>
          <w:tcPr>
            <w:tcW w:w="53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34"/>
        </w:trPr>
        <w:tc>
          <w:tcPr>
            <w:tcW w:w="536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Product and process technology</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In the first quarters of 2021 and 2020, we capitalized $22 million and $12 million, respectively, for product and process technology with weighted-average useful lives of 10 years and 11 years, respectively. Expected</w:t>
      </w:r>
    </w:p>
    <w:p>
      <w:pPr>
        <w:sectPr>
          <w:pgSz w:w="11900" w:h="16838" w:orient="portrait"/>
          <w:cols w:equalWidth="0" w:num="1">
            <w:col w:w="11240"/>
          </w:cols>
          <w:pgMar w:left="320" w:top="91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 </w:t>
      </w:r>
      <w:r>
        <w:rPr>
          <w:rFonts w:ascii="Arial" w:cs="Arial" w:eastAsia="Arial" w:hAnsi="Arial"/>
          <w:sz w:val="20"/>
          <w:szCs w:val="20"/>
          <w:b w:val="1"/>
          <w:bCs w:val="1"/>
          <w:color w:val="0090DA"/>
        </w:rPr>
        <w:t>|</w:t>
      </w:r>
      <w:r>
        <w:rPr>
          <w:rFonts w:ascii="Arial" w:cs="Arial" w:eastAsia="Arial" w:hAnsi="Arial"/>
          <w:sz w:val="17"/>
          <w:szCs w:val="17"/>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2" w:name="page13"/>
    <w:bookmarkEnd w:id="12"/>
    <w:p>
      <w:pPr>
        <w:ind w:right="40"/>
        <w:spacing w:after="0" w:line="292" w:lineRule="auto"/>
        <w:rPr>
          <w:sz w:val="20"/>
          <w:szCs w:val="20"/>
          <w:color w:val="auto"/>
        </w:rPr>
      </w:pPr>
      <w:r>
        <w:rPr>
          <w:rFonts w:ascii="Arial" w:cs="Arial" w:eastAsia="Arial" w:hAnsi="Arial"/>
          <w:sz w:val="18"/>
          <w:szCs w:val="18"/>
          <w:color w:val="auto"/>
        </w:rPr>
        <w:t>amortization expense is $57 million for the remainder of 2021, $60 million for 2022, $53 million for 2023, $47 million for 2024, and $26 million for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Leases</w:t>
      </w:r>
    </w:p>
    <w:p>
      <w:pPr>
        <w:spacing w:after="0" w:line="269"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color w:val="auto"/>
        </w:rPr>
        <w:t>Short-term and variable lease expenses were not significant and are presented within operating lease costs in the table below. Sublease income was not significant in the first quarters of 2021 or 2020. The components of lease expense are presented below:</w:t>
      </w:r>
    </w:p>
    <w:tbl>
      <w:tblPr>
        <w:tblLayout w:type="fixed"/>
        <w:tblInd w:w="0" w:type="dxa"/>
        <w:tblCellMar>
          <w:top w:w="0" w:type="dxa"/>
          <w:left w:w="0" w:type="dxa"/>
          <w:bottom w:w="0" w:type="dxa"/>
          <w:right w:w="0" w:type="dxa"/>
        </w:tblCellMar>
      </w:tblPr>
      <w:tr>
        <w:trPr>
          <w:trHeight w:val="188"/>
        </w:trPr>
        <w:tc>
          <w:tcPr>
            <w:tcW w:w="8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6"/>
                <w:szCs w:val="16"/>
                <w:color w:val="auto"/>
              </w:rPr>
            </w:pPr>
          </w:p>
        </w:tc>
        <w:tc>
          <w:tcPr>
            <w:tcW w:w="118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rPr>
              <w:t>December 3,</w:t>
            </w:r>
          </w:p>
        </w:tc>
        <w:tc>
          <w:tcPr>
            <w:tcW w:w="136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November 28,</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center"/>
              <w:ind w:right="1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34"/>
        </w:trPr>
        <w:tc>
          <w:tcPr>
            <w:tcW w:w="8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DDDDDD"/>
          </w:tcPr>
          <w:p>
            <w:pPr>
              <w:ind w:left="20"/>
              <w:spacing w:after="0"/>
              <w:rPr>
                <w:sz w:val="20"/>
                <w:szCs w:val="20"/>
                <w:color w:val="auto"/>
              </w:rPr>
            </w:pPr>
            <w:r>
              <w:rPr>
                <w:rFonts w:ascii="Arial" w:cs="Arial" w:eastAsia="Arial" w:hAnsi="Arial"/>
                <w:sz w:val="18"/>
                <w:szCs w:val="18"/>
                <w:color w:val="auto"/>
              </w:rPr>
              <w:t>Finance lease cost</w:t>
            </w: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560" w:type="dxa"/>
            <w:vAlign w:val="bottom"/>
            <w:shd w:val="clear" w:color="auto" w:fill="DDDDDD"/>
          </w:tcPr>
          <w:p>
            <w:pPr>
              <w:ind w:left="140"/>
              <w:spacing w:after="0"/>
              <w:rPr>
                <w:sz w:val="20"/>
                <w:szCs w:val="20"/>
                <w:color w:val="auto"/>
              </w:rPr>
            </w:pPr>
            <w:r>
              <w:rPr>
                <w:rFonts w:ascii="Arial" w:cs="Arial" w:eastAsia="Arial" w:hAnsi="Arial"/>
                <w:sz w:val="18"/>
                <w:szCs w:val="18"/>
                <w:color w:val="auto"/>
              </w:rPr>
              <w:t>Interest on lease liabilities</w:t>
            </w: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auto"/>
            </w:tcBorders>
            <w:shd w:val="clear" w:color="auto" w:fill="DDDDDD"/>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8560" w:type="dxa"/>
            <w:vAlign w:val="bottom"/>
            <w:tcBorders>
              <w:top w:val="single" w:sz="8" w:color="DDDDDD"/>
              <w:bottom w:val="single" w:sz="8" w:color="DDDDDD"/>
            </w:tcBorders>
            <w:vMerge w:val="restart"/>
          </w:tcPr>
          <w:p>
            <w:pPr>
              <w:spacing w:after="0"/>
              <w:rPr>
                <w:sz w:val="20"/>
                <w:szCs w:val="20"/>
                <w:color w:val="auto"/>
              </w:rPr>
            </w:pPr>
            <w:r>
              <w:rPr>
                <w:rFonts w:ascii="Arial" w:cs="Arial" w:eastAsia="Arial" w:hAnsi="Arial"/>
                <w:sz w:val="18"/>
                <w:szCs w:val="18"/>
                <w:color w:val="auto"/>
              </w:rPr>
              <w:t>Other information related to our leases was as follows:</w:t>
            </w: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180" w:type="dxa"/>
            <w:vAlign w:val="bottom"/>
            <w:tcBorders>
              <w:top w:val="single" w:sz="8" w:color="DDDDDD"/>
              <w:bottom w:val="single" w:sz="8" w:color="auto"/>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0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8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180" w:type="dxa"/>
            <w:vAlign w:val="bottom"/>
          </w:tcPr>
          <w:p>
            <w:pPr>
              <w:jc w:val="center"/>
              <w:ind w:right="10"/>
              <w:spacing w:after="0" w:line="199" w:lineRule="exact"/>
              <w:rPr>
                <w:sz w:val="20"/>
                <w:szCs w:val="20"/>
                <w:color w:val="auto"/>
              </w:rPr>
            </w:pPr>
            <w:r>
              <w:rPr>
                <w:rFonts w:ascii="Arial" w:cs="Arial" w:eastAsia="Arial" w:hAnsi="Arial"/>
                <w:sz w:val="18"/>
                <w:szCs w:val="18"/>
                <w:b w:val="1"/>
                <w:bCs w:val="1"/>
                <w:color w:val="auto"/>
              </w:rPr>
              <w:t>December 3,</w:t>
            </w:r>
          </w:p>
        </w:tc>
        <w:tc>
          <w:tcPr>
            <w:tcW w:w="1360" w:type="dxa"/>
            <w:vAlign w:val="bottom"/>
            <w:gridSpan w:val="2"/>
          </w:tcPr>
          <w:p>
            <w:pPr>
              <w:jc w:val="center"/>
              <w:spacing w:after="0" w:line="199" w:lineRule="exact"/>
              <w:rPr>
                <w:sz w:val="20"/>
                <w:szCs w:val="20"/>
                <w:color w:val="auto"/>
              </w:rPr>
            </w:pPr>
            <w:r>
              <w:rPr>
                <w:rFonts w:ascii="Arial" w:cs="Arial" w:eastAsia="Arial" w:hAnsi="Arial"/>
                <w:sz w:val="18"/>
                <w:szCs w:val="18"/>
                <w:b w:val="1"/>
                <w:bCs w:val="1"/>
                <w:color w:val="auto"/>
                <w:w w:val="99"/>
              </w:rPr>
              <w:t>November 28,</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center"/>
              <w:ind w:right="1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34"/>
        </w:trPr>
        <w:tc>
          <w:tcPr>
            <w:tcW w:w="8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56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56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 from financing leases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85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8"/>
                <w:szCs w:val="18"/>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w:t>
            </w:r>
          </w:p>
        </w:tc>
        <w:tc>
          <w:tcPr>
            <w:tcW w:w="20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A3E1"/>
            </w:tcBorders>
          </w:tcPr>
          <w:p>
            <w:pPr>
              <w:spacing w:after="0"/>
              <w:rPr>
                <w:sz w:val="19"/>
                <w:szCs w:val="19"/>
                <w:color w:val="auto"/>
              </w:rPr>
            </w:pPr>
          </w:p>
        </w:tc>
        <w:tc>
          <w:tcPr>
            <w:tcW w:w="1480" w:type="dxa"/>
            <w:vAlign w:val="bottom"/>
            <w:tcBorders>
              <w:bottom w:val="single" w:sz="8" w:color="00A3E1"/>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A3E1"/>
            </w:tcBorders>
          </w:tcPr>
          <w:p>
            <w:pPr>
              <w:spacing w:after="0"/>
              <w:rPr>
                <w:sz w:val="19"/>
                <w:szCs w:val="19"/>
                <w:color w:val="auto"/>
              </w:rPr>
            </w:pPr>
          </w:p>
        </w:tc>
        <w:tc>
          <w:tcPr>
            <w:tcW w:w="1440" w:type="dxa"/>
            <w:vAlign w:val="bottom"/>
            <w:tcBorders>
              <w:bottom w:val="single" w:sz="8" w:color="00A3E1"/>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right-of-use assets (included in property, plant, and equipment)</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D1D2D4"/>
          </w:tcPr>
          <w:p>
            <w:pPr>
              <w:spacing w:after="0"/>
              <w:rPr>
                <w:sz w:val="19"/>
                <w:szCs w:val="19"/>
                <w:color w:val="auto"/>
              </w:rPr>
            </w:pPr>
          </w:p>
        </w:tc>
        <w:tc>
          <w:tcPr>
            <w:tcW w:w="148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5</w:t>
            </w:r>
          </w:p>
        </w:tc>
        <w:tc>
          <w:tcPr>
            <w:tcW w:w="200" w:type="dxa"/>
            <w:vAlign w:val="bottom"/>
            <w:shd w:val="clear" w:color="auto" w:fill="D1D2D4"/>
          </w:tcPr>
          <w:p>
            <w:pPr>
              <w:spacing w:after="0"/>
              <w:rPr>
                <w:sz w:val="19"/>
                <w:szCs w:val="19"/>
                <w:color w:val="auto"/>
              </w:rPr>
            </w:pPr>
          </w:p>
        </w:tc>
        <w:tc>
          <w:tcPr>
            <w:tcW w:w="144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shd w:val="clear" w:color="auto" w:fill="D1D2D4"/>
          </w:tcPr>
          <w:p>
            <w:pPr>
              <w:spacing w:after="0"/>
              <w:rPr>
                <w:sz w:val="19"/>
                <w:szCs w:val="19"/>
                <w:color w:val="auto"/>
              </w:rPr>
            </w:pPr>
          </w:p>
        </w:tc>
        <w:tc>
          <w:tcPr>
            <w:tcW w:w="148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4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4.13 %</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230"/>
        </w:trPr>
        <w:tc>
          <w:tcPr>
            <w:tcW w:w="7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D1D2D4"/>
          </w:tcPr>
          <w:p>
            <w:pPr>
              <w:spacing w:after="0"/>
              <w:rPr>
                <w:sz w:val="19"/>
                <w:szCs w:val="19"/>
                <w:color w:val="auto"/>
              </w:rPr>
            </w:pPr>
          </w:p>
        </w:tc>
        <w:tc>
          <w:tcPr>
            <w:tcW w:w="14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2.66 %</w:t>
            </w:r>
          </w:p>
        </w:tc>
        <w:tc>
          <w:tcPr>
            <w:tcW w:w="200" w:type="dxa"/>
            <w:vAlign w:val="bottom"/>
            <w:shd w:val="clear" w:color="auto" w:fill="D1D2D4"/>
          </w:tcPr>
          <w:p>
            <w:pPr>
              <w:spacing w:after="0"/>
              <w:rPr>
                <w:sz w:val="19"/>
                <w:szCs w:val="19"/>
                <w:color w:val="auto"/>
              </w:rPr>
            </w:pP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3"/>
        </w:trPr>
        <w:tc>
          <w:tcPr>
            <w:tcW w:w="8560" w:type="dxa"/>
            <w:vAlign w:val="bottom"/>
          </w:tcPr>
          <w:p>
            <w:pPr>
              <w:spacing w:after="0"/>
              <w:rPr>
                <w:sz w:val="20"/>
                <w:szCs w:val="20"/>
                <w:color w:val="auto"/>
              </w:rPr>
            </w:pPr>
            <w:r>
              <w:rPr>
                <w:rFonts w:ascii="Arial" w:cs="Arial" w:eastAsia="Arial" w:hAnsi="Arial"/>
                <w:sz w:val="18"/>
                <w:szCs w:val="18"/>
                <w:color w:val="auto"/>
              </w:rPr>
              <w:t>Maturities of lease liabilities existing as of December 3, 2020 were as follows: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240" w:type="dxa"/>
            <w:vAlign w:val="bottom"/>
          </w:tcPr>
          <w:p>
            <w:pPr>
              <w:spacing w:after="0"/>
              <w:rPr>
                <w:sz w:val="17"/>
                <w:szCs w:val="17"/>
                <w:color w:val="auto"/>
              </w:rPr>
            </w:pPr>
          </w:p>
        </w:tc>
        <w:tc>
          <w:tcPr>
            <w:tcW w:w="1100" w:type="dxa"/>
            <w:vAlign w:val="bottom"/>
          </w:tcPr>
          <w:p>
            <w:pPr>
              <w:jc w:val="right"/>
              <w:ind w:right="230"/>
              <w:spacing w:after="0" w:line="199" w:lineRule="exact"/>
              <w:rPr>
                <w:sz w:val="20"/>
                <w:szCs w:val="20"/>
                <w:color w:val="auto"/>
              </w:rPr>
            </w:pPr>
            <w:r>
              <w:rPr>
                <w:rFonts w:ascii="Arial" w:cs="Arial" w:eastAsia="Arial" w:hAnsi="Arial"/>
                <w:sz w:val="18"/>
                <w:szCs w:val="18"/>
                <w:b w:val="1"/>
                <w:bCs w:val="1"/>
                <w:color w:val="auto"/>
              </w:rPr>
              <w:t>Finance</w:t>
            </w:r>
          </w:p>
        </w:tc>
        <w:tc>
          <w:tcPr>
            <w:tcW w:w="180" w:type="dxa"/>
            <w:vAlign w:val="bottom"/>
          </w:tcPr>
          <w:p>
            <w:pPr>
              <w:spacing w:after="0"/>
              <w:rPr>
                <w:sz w:val="17"/>
                <w:szCs w:val="17"/>
                <w:color w:val="auto"/>
              </w:rPr>
            </w:pPr>
          </w:p>
        </w:tc>
        <w:tc>
          <w:tcPr>
            <w:tcW w:w="1160" w:type="dxa"/>
            <w:vAlign w:val="bottom"/>
          </w:tcPr>
          <w:p>
            <w:pPr>
              <w:jc w:val="right"/>
              <w:ind w:right="150"/>
              <w:spacing w:after="0" w:line="199" w:lineRule="exact"/>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0090DA"/>
            </w:tcBorders>
            <w:vMerge w:val="continue"/>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Leases</w:t>
            </w:r>
          </w:p>
        </w:tc>
        <w:tc>
          <w:tcPr>
            <w:tcW w:w="18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34"/>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2021</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9"/>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table above excludes any lease liabilities for leases that have been executed but have not yet commenced. As of December 3, 2020, we had such lease liabilities relating to 1) operating lease payment obligations of $152 million for the initial 10-year lease term for a building, which may, at our election, be terminated after 3 years or extended for an additional 10 years, and 2) finance lease obligations of $812 million over a weighted-average period of 15 years for leases embedded in gas supply arrangements. We will recognize right-of-use assets and associated lease liabilities at the time such assets become available for our use.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w:t>
            </w:r>
          </w:p>
        </w:tc>
        <w:tc>
          <w:tcPr>
            <w:tcW w:w="18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1,656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2,180</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636</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 w:name="page15"/>
    <w:bookmarkEnd w:id="14"/>
    <w:p>
      <w:pPr>
        <w:spacing w:after="0"/>
        <w:rPr>
          <w:sz w:val="20"/>
          <w:szCs w:val="20"/>
          <w:color w:val="auto"/>
        </w:rPr>
      </w:pPr>
      <w:r>
        <w:rPr>
          <w:rFonts w:ascii="Arial" w:cs="Arial" w:eastAsia="Arial" w:hAnsi="Arial"/>
          <w:sz w:val="40"/>
          <w:szCs w:val="40"/>
          <w:b w:val="1"/>
          <w:bCs w:val="1"/>
          <w:color w:val="auto"/>
        </w:rPr>
        <w:t>Debt</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p>
        </w:tc>
        <w:tc>
          <w:tcPr>
            <w:tcW w:w="1020" w:type="dxa"/>
            <w:vAlign w:val="bottom"/>
            <w:tcBorders>
              <w:bottom w:val="single" w:sz="8" w:color="00A3E1"/>
            </w:tcBorders>
          </w:tcPr>
          <w:p>
            <w:pPr>
              <w:spacing w:after="0"/>
              <w:rPr>
                <w:sz w:val="20"/>
                <w:szCs w:val="20"/>
                <w:color w:val="auto"/>
              </w:rPr>
            </w:pPr>
          </w:p>
        </w:tc>
        <w:tc>
          <w:tcPr>
            <w:tcW w:w="2740" w:type="dxa"/>
            <w:vAlign w:val="bottom"/>
            <w:tcBorders>
              <w:bottom w:val="single" w:sz="8" w:color="00A3E1"/>
            </w:tcBorders>
            <w:gridSpan w:val="5"/>
          </w:tcPr>
          <w:p>
            <w:pPr>
              <w:jc w:val="right"/>
              <w:ind w:right="570"/>
              <w:spacing w:after="0"/>
              <w:rPr>
                <w:sz w:val="20"/>
                <w:szCs w:val="20"/>
                <w:color w:val="auto"/>
              </w:rPr>
            </w:pPr>
            <w:r>
              <w:rPr>
                <w:rFonts w:ascii="Arial" w:cs="Arial" w:eastAsia="Arial" w:hAnsi="Arial"/>
                <w:sz w:val="18"/>
                <w:szCs w:val="18"/>
                <w:b w:val="1"/>
                <w:bCs w:val="1"/>
                <w:color w:val="auto"/>
              </w:rPr>
              <w:t>December 3, 2020</w:t>
            </w:r>
          </w:p>
        </w:tc>
        <w:tc>
          <w:tcPr>
            <w:tcW w:w="220" w:type="dxa"/>
            <w:vAlign w:val="bottom"/>
            <w:tcBorders>
              <w:bottom w:val="single" w:sz="8" w:color="00A3E1"/>
            </w:tcBorders>
          </w:tcPr>
          <w:p>
            <w:pPr>
              <w:spacing w:after="0"/>
              <w:rPr>
                <w:sz w:val="20"/>
                <w:szCs w:val="20"/>
                <w:color w:val="auto"/>
              </w:rPr>
            </w:pPr>
          </w:p>
        </w:tc>
        <w:tc>
          <w:tcPr>
            <w:tcW w:w="720" w:type="dxa"/>
            <w:vAlign w:val="bottom"/>
            <w:tcBorders>
              <w:bottom w:val="single" w:sz="8" w:color="00A3E1"/>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00A3E1"/>
            </w:tcBorders>
          </w:tcPr>
          <w:p>
            <w:pPr>
              <w:spacing w:after="0"/>
              <w:rPr>
                <w:sz w:val="20"/>
                <w:szCs w:val="20"/>
                <w:color w:val="auto"/>
              </w:rPr>
            </w:pPr>
          </w:p>
        </w:tc>
        <w:tc>
          <w:tcPr>
            <w:tcW w:w="2600" w:type="dxa"/>
            <w:vAlign w:val="bottom"/>
            <w:tcBorders>
              <w:bottom w:val="single" w:sz="8" w:color="00A3E1"/>
            </w:tcBorders>
            <w:gridSpan w:val="5"/>
          </w:tcPr>
          <w:p>
            <w:pPr>
              <w:jc w:val="center"/>
              <w:ind w:right="10"/>
              <w:spacing w:after="0"/>
              <w:rPr>
                <w:sz w:val="20"/>
                <w:szCs w:val="20"/>
                <w:color w:val="auto"/>
              </w:rPr>
            </w:pPr>
            <w:r>
              <w:rPr>
                <w:rFonts w:ascii="Arial" w:cs="Arial" w:eastAsia="Arial" w:hAnsi="Arial"/>
                <w:sz w:val="18"/>
                <w:szCs w:val="18"/>
                <w:b w:val="1"/>
                <w:bCs w:val="1"/>
                <w:color w:val="auto"/>
                <w:w w:val="99"/>
              </w:rPr>
              <w:t>September 3, 2020</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580" w:type="dxa"/>
            <w:vAlign w:val="bottom"/>
            <w:tcBorders>
              <w:bottom w:val="single" w:sz="8" w:color="0090DA"/>
            </w:tcBorders>
            <w:gridSpan w:val="5"/>
          </w:tcPr>
          <w:p>
            <w:pPr>
              <w:jc w:val="center"/>
              <w:ind w:right="30"/>
              <w:spacing w:after="0"/>
              <w:rPr>
                <w:sz w:val="20"/>
                <w:szCs w:val="20"/>
                <w:color w:val="auto"/>
              </w:rPr>
            </w:pPr>
            <w:r>
              <w:rPr>
                <w:rFonts w:ascii="Arial" w:cs="Arial" w:eastAsia="Arial" w:hAnsi="Arial"/>
                <w:sz w:val="18"/>
                <w:szCs w:val="18"/>
                <w:b w:val="1"/>
                <w:bCs w:val="1"/>
                <w:color w:val="auto"/>
              </w:rPr>
              <w:t>Net Carrying Amount</w:t>
            </w:r>
          </w:p>
        </w:tc>
        <w:tc>
          <w:tcPr>
            <w:tcW w:w="10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600" w:type="dxa"/>
            <w:vAlign w:val="bottom"/>
            <w:tcBorders>
              <w:bottom w:val="single" w:sz="8" w:color="0090DA"/>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69"/>
        </w:trPr>
        <w:tc>
          <w:tcPr>
            <w:tcW w:w="3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Stated</w:t>
            </w:r>
          </w:p>
        </w:tc>
        <w:tc>
          <w:tcPr>
            <w:tcW w:w="98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rPr>
              <w:t>Effective</w:t>
            </w:r>
          </w:p>
        </w:tc>
        <w:tc>
          <w:tcPr>
            <w:tcW w:w="120" w:type="dxa"/>
            <w:vAlign w:val="bottom"/>
          </w:tcPr>
          <w:p>
            <w:pPr>
              <w:spacing w:after="0"/>
              <w:rPr>
                <w:sz w:val="14"/>
                <w:szCs w:val="14"/>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4"/>
                <w:szCs w:val="14"/>
                <w:color w:val="auto"/>
              </w:rPr>
            </w:pPr>
          </w:p>
        </w:tc>
        <w:tc>
          <w:tcPr>
            <w:tcW w:w="7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4"/>
                <w:szCs w:val="14"/>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200" w:type="dxa"/>
            <w:vAlign w:val="bottom"/>
          </w:tcPr>
          <w:p>
            <w:pPr>
              <w:spacing w:after="0"/>
              <w:rPr>
                <w:sz w:val="14"/>
                <w:szCs w:val="14"/>
                <w:color w:val="auto"/>
              </w:rPr>
            </w:pPr>
          </w:p>
        </w:tc>
        <w:tc>
          <w:tcPr>
            <w:tcW w:w="7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4"/>
                <w:szCs w:val="14"/>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20" w:type="dxa"/>
            <w:vAlign w:val="bottom"/>
            <w:vMerge w:val="continue"/>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Rate</w:t>
            </w:r>
          </w:p>
        </w:tc>
        <w:tc>
          <w:tcPr>
            <w:tcW w:w="7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72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obligations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4.13 % $</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2023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2.497 %</w:t>
            </w:r>
          </w:p>
        </w:tc>
        <w:tc>
          <w:tcPr>
            <w:tcW w:w="980" w:type="dxa"/>
            <w:vAlign w:val="bottom"/>
          </w:tcPr>
          <w:p>
            <w:pPr>
              <w:jc w:val="right"/>
              <w:spacing w:after="0"/>
              <w:rPr>
                <w:sz w:val="20"/>
                <w:szCs w:val="20"/>
                <w:color w:val="auto"/>
              </w:rPr>
            </w:pPr>
            <w:r>
              <w:rPr>
                <w:rFonts w:ascii="Arial" w:cs="Arial" w:eastAsia="Arial" w:hAnsi="Arial"/>
                <w:sz w:val="18"/>
                <w:szCs w:val="18"/>
                <w:color w:val="auto"/>
              </w:rPr>
              <w:t>2.64 %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9"/>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4.640 %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2024 Term Loan A</w:t>
            </w:r>
          </w:p>
        </w:tc>
        <w:tc>
          <w:tcPr>
            <w:tcW w:w="1020" w:type="dxa"/>
            <w:vAlign w:val="bottom"/>
          </w:tcPr>
          <w:p>
            <w:pPr>
              <w:jc w:val="right"/>
              <w:spacing w:after="0"/>
              <w:rPr>
                <w:sz w:val="20"/>
                <w:szCs w:val="20"/>
                <w:color w:val="auto"/>
              </w:rPr>
            </w:pPr>
            <w:r>
              <w:rPr>
                <w:rFonts w:ascii="Arial" w:cs="Arial" w:eastAsia="Arial" w:hAnsi="Arial"/>
                <w:sz w:val="18"/>
                <w:szCs w:val="18"/>
                <w:color w:val="auto"/>
              </w:rPr>
              <w:t>1.400 %</w:t>
            </w:r>
          </w:p>
        </w:tc>
        <w:tc>
          <w:tcPr>
            <w:tcW w:w="980" w:type="dxa"/>
            <w:vAlign w:val="bottom"/>
          </w:tcPr>
          <w:p>
            <w:pPr>
              <w:jc w:val="right"/>
              <w:spacing w:after="0"/>
              <w:rPr>
                <w:sz w:val="20"/>
                <w:szCs w:val="20"/>
                <w:color w:val="auto"/>
              </w:rPr>
            </w:pPr>
            <w:r>
              <w:rPr>
                <w:rFonts w:ascii="Arial" w:cs="Arial" w:eastAsia="Arial" w:hAnsi="Arial"/>
                <w:sz w:val="18"/>
                <w:szCs w:val="18"/>
                <w:color w:val="auto"/>
              </w:rPr>
              <w:t>1.45 %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9"/>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2027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tcPr>
          <w:p>
            <w:pPr>
              <w:jc w:val="right"/>
              <w:spacing w:after="0"/>
              <w:rPr>
                <w:sz w:val="20"/>
                <w:szCs w:val="20"/>
                <w:color w:val="auto"/>
              </w:rPr>
            </w:pPr>
            <w:r>
              <w:rPr>
                <w:rFonts w:ascii="Arial" w:cs="Arial" w:eastAsia="Arial" w:hAnsi="Arial"/>
                <w:sz w:val="18"/>
                <w:szCs w:val="18"/>
                <w:color w:val="auto"/>
              </w:rPr>
              <w:t>4.27 %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9"/>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2030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tcPr>
          <w:p>
            <w:pPr>
              <w:jc w:val="right"/>
              <w:spacing w:after="0"/>
              <w:rPr>
                <w:sz w:val="20"/>
                <w:szCs w:val="20"/>
                <w:color w:val="auto"/>
              </w:rPr>
            </w:pPr>
            <w:r>
              <w:rPr>
                <w:rFonts w:ascii="Arial" w:cs="Arial" w:eastAsia="Arial" w:hAnsi="Arial"/>
                <w:sz w:val="18"/>
                <w:szCs w:val="18"/>
                <w:color w:val="auto"/>
              </w:rPr>
              <w:t>4.73 %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2032D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6.33 %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MMJ Creditor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3720" w:type="dxa"/>
            <w:vAlign w:val="bottom"/>
            <w:tcBorders>
              <w:top w:val="single" w:sz="8" w:color="D1D2D4"/>
              <w:bottom w:val="single" w:sz="8" w:color="D1D2D4"/>
            </w:tcBorders>
            <w:shd w:val="clear" w:color="auto" w:fill="D1D2D4"/>
          </w:tcPr>
          <w:p>
            <w:pPr>
              <w:spacing w:after="0"/>
              <w:rPr>
                <w:sz w:val="21"/>
                <w:szCs w:val="21"/>
                <w:color w:val="auto"/>
              </w:rPr>
            </w:pPr>
          </w:p>
        </w:tc>
        <w:tc>
          <w:tcPr>
            <w:tcW w:w="1020" w:type="dxa"/>
            <w:vAlign w:val="bottom"/>
            <w:tcBorders>
              <w:top w:val="single" w:sz="8" w:color="D1D2D4"/>
              <w:bottom w:val="single" w:sz="8" w:color="D1D2D4"/>
            </w:tcBorders>
            <w:shd w:val="clear" w:color="auto" w:fill="D1D2D4"/>
          </w:tcPr>
          <w:p>
            <w:pPr>
              <w:spacing w:after="0"/>
              <w:rPr>
                <w:sz w:val="21"/>
                <w:szCs w:val="21"/>
                <w:color w:val="auto"/>
              </w:rPr>
            </w:pPr>
          </w:p>
        </w:tc>
        <w:tc>
          <w:tcPr>
            <w:tcW w:w="980" w:type="dxa"/>
            <w:vAlign w:val="bottom"/>
            <w:tcBorders>
              <w:top w:val="single" w:sz="8" w:color="D1D2D4"/>
              <w:bottom w:val="single" w:sz="8" w:color="D1D2D4"/>
            </w:tcBorders>
            <w:shd w:val="clear" w:color="auto" w:fill="D1D2D4"/>
          </w:tcPr>
          <w:p>
            <w:pPr>
              <w:spacing w:after="0"/>
              <w:rPr>
                <w:sz w:val="21"/>
                <w:szCs w:val="21"/>
                <w:color w:val="auto"/>
              </w:rPr>
            </w:pPr>
          </w:p>
        </w:tc>
        <w:tc>
          <w:tcPr>
            <w:tcW w:w="1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6,356</w:t>
            </w:r>
          </w:p>
        </w:tc>
        <w:tc>
          <w:tcPr>
            <w:tcW w:w="2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6,629</w:t>
            </w:r>
          </w:p>
        </w:tc>
        <w:tc>
          <w:tcPr>
            <w:tcW w:w="100" w:type="dxa"/>
            <w:vAlign w:val="bottom"/>
            <w:tcBorders>
              <w:top w:val="single" w:sz="8" w:color="D1D2D4"/>
              <w:bottom w:val="single" w:sz="8" w:color="D1D2D4"/>
            </w:tcBorders>
            <w:shd w:val="clear" w:color="auto" w:fill="D1D2D4"/>
          </w:tcPr>
          <w:p>
            <w:pPr>
              <w:spacing w:after="0"/>
              <w:rPr>
                <w:sz w:val="21"/>
                <w:szCs w:val="21"/>
                <w:color w:val="auto"/>
              </w:rPr>
            </w:pPr>
          </w:p>
        </w:tc>
        <w:tc>
          <w:tcPr>
            <w:tcW w:w="1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6,373</w:t>
            </w:r>
          </w:p>
        </w:tc>
        <w:tc>
          <w:tcPr>
            <w:tcW w:w="2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0"/>
        </w:trPr>
        <w:tc>
          <w:tcPr>
            <w:tcW w:w="3720" w:type="dxa"/>
            <w:vAlign w:val="bottom"/>
            <w:tcBorders>
              <w:top w:val="single" w:sz="8" w:color="D1D2D4"/>
            </w:tcBorders>
          </w:tcPr>
          <w:p>
            <w:pPr>
              <w:spacing w:after="0" w:line="20" w:lineRule="exact"/>
              <w:rPr>
                <w:sz w:val="1"/>
                <w:szCs w:val="1"/>
                <w:color w:val="auto"/>
              </w:rPr>
            </w:pPr>
          </w:p>
        </w:tc>
        <w:tc>
          <w:tcPr>
            <w:tcW w:w="1020" w:type="dxa"/>
            <w:vAlign w:val="bottom"/>
            <w:tcBorders>
              <w:top w:val="single" w:sz="8" w:color="D1D2D4"/>
            </w:tcBorders>
          </w:tcPr>
          <w:p>
            <w:pPr>
              <w:spacing w:after="0" w:line="20" w:lineRule="exact"/>
              <w:rPr>
                <w:sz w:val="1"/>
                <w:szCs w:val="1"/>
                <w:color w:val="auto"/>
              </w:rPr>
            </w:pPr>
          </w:p>
        </w:tc>
        <w:tc>
          <w:tcPr>
            <w:tcW w:w="9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7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7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Revolving Credit Facility</w:t>
      </w:r>
    </w:p>
    <w:p>
      <w:pPr>
        <w:spacing w:after="0" w:line="2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December 3, 2020, no amounts were outstanding under the Revolving Credit Facility and $2.50 billion was available to us. Any amounts outstanding under the Revolving Credit Facility would mature in July 2023 and we may repay amounts borrowed any time without penalty. The Revolving Credit Facility bears interest at a rate equal to LIBOR plus 1.25% based on our current corporate credit rating and leverage ratio.</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2032D Convertible Senior Notes</w:t>
      </w:r>
    </w:p>
    <w:p>
      <w:pPr>
        <w:spacing w:after="0" w:line="24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closing price of our common stock exceeded 130% of the conversion price for the 2032D Notes for at least 20 trading days in the 30 consecutive trading days ended on December 31, 2020. As a result, the 2032D Notes are convertible by the holders through March 31, 2021. As of December 3, 2020, based on the $ 69.90 trading price of our common stock and the $9.98 conversion price, the aggregate conversion value of $936 million exceeded the aggregate principal amount of $134 million by $802 million.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 Matters</w:t>
      </w:r>
    </w:p>
    <w:p>
      <w:pPr>
        <w:spacing w:after="0" w:line="247"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17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On August 12, 2014, MLC Intellectual Property, LLC filed a patent infringement action against Micron in the U.S. District Court for the Northern District of California. The complaint alleges that Micron infringes a single U.S. patent and seeks damages, attorneys’ fees, and costs.</w:t>
      </w:r>
    </w:p>
    <w:p>
      <w:pPr>
        <w:spacing w:after="0" w:line="1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Micron Semiconductor Products, Inc.;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13 U.S. patents and seeks damages, attorneys’ fees, and costs.</w:t>
      </w:r>
    </w:p>
    <w:p>
      <w:pPr>
        <w:sectPr>
          <w:pgSz w:w="11900" w:h="16838" w:orient="portrait"/>
          <w:cols w:equalWidth="0" w:num="1">
            <w:col w:w="11240"/>
          </w:cols>
          <w:pgMar w:left="320" w:top="9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980"/>
        <w:spacing w:after="0"/>
        <w:rPr>
          <w:sz w:val="20"/>
          <w:szCs w:val="20"/>
          <w:color w:val="auto"/>
        </w:rPr>
      </w:pPr>
      <w:r>
        <w:rPr>
          <w:sz w:val="1"/>
          <w:szCs w:val="1"/>
          <w:color w:val="auto"/>
        </w:rPr>
        <w:drawing>
          <wp:inline distT="0" distB="0" distL="0" distR="0">
            <wp:extent cx="643255" cy="1803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5" w:name="page16"/>
    <w:bookmarkEnd w:id="15"/>
    <w:p>
      <w:pPr>
        <w:ind w:right="100"/>
        <w:spacing w:after="0" w:line="271" w:lineRule="auto"/>
        <w:rPr>
          <w:sz w:val="20"/>
          <w:szCs w:val="20"/>
          <w:color w:val="auto"/>
        </w:rPr>
      </w:pPr>
      <w:r>
        <w:rPr>
          <w:rFonts w:ascii="Arial" w:cs="Arial" w:eastAsia="Arial" w:hAnsi="Arial"/>
          <w:sz w:val="18"/>
          <w:szCs w:val="18"/>
          <w:color w:val="auto"/>
        </w:rPr>
        <w:t>On December 15, 2014, Innovative Memory Solutions, Inc. (“IMS”) filed a patent infringement action against Micron in the U.S. District Court for the District of Delaware. The complaint alleges that a variety of our NAND products infringe eight U.S. patents and seeks damages, attorneys’ fees, and costs. Subsequently, six patents were invalidated or withdrawn, leaving two asserted patents in the District Court.</w:t>
      </w:r>
    </w:p>
    <w:p>
      <w:pPr>
        <w:spacing w:after="0" w:line="1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0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3, 2018, MSS was served with another patent infringement complaint filed by Jinhua and two additional complaints filed by UMC in the Fuzhou Court. The three additional complaints allege that MSS infringes three Chinese patents by manufacturing and selling certain Crucial MX300 SSDs and certain GDDR5 memory chips. The two complaints filed by UMC each seek an order requiring MSS to destroy inventory of the accused products and equipment for manufacturing the accused products in China; to stop manufacturing, using, selling, and offering for sale the accused products in China; and to pay damages for each complaint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October 9, 2018, UMC withdrew its complaint that alleged MSS infringed a Chinese patent by manufacturing and selling certain GDDR5 memory chips.</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The affected products made up slightly more than 1% of our annualized revenue in 2018. We are complying with the ruling and have requested the Fuzhou Court to reconsider or stay its decision.</w:t>
      </w:r>
    </w:p>
    <w:p>
      <w:pPr>
        <w:spacing w:after="0" w:line="19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On May 4, 2020, Flash-Control, LLC (“Flash-Control”) filed a patent infringement action against Micron in the U.S. District Court for the Western District of Texas. The complaint alleges that four U.S. patents are infringed by unspecified DDR4 SDRAM, NVRDIMM, NVDIMM, 3D XPoint</w:t>
      </w:r>
      <w:r>
        <w:rPr>
          <w:rFonts w:ascii="Arial" w:cs="Arial" w:eastAsia="Arial" w:hAnsi="Arial"/>
          <w:sz w:val="23"/>
          <w:szCs w:val="23"/>
          <w:color w:val="auto"/>
          <w:vertAlign w:val="superscript"/>
        </w:rPr>
        <w:t>TM</w:t>
      </w:r>
      <w:r>
        <w:rPr>
          <w:rFonts w:ascii="Arial" w:cs="Arial" w:eastAsia="Arial" w:hAnsi="Arial"/>
          <w:sz w:val="18"/>
          <w:szCs w:val="18"/>
          <w:color w:val="auto"/>
        </w:rPr>
        <w:t>, and/or SSD products that incorporate memory controllers and flash memory. The complaint seeks damages, attorneys’ fees, and costs.</w:t>
      </w:r>
    </w:p>
    <w:p>
      <w:pPr>
        <w:spacing w:after="0" w:line="214" w:lineRule="exact"/>
        <w:rPr>
          <w:sz w:val="20"/>
          <w:szCs w:val="20"/>
          <w:color w:val="auto"/>
        </w:rPr>
      </w:pPr>
    </w:p>
    <w:p>
      <w:pPr>
        <w:ind w:right="740"/>
        <w:spacing w:after="0" w:line="292"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4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ind w:right="200"/>
        <w:spacing w:after="0" w:line="292" w:lineRule="auto"/>
        <w:rPr>
          <w:sz w:val="20"/>
          <w:szCs w:val="20"/>
          <w:color w:val="auto"/>
        </w:rPr>
      </w:pPr>
      <w:r>
        <w:rPr>
          <w:rFonts w:ascii="Arial" w:cs="Arial" w:eastAsia="Arial" w:hAnsi="Arial"/>
          <w:sz w:val="18"/>
          <w:szCs w:val="18"/>
          <w:color w:val="auto"/>
        </w:rPr>
        <w:t>under Sections 103 or 133 of the German Insolvency Code, a patent cross-license between us and Qimonda entered into at the same time as the share purchase agreement.</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spacing w:after="0" w:line="2" w:lineRule="exact"/>
        <w:rPr>
          <w:sz w:val="20"/>
          <w:szCs w:val="20"/>
          <w:color w:val="auto"/>
        </w:rPr>
      </w:pPr>
    </w:p>
    <w:p>
      <w:pPr>
        <w:ind w:right="80" w:firstLine="8"/>
        <w:spacing w:after="0" w:line="236"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an independent expert to perform an evaluation of Dr. Jaffé’s claims that the amount Micron paid for Qimonda was less than fair market value. On January 25, 2018, the court-appointed expert issued a report concluding that the amount paid by Micron was within an acceptable fair-value range. The Appeals Court held a subsequent hearing on April 30, 2019, and on May 28, 2019, the Appeals Court remanded the case to the expert for supplemental expert opinion. On March 31, 2020, the expert presented a revised opinion to the Appeals Court which reaffirmed the earlier view that the amount paid by Micron was still within an acceptable range of fair value.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Antitrust Matters</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the plaintiffs the opportunity to file a consolidated, amended complaint.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w:t>
      </w:r>
    </w:p>
    <w:p>
      <w:pPr>
        <w:spacing w:after="0" w:line="2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purports to be on behalf of a nationwide class of direct purchasers of DRAM products. The consolidated complaint asserts claims based on alleged price-fixing of DRAM products under federal and state law during the period from June 1, 2016 through at least February 1, 2018, and seeks treble monetary damages, costs, interest, attorneys’ fees, and other injunctive and equitable relief. On December 21, 2020, the District Court granted Micron’s motion to dismiss and granted the plaintiffs permission to file an amended complaint.</w:t>
      </w:r>
    </w:p>
    <w:p>
      <w:pPr>
        <w:spacing w:after="0" w:line="20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19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0090DA"/>
        </w:rPr>
        <w:t>Securities Matter</w:t>
      </w:r>
    </w:p>
    <w:p>
      <w:pPr>
        <w:spacing w:after="0" w:line="24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On March 5, 2019, a derivative complaint was filed by a shareholder against certain current and former officers and directors of Micron, allegedly on behalf of and for the benefit of Micron, in the U.S. District Court for the District of Delaware alleging securities fraud, breaches of fiduciary duties, and other violations of law involving misrepresentations about purported anticompetitive behavior in the DRAM industry. The complaint seeks damages, fees, interest, costs, and other appropriate relief.</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w:t>
      </w:r>
    </w:p>
    <w:p>
      <w:pPr>
        <w:spacing w:after="0" w:line="2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19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June 13, 2019, current Micron employee, Chris Manning, filed a putative class action lawsuit on behalf of Micron employees subject to the Idaho Wage Claim Act who earned a performance-based bonus after the conclusion of 2018 whose performance rating was calculated based upon a mandatory percentage distribution range of performance ratings. On July 12, 2019, Manning and three other Company employees filed an amended complaint as putative class action representatives. On behalf of themselves and the putative class, Manning and the three other plaintiffs assert claims for violation of the Idaho Wage Claim Act, breach of contract, breach of the covenant of good faith and fair dealing, and fraud. On June 24, 2020, the court entered judgment in favor of Micron based on the statute of limitations, and the plaintiffs filed a notice of appeal on July 23, 2020.</w:t>
      </w:r>
    </w:p>
    <w:p>
      <w:pPr>
        <w:spacing w:after="0" w:line="2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July 31, 2020, Micron and Intel entered into a binding arbitration agreement under which the parties agreed to present to an arbitral panel various financial disputes related to the IMFT joint venture between Micron and Intel, which ended October 31, 2019, and to other agreements relating to the joint development, production, and sale of non-volatile memory products. Each party alleges that the other owes damages relating to allegations of breach of one or more agreements.</w:t>
      </w:r>
    </w:p>
    <w:p>
      <w:pPr>
        <w:spacing w:after="0" w:line="1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13, 2015, Allied Telesis, Inc. and Allied Telesis International (Asia) Pte Ltd. filed a complaint against Micron in the Superior Court of California in Santa Clara alleging breach of implied and express warranties and fraudulent inducement to contract arising from plaintiffs’ purchase of certain allegedly defective DDR1 products between 2008 and 2010. Through subsequent amendments to the complaint, the plaintiffs substituted Allied Telesis K.K. as plaintiff, withdrew the warranty claims, and added claims of fraudulent concealment, negligent misrepresentation, negligence, and strict products liability. The plaintiff’s amended complaint seeks an unspecified award of damages, including punitive damages and lost profits. On September 3, 2020, the Superior Court granted summary judgment dismissing the claims for negligence and strict products liability and denied summary judgment as to the claims for negligent misrepresentation, fraudulent concealment, and fraudulent inducement to contract. No trial date has been set; however, trial is expected to occur in the first half of calendar 2021.</w:t>
      </w:r>
    </w:p>
    <w:p>
      <w:pPr>
        <w:spacing w:after="0" w:line="208"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8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are unable to predict the outcome of the patent matters, Qimonda matter, antitrust matters, securities matter, binding arbitration with Intel, or any other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8" w:name="page19"/>
    <w:bookmarkEnd w:id="18"/>
    <w:p>
      <w:pPr>
        <w:spacing w:after="0" w:line="292" w:lineRule="auto"/>
        <w:rPr>
          <w:sz w:val="20"/>
          <w:szCs w:val="20"/>
          <w:color w:val="auto"/>
        </w:rPr>
      </w:pPr>
      <w:r>
        <w:rPr>
          <w:rFonts w:ascii="Arial" w:cs="Arial" w:eastAsia="Arial" w:hAnsi="Arial"/>
          <w:sz w:val="18"/>
          <w:szCs w:val="18"/>
          <w:color w:val="auto"/>
        </w:rPr>
        <w:t>We are currently a party to legal actions other than those described in this note arising from the normal course of business, none of which are expected to have a material adverse effect on our business, results of operations, or financial condition.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Micron Shareholders’ Equity</w:t>
      </w:r>
    </w:p>
    <w:p>
      <w:pPr>
        <w:spacing w:after="0" w:line="245"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b w:val="1"/>
          <w:bCs w:val="1"/>
          <w:i w:val="1"/>
          <w:iCs w:val="1"/>
          <w:color w:val="auto"/>
        </w:rPr>
        <w:t>Accumulated Other Comprehensive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income by component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 2020 were as follows:</w:t>
      </w: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Unrealized</w:t>
            </w:r>
          </w:p>
        </w:tc>
        <w:tc>
          <w:tcPr>
            <w:tcW w:w="1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Gains (Losses)</w:t>
            </w:r>
          </w:p>
        </w:tc>
        <w:tc>
          <w:tcPr>
            <w:tcW w:w="120" w:type="dxa"/>
            <w:vAlign w:val="bottom"/>
          </w:tcPr>
          <w:p>
            <w:pPr>
              <w:spacing w:after="0"/>
              <w:rPr>
                <w:sz w:val="15"/>
                <w:szCs w:val="15"/>
                <w:color w:val="auto"/>
              </w:rPr>
            </w:pP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Pension</w:t>
            </w:r>
          </w:p>
        </w:tc>
        <w:tc>
          <w:tcPr>
            <w:tcW w:w="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Foreign</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Gains (Losses)</w:t>
            </w: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Currency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320" w:type="dxa"/>
            <w:vAlign w:val="bottom"/>
            <w:gridSpan w:val="2"/>
          </w:tcPr>
          <w:p>
            <w:pPr>
              <w:jc w:val="right"/>
              <w:ind w:right="10"/>
              <w:spacing w:after="0" w:line="176" w:lineRule="exact"/>
              <w:rPr>
                <w:sz w:val="20"/>
                <w:szCs w:val="20"/>
                <w:color w:val="auto"/>
              </w:rPr>
            </w:pPr>
            <w:r>
              <w:rPr>
                <w:rFonts w:ascii="Arial" w:cs="Arial" w:eastAsia="Arial" w:hAnsi="Arial"/>
                <w:sz w:val="18"/>
                <w:szCs w:val="18"/>
                <w:b w:val="1"/>
                <w:bCs w:val="1"/>
                <w:color w:val="auto"/>
              </w:rPr>
              <w:t>on Derivative</w:t>
            </w:r>
          </w:p>
        </w:tc>
        <w:tc>
          <w:tcPr>
            <w:tcW w:w="12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Liability</w:t>
            </w:r>
          </w:p>
        </w:tc>
        <w:tc>
          <w:tcPr>
            <w:tcW w:w="16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on</w:t>
            </w:r>
          </w:p>
        </w:tc>
        <w:tc>
          <w:tcPr>
            <w:tcW w:w="14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16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rPr>
              <w:t>Investments</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28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As of September 3, 2020</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ind w:left="960"/>
              <w:spacing w:after="0"/>
              <w:rPr>
                <w:sz w:val="20"/>
                <w:szCs w:val="20"/>
                <w:color w:val="auto"/>
              </w:rPr>
            </w:pPr>
            <w:r>
              <w:rPr>
                <w:rFonts w:ascii="Arial" w:cs="Arial" w:eastAsia="Arial" w:hAnsi="Arial"/>
                <w:sz w:val="18"/>
                <w:szCs w:val="18"/>
                <w:color w:val="auto"/>
                <w:w w:val="99"/>
              </w:rPr>
              <w:t>(1)</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6"/>
        </w:trPr>
        <w:tc>
          <w:tcPr>
            <w:tcW w:w="4580" w:type="dxa"/>
            <w:vAlign w:val="bottom"/>
            <w:shd w:val="clear" w:color="auto" w:fill="D1D2D4"/>
          </w:tcPr>
          <w:p>
            <w:pPr>
              <w:ind w:left="240"/>
              <w:spacing w:after="0" w:line="176"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D1D2D4"/>
          </w:tcPr>
          <w:p>
            <w:pPr>
              <w:spacing w:after="0"/>
              <w:rPr>
                <w:sz w:val="19"/>
                <w:szCs w:val="19"/>
                <w:color w:val="auto"/>
              </w:rPr>
            </w:pPr>
          </w:p>
        </w:tc>
        <w:tc>
          <w:tcPr>
            <w:tcW w:w="1200" w:type="dxa"/>
            <w:vAlign w:val="bottom"/>
            <w:vMerge w:val="continue"/>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vMerge w:val="continue"/>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vMerge w:val="continue"/>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vMerge w:val="continue"/>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040" w:type="dxa"/>
            <w:vAlign w:val="bottom"/>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As of December 3,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9"/>
              </w:rPr>
              <w:t>(1)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69"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The estimated fair values and carrying values of our outstanding debt instruments (excluding the carrying value of equity components of our convertible notes)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4"/>
          </w:tcPr>
          <w:p>
            <w:pPr>
              <w:ind w:left="280"/>
              <w:spacing w:after="0"/>
              <w:rPr>
                <w:sz w:val="20"/>
                <w:szCs w:val="20"/>
                <w:color w:val="auto"/>
              </w:rPr>
            </w:pPr>
            <w:r>
              <w:rPr>
                <w:rFonts w:ascii="Arial" w:cs="Arial" w:eastAsia="Arial" w:hAnsi="Arial"/>
                <w:sz w:val="18"/>
                <w:szCs w:val="18"/>
                <w:b w:val="1"/>
                <w:bCs w:val="1"/>
                <w:color w:val="auto"/>
              </w:rPr>
              <w:t>December 3, 2020</w:t>
            </w:r>
          </w:p>
        </w:tc>
        <w:tc>
          <w:tcPr>
            <w:tcW w:w="280" w:type="dxa"/>
            <w:vAlign w:val="bottom"/>
          </w:tcPr>
          <w:p>
            <w:pPr>
              <w:spacing w:after="0"/>
              <w:rPr>
                <w:sz w:val="20"/>
                <w:szCs w:val="20"/>
                <w:color w:val="auto"/>
              </w:rPr>
            </w:pPr>
          </w:p>
        </w:tc>
        <w:tc>
          <w:tcPr>
            <w:tcW w:w="24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September 3, 2020</w:t>
            </w:r>
          </w:p>
        </w:tc>
        <w:tc>
          <w:tcPr>
            <w:tcW w:w="0" w:type="dxa"/>
            <w:vAlign w:val="bottom"/>
          </w:tcPr>
          <w:p>
            <w:pPr>
              <w:spacing w:after="0"/>
              <w:rPr>
                <w:sz w:val="1"/>
                <w:szCs w:val="1"/>
                <w:color w:val="auto"/>
              </w:rPr>
            </w:pPr>
          </w:p>
        </w:tc>
      </w:tr>
      <w:tr>
        <w:trPr>
          <w:trHeight w:val="169"/>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top w:val="single" w:sz="8" w:color="00A3E1"/>
            </w:tcBorders>
          </w:tcPr>
          <w:p>
            <w:pPr>
              <w:spacing w:after="0"/>
              <w:rPr>
                <w:sz w:val="14"/>
                <w:szCs w:val="14"/>
                <w:color w:val="auto"/>
              </w:rPr>
            </w:pPr>
          </w:p>
        </w:tc>
        <w:tc>
          <w:tcPr>
            <w:tcW w:w="1020" w:type="dxa"/>
            <w:vAlign w:val="bottom"/>
            <w:tcBorders>
              <w:top w:val="single" w:sz="8" w:color="00A3E1"/>
            </w:tcBorders>
          </w:tcPr>
          <w:p>
            <w:pPr>
              <w:jc w:val="right"/>
              <w:ind w:right="390"/>
              <w:spacing w:after="0" w:line="169" w:lineRule="exact"/>
              <w:rPr>
                <w:sz w:val="20"/>
                <w:szCs w:val="20"/>
                <w:color w:val="auto"/>
              </w:rPr>
            </w:pPr>
            <w:r>
              <w:rPr>
                <w:rFonts w:ascii="Arial" w:cs="Arial" w:eastAsia="Arial" w:hAnsi="Arial"/>
                <w:sz w:val="18"/>
                <w:szCs w:val="18"/>
                <w:b w:val="1"/>
                <w:bCs w:val="1"/>
                <w:color w:val="auto"/>
              </w:rPr>
              <w:t>Fair</w:t>
            </w:r>
          </w:p>
        </w:tc>
        <w:tc>
          <w:tcPr>
            <w:tcW w:w="240" w:type="dxa"/>
            <w:vAlign w:val="bottom"/>
            <w:tcBorders>
              <w:top w:val="single" w:sz="8" w:color="00A3E1"/>
            </w:tcBorders>
          </w:tcPr>
          <w:p>
            <w:pPr>
              <w:spacing w:after="0"/>
              <w:rPr>
                <w:sz w:val="14"/>
                <w:szCs w:val="14"/>
                <w:color w:val="auto"/>
              </w:rPr>
            </w:pPr>
          </w:p>
        </w:tc>
        <w:tc>
          <w:tcPr>
            <w:tcW w:w="1120" w:type="dxa"/>
            <w:vAlign w:val="bottom"/>
            <w:tcBorders>
              <w:top w:val="single" w:sz="8" w:color="00A3E1"/>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4"/>
                <w:szCs w:val="14"/>
                <w:color w:val="auto"/>
              </w:rPr>
            </w:pPr>
          </w:p>
        </w:tc>
        <w:tc>
          <w:tcPr>
            <w:tcW w:w="280" w:type="dxa"/>
            <w:vAlign w:val="bottom"/>
            <w:tcBorders>
              <w:top w:val="single" w:sz="8" w:color="00A3E1"/>
            </w:tcBorders>
          </w:tcPr>
          <w:p>
            <w:pPr>
              <w:spacing w:after="0"/>
              <w:rPr>
                <w:sz w:val="14"/>
                <w:szCs w:val="14"/>
                <w:color w:val="auto"/>
              </w:rPr>
            </w:pPr>
          </w:p>
        </w:tc>
        <w:tc>
          <w:tcPr>
            <w:tcW w:w="1040" w:type="dxa"/>
            <w:vAlign w:val="bottom"/>
            <w:tcBorders>
              <w:top w:val="single" w:sz="8" w:color="00A3E1"/>
            </w:tcBorders>
          </w:tcPr>
          <w:p>
            <w:pPr>
              <w:jc w:val="right"/>
              <w:ind w:right="390"/>
              <w:spacing w:after="0" w:line="169" w:lineRule="exact"/>
              <w:rPr>
                <w:sz w:val="20"/>
                <w:szCs w:val="20"/>
                <w:color w:val="auto"/>
              </w:rPr>
            </w:pPr>
            <w:r>
              <w:rPr>
                <w:rFonts w:ascii="Arial" w:cs="Arial" w:eastAsia="Arial" w:hAnsi="Arial"/>
                <w:sz w:val="18"/>
                <w:szCs w:val="18"/>
                <w:b w:val="1"/>
                <w:bCs w:val="1"/>
                <w:color w:val="auto"/>
              </w:rPr>
              <w:t>Fair</w:t>
            </w:r>
          </w:p>
        </w:tc>
        <w:tc>
          <w:tcPr>
            <w:tcW w:w="240" w:type="dxa"/>
            <w:vAlign w:val="bottom"/>
            <w:tcBorders>
              <w:top w:val="single" w:sz="8" w:color="00A3E1"/>
            </w:tcBorders>
          </w:tcPr>
          <w:p>
            <w:pPr>
              <w:spacing w:after="0"/>
              <w:rPr>
                <w:sz w:val="14"/>
                <w:szCs w:val="14"/>
                <w:color w:val="auto"/>
              </w:rPr>
            </w:pPr>
          </w:p>
        </w:tc>
        <w:tc>
          <w:tcPr>
            <w:tcW w:w="1120" w:type="dxa"/>
            <w:vAlign w:val="bottom"/>
            <w:tcBorders>
              <w:top w:val="single" w:sz="8" w:color="00A3E1"/>
            </w:tcBorders>
          </w:tcPr>
          <w:p>
            <w:pPr>
              <w:jc w:val="right"/>
              <w:ind w:right="210"/>
              <w:spacing w:after="0" w:line="169" w:lineRule="exact"/>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30"/>
        </w:trPr>
        <w:tc>
          <w:tcPr>
            <w:tcW w:w="5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Value</w:t>
            </w:r>
          </w:p>
        </w:tc>
        <w:tc>
          <w:tcPr>
            <w:tcW w:w="28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580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6,701</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5,966</w:t>
            </w:r>
          </w:p>
        </w:tc>
        <w:tc>
          <w:tcPr>
            <w:tcW w:w="100" w:type="dxa"/>
            <w:vAlign w:val="bottom"/>
            <w:shd w:val="clear" w:color="auto" w:fill="D1D2D4"/>
          </w:tcPr>
          <w:p>
            <w:pPr>
              <w:spacing w:after="0"/>
              <w:rPr>
                <w:sz w:val="19"/>
                <w:szCs w:val="19"/>
                <w:color w:val="auto"/>
              </w:rPr>
            </w:pP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6,710</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939</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fair values of our convertible notes were determined based on Level 2 inputs, including the trading price of our convertible notes when available, our stock price, and interest rates based on similar debt issued by parties with credit ratings similar to ours. The fair values of our other debt instruments were estimated based on Level 2 inputs, including discounted cash flows, the trading price of our notes when available, and interest rates based on similar debt issued by parties with credit ratings similar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9" w:name="page20"/>
    <w:bookmarkEnd w:id="19"/>
    <w:p>
      <w:pPr>
        <w:spacing w:after="0"/>
        <w:rPr>
          <w:sz w:val="20"/>
          <w:szCs w:val="20"/>
          <w:color w:val="auto"/>
        </w:rPr>
      </w:pPr>
      <w:r>
        <w:rPr>
          <w:rFonts w:ascii="Arial" w:cs="Arial" w:eastAsia="Arial" w:hAnsi="Arial"/>
          <w:sz w:val="40"/>
          <w:szCs w:val="40"/>
          <w:b w:val="1"/>
          <w:bCs w:val="1"/>
          <w:color w:val="auto"/>
        </w:rPr>
        <w:t>Derivative Instruments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00" w:type="dxa"/>
            <w:vAlign w:val="bottom"/>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Gross Notional</w:t>
            </w:r>
          </w:p>
        </w:tc>
        <w:tc>
          <w:tcPr>
            <w:tcW w:w="220" w:type="dxa"/>
            <w:vAlign w:val="bottom"/>
            <w:tcBorders>
              <w:bottom w:val="single" w:sz="8" w:color="0090DA"/>
            </w:tcBorders>
          </w:tcPr>
          <w:p>
            <w:pPr>
              <w:spacing w:after="0"/>
              <w:rPr>
                <w:sz w:val="20"/>
                <w:szCs w:val="20"/>
                <w:color w:val="auto"/>
              </w:rPr>
            </w:pPr>
          </w:p>
        </w:tc>
        <w:tc>
          <w:tcPr>
            <w:tcW w:w="2660" w:type="dxa"/>
            <w:vAlign w:val="bottom"/>
            <w:tcBorders>
              <w:bottom w:val="single" w:sz="8" w:color="0090DA"/>
            </w:tcBorders>
            <w:gridSpan w:val="3"/>
          </w:tcPr>
          <w:p>
            <w:pPr>
              <w:jc w:val="right"/>
              <w:ind w:right="810"/>
              <w:spacing w:after="0"/>
              <w:rPr>
                <w:sz w:val="20"/>
                <w:szCs w:val="20"/>
                <w:color w:val="auto"/>
              </w:rPr>
            </w:pPr>
            <w:r>
              <w:rPr>
                <w:rFonts w:ascii="Arial" w:cs="Arial" w:eastAsia="Arial" w:hAnsi="Arial"/>
                <w:sz w:val="18"/>
                <w:szCs w:val="18"/>
                <w:b w:val="1"/>
                <w:bCs w:val="1"/>
                <w:color w:val="auto"/>
              </w:rPr>
              <w:t>Fair Value of</w:t>
            </w:r>
          </w:p>
        </w:tc>
      </w:tr>
      <w:tr>
        <w:trPr>
          <w:trHeight w:val="237"/>
        </w:trPr>
        <w:tc>
          <w:tcPr>
            <w:tcW w:w="5900" w:type="dxa"/>
            <w:vAlign w:val="bottom"/>
            <w:tcBorders>
              <w:bottom w:val="single" w:sz="8" w:color="0090DA"/>
            </w:tcBorders>
          </w:tcPr>
          <w:p>
            <w:pPr>
              <w:spacing w:after="0"/>
              <w:rPr>
                <w:sz w:val="20"/>
                <w:szCs w:val="20"/>
                <w:color w:val="auto"/>
              </w:rPr>
            </w:pPr>
          </w:p>
        </w:tc>
        <w:tc>
          <w:tcPr>
            <w:tcW w:w="126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jc w:val="right"/>
              <w:ind w:right="230"/>
              <w:spacing w:after="0" w:line="236"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220" w:type="dxa"/>
            <w:vAlign w:val="bottom"/>
            <w:tcBorders>
              <w:bottom w:val="single" w:sz="8" w:color="0090DA"/>
            </w:tcBorders>
          </w:tcPr>
          <w:p>
            <w:pPr>
              <w:spacing w:after="0"/>
              <w:rPr>
                <w:sz w:val="20"/>
                <w:szCs w:val="20"/>
                <w:color w:val="auto"/>
              </w:rPr>
            </w:pPr>
          </w:p>
        </w:tc>
        <w:tc>
          <w:tcPr>
            <w:tcW w:w="1260" w:type="dxa"/>
            <w:vAlign w:val="bottom"/>
            <w:tcBorders>
              <w:bottom w:val="single" w:sz="8" w:color="0090DA"/>
            </w:tcBorders>
          </w:tcPr>
          <w:p>
            <w:pPr>
              <w:jc w:val="right"/>
              <w:ind w:right="150"/>
              <w:spacing w:after="0" w:line="236" w:lineRule="exact"/>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(2)</w:t>
            </w:r>
          </w:p>
        </w:tc>
      </w:tr>
      <w:tr>
        <w:trPr>
          <w:trHeight w:val="34"/>
        </w:trPr>
        <w:tc>
          <w:tcPr>
            <w:tcW w:w="5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December 3, 2020</w:t>
            </w:r>
          </w:p>
        </w:tc>
        <w:tc>
          <w:tcPr>
            <w:tcW w:w="12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3,618</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5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2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r>
      <w:tr>
        <w:trPr>
          <w:trHeight w:val="230"/>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260" w:type="dxa"/>
            <w:vAlign w:val="bottom"/>
            <w:tcBorders>
              <w:bottom w:val="single" w:sz="8" w:color="D1D2D4"/>
            </w:tcBorders>
          </w:tcPr>
          <w:p>
            <w:pPr>
              <w:spacing w:after="0"/>
              <w:rPr>
                <w:sz w:val="19"/>
                <w:szCs w:val="19"/>
                <w:color w:val="auto"/>
              </w:rPr>
            </w:pPr>
          </w:p>
        </w:tc>
        <w:tc>
          <w:tcPr>
            <w:tcW w:w="12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1,331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260" w:type="dxa"/>
            <w:vAlign w:val="bottom"/>
            <w:tcBorders>
              <w:bottom w:val="single" w:sz="8" w:color="D1D2D4"/>
            </w:tcBorders>
            <w:shd w:val="clear" w:color="auto" w:fill="D1D2D4"/>
          </w:tcPr>
          <w:p>
            <w:pPr>
              <w:spacing w:after="0"/>
              <w:rPr>
                <w:sz w:val="21"/>
                <w:szCs w:val="21"/>
                <w:color w:val="auto"/>
              </w:rPr>
            </w:pPr>
          </w:p>
        </w:tc>
        <w:tc>
          <w:tcPr>
            <w:tcW w:w="12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260" w:type="dxa"/>
            <w:vAlign w:val="bottom"/>
            <w:tcBorders>
              <w:top w:val="single" w:sz="8" w:color="D1D2D4"/>
            </w:tcBorders>
          </w:tcPr>
          <w:p>
            <w:pPr>
              <w:spacing w:after="0" w:line="20" w:lineRule="exact"/>
              <w:rPr>
                <w:sz w:val="1"/>
                <w:szCs w:val="1"/>
                <w:color w:val="auto"/>
              </w:rPr>
            </w:pPr>
          </w:p>
        </w:tc>
        <w:tc>
          <w:tcPr>
            <w:tcW w:w="12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3, 2020</w:t>
            </w:r>
          </w:p>
        </w:tc>
        <w:tc>
          <w:tcPr>
            <w:tcW w:w="12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1,845</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5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2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260" w:type="dxa"/>
            <w:vAlign w:val="bottom"/>
            <w:tcBorders>
              <w:bottom w:val="single" w:sz="8" w:color="D1D2D4"/>
            </w:tcBorders>
          </w:tcPr>
          <w:p>
            <w:pPr>
              <w:spacing w:after="0"/>
              <w:rPr>
                <w:sz w:val="19"/>
                <w:szCs w:val="19"/>
                <w:color w:val="auto"/>
              </w:rPr>
            </w:pPr>
          </w:p>
        </w:tc>
        <w:tc>
          <w:tcPr>
            <w:tcW w:w="12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1,587</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260" w:type="dxa"/>
            <w:vAlign w:val="bottom"/>
            <w:tcBorders>
              <w:bottom w:val="single" w:sz="8" w:color="D1D2D4"/>
            </w:tcBorders>
            <w:shd w:val="clear" w:color="auto" w:fill="D1D2D4"/>
          </w:tcPr>
          <w:p>
            <w:pPr>
              <w:spacing w:after="0"/>
              <w:rPr>
                <w:sz w:val="21"/>
                <w:szCs w:val="21"/>
                <w:color w:val="auto"/>
              </w:rPr>
            </w:pPr>
          </w:p>
        </w:tc>
        <w:tc>
          <w:tcPr>
            <w:tcW w:w="12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260" w:type="dxa"/>
            <w:vAlign w:val="bottom"/>
            <w:tcBorders>
              <w:top w:val="single" w:sz="8" w:color="D1D2D4"/>
            </w:tcBorders>
          </w:tcPr>
          <w:p>
            <w:pPr>
              <w:spacing w:after="0" w:line="20" w:lineRule="exact"/>
              <w:rPr>
                <w:sz w:val="1"/>
                <w:szCs w:val="1"/>
                <w:color w:val="auto"/>
              </w:rPr>
            </w:pPr>
          </w:p>
        </w:tc>
        <w:tc>
          <w:tcPr>
            <w:tcW w:w="12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ectPr>
          <w:pgSz w:w="11900" w:h="16838" w:orient="portrait"/>
          <w:cols w:equalWidth="0" w:num="1">
            <w:col w:w="11240"/>
          </w:cols>
          <w:pgMar w:left="320" w:top="913" w:right="339" w:bottom="1440" w:gutter="0" w:footer="0" w:header="0"/>
        </w:sectPr>
      </w:pPr>
    </w:p>
    <w:p>
      <w:pPr>
        <w:spacing w:after="0"/>
        <w:rPr>
          <w:sz w:val="20"/>
          <w:szCs w:val="20"/>
          <w:color w:val="auto"/>
        </w:rPr>
      </w:pPr>
      <w:r>
        <w:rPr>
          <w:rFonts w:ascii="Arial" w:cs="Arial" w:eastAsia="Arial" w:hAnsi="Arial"/>
          <w:sz w:val="12"/>
          <w:szCs w:val="12"/>
          <w:i w:val="1"/>
          <w:iCs w:val="1"/>
          <w:color w:val="auto"/>
        </w:rPr>
        <w:t>(1)</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Included in receivables – other and other noncurrent assets.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Included in accounts payable and accrued expenses – other and other noncurrent liabilities.</w:t>
      </w:r>
    </w:p>
    <w:p>
      <w:pPr>
        <w:spacing w:after="0" w:line="200" w:lineRule="exact"/>
        <w:rPr>
          <w:sz w:val="20"/>
          <w:szCs w:val="20"/>
          <w:color w:val="auto"/>
        </w:rPr>
      </w:pPr>
    </w:p>
    <w:p>
      <w:pPr>
        <w:sectPr>
          <w:pgSz w:w="11900" w:h="16838" w:orient="portrait"/>
          <w:cols w:equalWidth="0" w:num="2">
            <w:col w:w="160" w:space="500"/>
            <w:col w:w="10580"/>
          </w:cols>
          <w:pgMar w:left="320" w:top="913"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4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utilize currency forward contracts that generally mature within two years to hedge our exposure to changes in currency exchange rates. Currency forward contracts are measured at fair value based on market-based observable inputs including currency exchange spot and forward rates, interest rates, and credit-risk spreads (Level 2). We do not use derivative instruments for speculative purposes.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cash flow hedges for our exposure from changes in currency exchange rates for certain capital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manufacturing costs. We recognized gains of $47 million and $3 million for the first quarters of 2021 and 2020, respectively, in accumulated other comprehensive income from cash flow hedges. Neither the amount excluded from hedge effectiveness nor the reclassifications from accumulated other comprehensive income to earnings was significant in the first quarters of 2021 or 2020. As of December 3, 2020, we expect to reclassify $60 million of pre-tax gains related to cash flow hedges from accumulated other comprehensive income into earnings in the next 12 months.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For derivative instruments without hedge accounting designation, we recognized gains of $11 million and $5 million for the first quarters of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40"/>
          <w:szCs w:val="40"/>
          <w:b w:val="1"/>
          <w:bCs w:val="1"/>
          <w:color w:val="auto"/>
        </w:rPr>
        <w:t>Equity Plans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 2020, 71 million shares of our common stock were available for future awards under our equity plans.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20" w:type="dxa"/>
            <w:vAlign w:val="bottom"/>
          </w:tcPr>
          <w:p>
            <w:pPr>
              <w:spacing w:after="0"/>
              <w:rPr>
                <w:sz w:val="20"/>
                <w:szCs w:val="20"/>
                <w:color w:val="auto"/>
              </w:rPr>
            </w:pPr>
            <w:r>
              <w:rPr>
                <w:rFonts w:ascii="Arial" w:cs="Arial" w:eastAsia="Arial" w:hAnsi="Arial"/>
                <w:sz w:val="18"/>
                <w:szCs w:val="18"/>
                <w:color w:val="auto"/>
              </w:rPr>
              <w:t>Restricted Stock Awards activity is summarized as follows: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1340" w:type="dxa"/>
            <w:vAlign w:val="bottom"/>
          </w:tcPr>
          <w:p>
            <w:pPr>
              <w:jc w:val="center"/>
              <w:ind w:right="70"/>
              <w:spacing w:after="0" w:line="199" w:lineRule="exact"/>
              <w:rPr>
                <w:sz w:val="20"/>
                <w:szCs w:val="20"/>
                <w:color w:val="auto"/>
              </w:rPr>
            </w:pPr>
            <w:r>
              <w:rPr>
                <w:rFonts w:ascii="Arial" w:cs="Arial" w:eastAsia="Arial" w:hAnsi="Arial"/>
                <w:sz w:val="18"/>
                <w:szCs w:val="18"/>
                <w:b w:val="1"/>
                <w:bCs w:val="1"/>
                <w:color w:val="auto"/>
                <w:w w:val="98"/>
              </w:rPr>
              <w:t>December 3,</w:t>
            </w:r>
          </w:p>
        </w:tc>
        <w:tc>
          <w:tcPr>
            <w:tcW w:w="160" w:type="dxa"/>
            <w:vAlign w:val="bottom"/>
          </w:tcPr>
          <w:p>
            <w:pPr>
              <w:spacing w:after="0"/>
              <w:rPr>
                <w:sz w:val="17"/>
                <w:szCs w:val="17"/>
                <w:color w:val="auto"/>
              </w:rPr>
            </w:pPr>
          </w:p>
        </w:tc>
        <w:tc>
          <w:tcPr>
            <w:tcW w:w="1360" w:type="dxa"/>
            <w:vAlign w:val="bottom"/>
          </w:tcPr>
          <w:p>
            <w:pPr>
              <w:jc w:val="center"/>
              <w:ind w:right="50"/>
              <w:spacing w:after="0" w:line="199" w:lineRule="exact"/>
              <w:rPr>
                <w:sz w:val="20"/>
                <w:szCs w:val="20"/>
                <w:color w:val="auto"/>
              </w:rPr>
            </w:pPr>
            <w:r>
              <w:rPr>
                <w:rFonts w:ascii="Arial" w:cs="Arial" w:eastAsia="Arial" w:hAnsi="Arial"/>
                <w:sz w:val="18"/>
                <w:szCs w:val="18"/>
                <w:b w:val="1"/>
                <w:bCs w:val="1"/>
                <w:color w:val="auto"/>
                <w:w w:val="99"/>
              </w:rPr>
              <w:t>November 28,</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0090DA"/>
            </w:tcBorders>
            <w:vMerge w:val="continue"/>
          </w:tcPr>
          <w:p>
            <w:pPr>
              <w:spacing w:after="0"/>
              <w:rPr>
                <w:sz w:val="19"/>
                <w:szCs w:val="19"/>
                <w:color w:val="auto"/>
              </w:rPr>
            </w:pPr>
          </w:p>
        </w:tc>
        <w:tc>
          <w:tcPr>
            <w:tcW w:w="160" w:type="dxa"/>
            <w:vAlign w:val="bottom"/>
            <w:tcBorders>
              <w:bottom w:val="single" w:sz="8" w:color="00A3E1"/>
            </w:tcBorders>
          </w:tcPr>
          <w:p>
            <w:pPr>
              <w:spacing w:after="0"/>
              <w:rPr>
                <w:sz w:val="19"/>
                <w:szCs w:val="19"/>
                <w:color w:val="auto"/>
              </w:rPr>
            </w:pPr>
          </w:p>
        </w:tc>
        <w:tc>
          <w:tcPr>
            <w:tcW w:w="1340" w:type="dxa"/>
            <w:vAlign w:val="bottom"/>
            <w:tcBorders>
              <w:bottom w:val="single" w:sz="8" w:color="00A3E1"/>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00A3E1"/>
            </w:tcBorders>
          </w:tcPr>
          <w:p>
            <w:pPr>
              <w:spacing w:after="0"/>
              <w:rPr>
                <w:sz w:val="19"/>
                <w:szCs w:val="19"/>
                <w:color w:val="auto"/>
              </w:rPr>
            </w:pPr>
          </w:p>
        </w:tc>
        <w:tc>
          <w:tcPr>
            <w:tcW w:w="1360" w:type="dxa"/>
            <w:vAlign w:val="bottom"/>
            <w:tcBorders>
              <w:bottom w:val="single" w:sz="8" w:color="00A3E1"/>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160" w:type="dxa"/>
            <w:vAlign w:val="bottom"/>
            <w:shd w:val="clear" w:color="auto" w:fill="D1D2D4"/>
          </w:tcPr>
          <w:p>
            <w:pPr>
              <w:spacing w:after="0"/>
              <w:rPr>
                <w:sz w:val="19"/>
                <w:szCs w:val="19"/>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50.78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w:t>
            </w:r>
          </w:p>
        </w:tc>
        <w:tc>
          <w:tcPr>
            <w:tcW w:w="16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00A3E1"/>
            </w:tcBorders>
          </w:tcPr>
          <w:p>
            <w:pPr>
              <w:spacing w:after="0"/>
              <w:rPr>
                <w:sz w:val="19"/>
                <w:szCs w:val="19"/>
                <w:color w:val="auto"/>
              </w:rPr>
            </w:pPr>
          </w:p>
        </w:tc>
        <w:tc>
          <w:tcPr>
            <w:tcW w:w="132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Employee stock purchase plan</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right="760"/>
        <w:spacing w:after="0" w:line="323" w:lineRule="auto"/>
        <w:rPr>
          <w:sz w:val="20"/>
          <w:szCs w:val="20"/>
          <w:color w:val="auto"/>
        </w:rPr>
      </w:pPr>
      <w:r>
        <w:rPr>
          <w:rFonts w:ascii="Arial" w:cs="Arial" w:eastAsia="Arial" w:hAnsi="Arial"/>
          <w:sz w:val="17"/>
          <w:szCs w:val="17"/>
          <w:color w:val="auto"/>
        </w:rPr>
        <w:t>As of December 3, 2020, $891 million of total unrecognized compensation costs for unvested awards, before the effect of any future forfeitures, was expected to be recognized through the first quarter of 2025, resulting in a weighted-average period of 1.5 years.</w:t>
      </w:r>
    </w:p>
    <w:p>
      <w:pPr>
        <w:spacing w:after="0" w:line="10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 and Customer Contract Liabilities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Technology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w:t>
            </w:r>
          </w:p>
        </w:tc>
        <w:tc>
          <w:tcPr>
            <w:tcW w:w="1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00A3E1"/>
            </w:tcBorders>
          </w:tcPr>
          <w:p>
            <w:pPr>
              <w:spacing w:after="0"/>
              <w:rPr>
                <w:sz w:val="19"/>
                <w:szCs w:val="19"/>
                <w:color w:val="auto"/>
              </w:rPr>
            </w:pPr>
          </w:p>
        </w:tc>
        <w:tc>
          <w:tcPr>
            <w:tcW w:w="132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4,056</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NAND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3D XPoint memory and NOR)</w:t>
            </w: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Contract Liabilities</w:t>
      </w:r>
    </w:p>
    <w:p>
      <w:pPr>
        <w:spacing w:after="0" w:line="24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Our contract liabilities from customer advances are for advance payments received from customers to secure product in future periods. Other contract liabilities consist of amounts received in advance of satisfying performance</w:t>
      </w:r>
    </w:p>
    <w:p>
      <w:pPr>
        <w:sectPr>
          <w:pgSz w:w="11900" w:h="16838" w:orient="portrait"/>
          <w:cols w:equalWidth="0" w:num="1">
            <w:col w:w="11240"/>
          </w:cols>
          <w:pgMar w:left="320" w:top="913" w:right="339" w:bottom="1440" w:gutter="0" w:footer="0" w:header="0"/>
        </w:sectPr>
      </w:pPr>
    </w:p>
    <w:p>
      <w:pPr>
        <w:spacing w:after="0" w:line="370" w:lineRule="exact"/>
        <w:rPr>
          <w:sz w:val="20"/>
          <w:szCs w:val="20"/>
          <w:color w:val="auto"/>
        </w:rPr>
      </w:pPr>
    </w:p>
    <w:p>
      <w:pPr>
        <w:ind w:left="9980"/>
        <w:spacing w:after="0"/>
        <w:rPr>
          <w:sz w:val="20"/>
          <w:szCs w:val="20"/>
          <w:color w:val="auto"/>
        </w:rPr>
      </w:pPr>
      <w:r>
        <w:rPr>
          <w:sz w:val="1"/>
          <w:szCs w:val="1"/>
          <w:color w:val="auto"/>
        </w:rPr>
        <w:drawing>
          <wp:inline distT="0" distB="0" distL="0" distR="0">
            <wp:extent cx="643255" cy="18034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21" w:name="page22"/>
    <w:bookmarkEnd w:id="21"/>
    <w:p>
      <w:pPr>
        <w:ind w:right="180"/>
        <w:spacing w:after="0" w:line="272" w:lineRule="auto"/>
        <w:rPr>
          <w:sz w:val="20"/>
          <w:szCs w:val="20"/>
          <w:color w:val="auto"/>
        </w:rPr>
      </w:pPr>
      <w:r>
        <w:rPr>
          <w:rFonts w:ascii="Arial" w:cs="Arial" w:eastAsia="Arial" w:hAnsi="Arial"/>
          <w:sz w:val="18"/>
          <w:szCs w:val="18"/>
          <w:color w:val="auto"/>
        </w:rPr>
        <w:t>obligations. These balances are reported within other current liabilities and other noncurrent liabilities. The following table presents contract liabilities:</w:t>
      </w:r>
    </w:p>
    <w:tbl>
      <w:tblPr>
        <w:tblLayout w:type="fixed"/>
        <w:tblInd w:w="0" w:type="dxa"/>
        <w:tblCellMar>
          <w:top w:w="0" w:type="dxa"/>
          <w:left w:w="0" w:type="dxa"/>
          <w:bottom w:w="0" w:type="dxa"/>
          <w:right w:w="0" w:type="dxa"/>
        </w:tblCellMar>
      </w:tblPr>
      <w:tr>
        <w:trPr>
          <w:trHeight w:val="188"/>
        </w:trPr>
        <w:tc>
          <w:tcPr>
            <w:tcW w:w="8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16"/>
                <w:szCs w:val="16"/>
                <w:color w:val="auto"/>
              </w:rPr>
            </w:pPr>
          </w:p>
        </w:tc>
        <w:tc>
          <w:tcPr>
            <w:tcW w:w="1280" w:type="dxa"/>
            <w:vAlign w:val="bottom"/>
          </w:tcPr>
          <w:p>
            <w:pPr>
              <w:jc w:val="right"/>
              <w:ind w:right="90"/>
              <w:spacing w:after="0" w:line="189" w:lineRule="exact"/>
              <w:rPr>
                <w:sz w:val="20"/>
                <w:szCs w:val="20"/>
                <w:color w:val="auto"/>
              </w:rPr>
            </w:pPr>
            <w:r>
              <w:rPr>
                <w:rFonts w:ascii="Arial" w:cs="Arial" w:eastAsia="Arial" w:hAnsi="Arial"/>
                <w:sz w:val="18"/>
                <w:szCs w:val="18"/>
                <w:b w:val="1"/>
                <w:bCs w:val="1"/>
                <w:color w:val="auto"/>
              </w:rPr>
              <w:t>December 3,</w:t>
            </w:r>
          </w:p>
        </w:tc>
        <w:tc>
          <w:tcPr>
            <w:tcW w:w="160" w:type="dxa"/>
            <w:vAlign w:val="bottom"/>
          </w:tcPr>
          <w:p>
            <w:pPr>
              <w:spacing w:after="0"/>
              <w:rPr>
                <w:sz w:val="16"/>
                <w:szCs w:val="16"/>
                <w:color w:val="auto"/>
              </w:rPr>
            </w:pPr>
          </w:p>
        </w:tc>
        <w:tc>
          <w:tcPr>
            <w:tcW w:w="132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0090DA"/>
            </w:tcBorders>
            <w:vMerge w:val="continue"/>
          </w:tcPr>
          <w:p>
            <w:pPr>
              <w:spacing w:after="0"/>
              <w:rPr>
                <w:sz w:val="19"/>
                <w:szCs w:val="19"/>
                <w:color w:val="auto"/>
              </w:rPr>
            </w:pPr>
          </w:p>
        </w:tc>
        <w:tc>
          <w:tcPr>
            <w:tcW w:w="160" w:type="dxa"/>
            <w:vAlign w:val="bottom"/>
            <w:tcBorders>
              <w:bottom w:val="single" w:sz="8" w:color="00A3E1"/>
            </w:tcBorders>
          </w:tcPr>
          <w:p>
            <w:pPr>
              <w:spacing w:after="0"/>
              <w:rPr>
                <w:sz w:val="19"/>
                <w:szCs w:val="19"/>
                <w:color w:val="auto"/>
              </w:rPr>
            </w:pPr>
          </w:p>
        </w:tc>
        <w:tc>
          <w:tcPr>
            <w:tcW w:w="1280" w:type="dxa"/>
            <w:vAlign w:val="bottom"/>
            <w:tcBorders>
              <w:bottom w:val="single" w:sz="8" w:color="00A3E1"/>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00A3E1"/>
            </w:tcBorders>
          </w:tcPr>
          <w:p>
            <w:pPr>
              <w:spacing w:after="0"/>
              <w:rPr>
                <w:sz w:val="19"/>
                <w:szCs w:val="19"/>
                <w:color w:val="auto"/>
              </w:rPr>
            </w:pPr>
          </w:p>
        </w:tc>
        <w:tc>
          <w:tcPr>
            <w:tcW w:w="132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Contract liabilities from customer advances</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contract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D1D2D4"/>
            </w:tcBorders>
            <w:shd w:val="clear" w:color="auto" w:fill="D1D2D4"/>
          </w:tcPr>
          <w:p>
            <w:pPr>
              <w:spacing w:after="0"/>
              <w:rPr>
                <w:sz w:val="21"/>
                <w:szCs w:val="21"/>
                <w:color w:val="auto"/>
              </w:rPr>
            </w:pP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832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Revenue recognized during the first quarter of 2021 from the ending balance of 2020 included $41 million from meeting performance obligations of other contract liabilities and shipments against customer advances.</w:t>
      </w:r>
    </w:p>
    <w:p>
      <w:pPr>
        <w:spacing w:after="0" w:line="17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in some cases, beyond one year. As of December 3, 2020, we expect future revenue related to these longer-term contracts of approximately $413 million, of which approximately 87% relates to performance obligations and product shipments we expect to satisfy within the next 12 months and 13% beyond 12 months.</w:t>
      </w:r>
    </w:p>
    <w:p>
      <w:pPr>
        <w:spacing w:after="0" w:line="204"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As of December 3, 2020 and September 3, 2020, other current liabilities included $480 million and $466 million, respectively, for estimates of consideration payable to customers, including estimates for pricing adjustments and returns.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Non-Operating Income (Expense), Net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w:t>
            </w:r>
          </w:p>
        </w:tc>
        <w:tc>
          <w:tcPr>
            <w:tcW w:w="1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00A3E1"/>
            </w:tcBorders>
          </w:tcPr>
          <w:p>
            <w:pPr>
              <w:spacing w:after="0"/>
              <w:rPr>
                <w:sz w:val="19"/>
                <w:szCs w:val="19"/>
                <w:color w:val="auto"/>
              </w:rPr>
            </w:pPr>
          </w:p>
        </w:tc>
        <w:tc>
          <w:tcPr>
            <w:tcW w:w="132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on debt prepayments, repurchases, and conversions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Income Taxes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8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1400" w:type="dxa"/>
            <w:vAlign w:val="bottom"/>
          </w:tcPr>
          <w:p>
            <w:pPr>
              <w:jc w:val="right"/>
              <w:ind w:right="170"/>
              <w:spacing w:after="0" w:line="199" w:lineRule="exact"/>
              <w:rPr>
                <w:sz w:val="20"/>
                <w:szCs w:val="20"/>
                <w:color w:val="auto"/>
              </w:rPr>
            </w:pPr>
            <w:r>
              <w:rPr>
                <w:rFonts w:ascii="Arial" w:cs="Arial" w:eastAsia="Arial" w:hAnsi="Arial"/>
                <w:sz w:val="18"/>
                <w:szCs w:val="18"/>
                <w:b w:val="1"/>
                <w:bCs w:val="1"/>
                <w:color w:val="auto"/>
              </w:rPr>
              <w:t>December 3,</w:t>
            </w:r>
          </w:p>
        </w:tc>
        <w:tc>
          <w:tcPr>
            <w:tcW w:w="160" w:type="dxa"/>
            <w:vAlign w:val="bottom"/>
          </w:tcPr>
          <w:p>
            <w:pPr>
              <w:spacing w:after="0"/>
              <w:rPr>
                <w:sz w:val="17"/>
                <w:szCs w:val="17"/>
                <w:color w:val="auto"/>
              </w:rPr>
            </w:pPr>
          </w:p>
        </w:tc>
        <w:tc>
          <w:tcPr>
            <w:tcW w:w="1440" w:type="dxa"/>
            <w:vAlign w:val="bottom"/>
          </w:tcPr>
          <w:p>
            <w:pPr>
              <w:jc w:val="right"/>
              <w:ind w:right="110"/>
              <w:spacing w:after="0" w:line="199" w:lineRule="exact"/>
              <w:rPr>
                <w:sz w:val="20"/>
                <w:szCs w:val="20"/>
                <w:color w:val="auto"/>
              </w:rPr>
            </w:pPr>
            <w:r>
              <w:rPr>
                <w:rFonts w:ascii="Arial" w:cs="Arial" w:eastAsia="Arial" w:hAnsi="Arial"/>
                <w:sz w:val="18"/>
                <w:szCs w:val="18"/>
                <w:b w:val="1"/>
                <w:bCs w:val="1"/>
                <w:color w:val="auto"/>
              </w:rPr>
              <w:t>November 28,</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0090DA"/>
            </w:tcBorders>
            <w:vMerge w:val="continue"/>
          </w:tcPr>
          <w:p>
            <w:pPr>
              <w:spacing w:after="0"/>
              <w:rPr>
                <w:sz w:val="19"/>
                <w:szCs w:val="19"/>
                <w:color w:val="auto"/>
              </w:rPr>
            </w:pPr>
          </w:p>
        </w:tc>
        <w:tc>
          <w:tcPr>
            <w:tcW w:w="180" w:type="dxa"/>
            <w:vAlign w:val="bottom"/>
            <w:tcBorders>
              <w:bottom w:val="single" w:sz="8" w:color="00A3E1"/>
            </w:tcBorders>
          </w:tcPr>
          <w:p>
            <w:pPr>
              <w:spacing w:after="0"/>
              <w:rPr>
                <w:sz w:val="19"/>
                <w:szCs w:val="19"/>
                <w:color w:val="auto"/>
              </w:rPr>
            </w:pPr>
          </w:p>
        </w:tc>
        <w:tc>
          <w:tcPr>
            <w:tcW w:w="1400" w:type="dxa"/>
            <w:vAlign w:val="bottom"/>
            <w:tcBorders>
              <w:bottom w:val="single" w:sz="8" w:color="00A3E1"/>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00A3E1"/>
            </w:tcBorders>
          </w:tcPr>
          <w:p>
            <w:pPr>
              <w:spacing w:after="0"/>
              <w:rPr>
                <w:sz w:val="19"/>
                <w:szCs w:val="19"/>
                <w:color w:val="auto"/>
              </w:rPr>
            </w:pPr>
          </w:p>
        </w:tc>
        <w:tc>
          <w:tcPr>
            <w:tcW w:w="1440" w:type="dxa"/>
            <w:vAlign w:val="bottom"/>
            <w:tcBorders>
              <w:bottom w:val="single" w:sz="8" w:color="00A3E1"/>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841</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8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180" w:type="dxa"/>
            <w:vAlign w:val="bottom"/>
            <w:shd w:val="clear" w:color="auto" w:fill="D1D2D4"/>
          </w:tcPr>
          <w:p>
            <w:pPr>
              <w:spacing w:after="0"/>
              <w:rPr>
                <w:sz w:val="19"/>
                <w:szCs w:val="19"/>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6.1 %</w:t>
            </w:r>
          </w:p>
        </w:tc>
        <w:tc>
          <w:tcPr>
            <w:tcW w:w="160" w:type="dxa"/>
            <w:vAlign w:val="bottom"/>
            <w:shd w:val="clear" w:color="auto" w:fill="D1D2D4"/>
          </w:tcPr>
          <w:p>
            <w:pPr>
              <w:spacing w:after="0"/>
              <w:rPr>
                <w:sz w:val="19"/>
                <w:szCs w:val="19"/>
                <w:color w:val="auto"/>
              </w:rPr>
            </w:pP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$56 million (benefiting our diluted earnings per share by $0.05) for the first quarter of 2021 and were not significant to our tax provision for the first quarter of 2020.</w:t>
      </w:r>
    </w:p>
    <w:p>
      <w:pPr>
        <w:spacing w:after="0" w:line="19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As of December 3, 2020, gross unrecognized tax benefits were $415 million, substantially all of which would affect our effective tax rate in the future, if recognized. Amounts accrued for interest and penalties related to uncertain tax positions were not significant for any period presented.</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 </w:t>
      </w:r>
      <w:r>
        <w:rPr>
          <w:rFonts w:ascii="Arial" w:cs="Arial" w:eastAsia="Arial" w:hAnsi="Arial"/>
          <w:sz w:val="20"/>
          <w:szCs w:val="20"/>
          <w:b w:val="1"/>
          <w:bCs w:val="1"/>
          <w:color w:val="0090DA"/>
        </w:rPr>
        <w:t>|</w:t>
      </w:r>
      <w:r>
        <w:rPr>
          <w:rFonts w:ascii="Arial" w:cs="Arial" w:eastAsia="Arial" w:hAnsi="Arial"/>
          <w:sz w:val="17"/>
          <w:szCs w:val="17"/>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40"/>
          <w:szCs w:val="40"/>
          <w:b w:val="1"/>
          <w:bCs w:val="1"/>
          <w:color w:val="auto"/>
        </w:rPr>
        <w:t>Earnings Per Share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w:t>
            </w:r>
          </w:p>
        </w:tc>
        <w:tc>
          <w:tcPr>
            <w:tcW w:w="16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00A3E1"/>
            </w:tcBorders>
          </w:tcPr>
          <w:p>
            <w:pPr>
              <w:spacing w:after="0"/>
              <w:rPr>
                <w:sz w:val="19"/>
                <w:szCs w:val="19"/>
                <w:color w:val="auto"/>
              </w:rPr>
            </w:pPr>
          </w:p>
        </w:tc>
        <w:tc>
          <w:tcPr>
            <w:tcW w:w="132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Basic</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Assumed conversion of debt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Diluted</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1,115</w:t>
            </w: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 and convertible notes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40" w:type="dxa"/>
            <w:vAlign w:val="bottom"/>
            <w:tcBorders>
              <w:bottom w:val="single" w:sz="8" w:color="auto"/>
            </w:tcBorders>
            <w:shd w:val="clear" w:color="auto" w:fill="D1D2D4"/>
          </w:tcPr>
          <w:p>
            <w:pPr>
              <w:spacing w:after="0"/>
              <w:rPr>
                <w:sz w:val="21"/>
                <w:szCs w:val="21"/>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1,135</w:t>
            </w:r>
          </w:p>
        </w:tc>
        <w:tc>
          <w:tcPr>
            <w:tcW w:w="160" w:type="dxa"/>
            <w:vAlign w:val="bottom"/>
            <w:tcBorders>
              <w:bottom w:val="single" w:sz="8" w:color="auto"/>
            </w:tcBorders>
            <w:shd w:val="clear" w:color="auto" w:fill="D1D2D4"/>
          </w:tcPr>
          <w:p>
            <w:pPr>
              <w:spacing w:after="0"/>
              <w:rPr>
                <w:sz w:val="21"/>
                <w:szCs w:val="21"/>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0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0.71</w:t>
            </w: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Antidilutive potential common stock shares that could dilute basic earnings per share in the future were 2 million and 6 million for the first quarters of 2021 and 2020,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69"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69" w:lineRule="exact"/>
        <w:rPr>
          <w:sz w:val="20"/>
          <w:szCs w:val="20"/>
          <w:color w:val="auto"/>
        </w:rPr>
      </w:pPr>
    </w:p>
    <w:p>
      <w:pPr>
        <w:ind w:left="340" w:right="380" w:hanging="323"/>
        <w:spacing w:after="0" w:line="264"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smartphone and other mobile-device markets.</w:t>
      </w:r>
    </w:p>
    <w:p>
      <w:pPr>
        <w:spacing w:after="0" w:line="9" w:lineRule="exact"/>
        <w:rPr>
          <w:sz w:val="20"/>
          <w:szCs w:val="20"/>
          <w:color w:val="auto"/>
        </w:rPr>
      </w:pPr>
    </w:p>
    <w:p>
      <w:pPr>
        <w:ind w:left="340" w:hanging="323"/>
        <w:spacing w:after="0" w:line="250"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other discrete storage products sold in component and wafer form.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30"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00A3E1"/>
            </w:tcBorders>
          </w:tcPr>
          <w:p>
            <w:pPr>
              <w:spacing w:after="0"/>
              <w:rPr>
                <w:sz w:val="19"/>
                <w:szCs w:val="19"/>
                <w:color w:val="auto"/>
              </w:rPr>
            </w:pPr>
          </w:p>
        </w:tc>
        <w:tc>
          <w:tcPr>
            <w:tcW w:w="132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CNBU</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SBU</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5,773</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CNBU</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SBU</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D1D2D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ind w:right="700"/>
        <w:spacing w:after="0" w:line="306"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1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September 3, 2020. All period references are to our fiscal periods unless otherwise indicated. Our fiscal year is the 52 or 53-week period ending on the Thursday closest to August 31. Fiscal 2021 contains 52 weeks and our fiscal 2020 contained 53 weeks. Our first quarters of 2020 and 2021 each contained 13 weeks and our fourth quarter of fiscal 2020 contained 14 weeks. All tabular dollar amounts are in millions, except per share amounts.</w:t>
      </w:r>
    </w:p>
    <w:p>
      <w:pPr>
        <w:spacing w:after="0" w:line="18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6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Crucial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21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manufacture our products at wholly-owned facilities and also utilize subcontractors to perform certain manufacturing processes. In recent years, we have increased our manufacturing scale and product diversity through strategic acquisitions, expansion, and various partnering arrangements.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4" w:name="page25"/>
    <w:bookmarkEnd w:id="24"/>
    <w:p>
      <w:pPr>
        <w:ind w:right="60"/>
        <w:spacing w:after="0" w:line="256" w:lineRule="auto"/>
        <w:rPr>
          <w:sz w:val="20"/>
          <w:szCs w:val="20"/>
          <w:color w:val="auto"/>
        </w:rPr>
      </w:pPr>
      <w:r>
        <w:rPr>
          <w:rFonts w:ascii="Arial" w:cs="Arial" w:eastAsia="Arial" w:hAnsi="Arial"/>
          <w:sz w:val="18"/>
          <w:szCs w:val="18"/>
          <w:color w:val="auto"/>
        </w:rPr>
        <w:t>We make significant investments to develop proprietary product and process technology, which are implemented in our manufacturing facilities, and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advanced packaging solutions, lower power consumption, improved read/write reliability, and increased memory density. A significant portion of our revenues are from sales of managed NAND and SSD products, which incorporate NAND, a controller, and firmware. An increasing portion of our SSDs incorporate proprietary controllers and firmware that we have developed. Development of advanced technologies enables us to diversify our product portfolio toward a richer mix of differentiated, high-value solutions and to target high-growth markets.</w:t>
      </w:r>
    </w:p>
    <w:p>
      <w:pPr>
        <w:spacing w:after="0" w:line="20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Our success is largely dependent on obtaining returns on our research and development (“R&amp;D”) investments, efficient utilization of our manufacturing infrastructure, development and integration of advanced product and process technologies, market acceptance of our diversified portfolio of semiconductor-based memory and storage solutions, and return-driven capital spending.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Impact of COVID-19 on Our Business</w:t>
      </w:r>
    </w:p>
    <w:p>
      <w:pPr>
        <w:spacing w:after="0" w:line="24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Events surrounding the ongoing COVID-19 outbreak have resulted in a reduction in economic activity across the globe. The ultimate severity and duration of these economic repercussions, including any resulting impact on our business, remain largely unknown and ultimately will depend on many factors. As a result, we have experienced volatility in the markets that our products are sold into, driven by the move to a stay-at-home economy and fluctuations in consumer and business spending, which has affected demand for certain of our products. The ultimate extent to which COVID-19 will impact demand for our products depends on future developments, which are highly uncertain and very difficult to predict, including the effectiveness and utilization of vaccines and other treatments for COVID-19 and new information that may emerge concerning the severity of COVID-19 and actions to contain and treat its impacts.</w:t>
      </w:r>
    </w:p>
    <w:p>
      <w:pPr>
        <w:spacing w:after="0" w:line="20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From the start of the COVID-19 outbreak, we proactively implemented preventative protocols intended to safeguard our team members, contractors, suppliers, customers, distributors, and communities, and to ensure business continuity in the event government restrictions or severe outbreaks impact our operations at certain sites. While all our global manufacturing sites are currently operating with close to full staff and at normal capacity levels, our facilities could be required to temporarily curtail production levels or temporarily cease operations based on government mandates. We may be required to, or deem it to be in the best interest of our employees, customers, partners, suppliers, and stakeholders, to alter our business operations in order to maintain a healthy and safe environment. It is not clear what potential effects any such alterations or modifications may have on our business, including effects on our customers, employees, and prospects, or on our financial results. We are following government policies and recommendations designed to slow the spread of COVID-19 and remain committed to the health and safety of our team members, contractors, suppliers, customers, distributors, and communities.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efforts to respond to the COVID-19 outbreak include the following:</w:t>
      </w:r>
    </w:p>
    <w:p>
      <w:pPr>
        <w:spacing w:after="0" w:line="252" w:lineRule="exact"/>
        <w:rPr>
          <w:sz w:val="20"/>
          <w:szCs w:val="20"/>
          <w:color w:val="auto"/>
        </w:rPr>
      </w:pPr>
    </w:p>
    <w:p>
      <w:pPr>
        <w:ind w:left="660" w:right="100" w:hanging="328"/>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locations experiencing continued community COVID-19 infections, we have prohibited onsite visitors and are generally requiring team members to work from home where possible. Where work from home is not possible, all on-site team members must complete health questionnaires, pass through thermal scanning equipment to ensure they do not have an elevated body temperature, wear a mask at all times while on site, and adhere to physical distancing requirements and team member separation protocols. We have also enhanced our contact tracing, significantly decreased business travel, and where possible, made ventilation and other health and safety enhancements at our facilities and provided COVID-19 testing for our team members.</w:t>
      </w:r>
    </w:p>
    <w:p>
      <w:pPr>
        <w:spacing w:after="0" w:line="3"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respond to changing market conditions, we have shifted some supply from markets which have experienced declines in demand to markets that have experienced demand increases.</w:t>
      </w:r>
    </w:p>
    <w:p>
      <w:pPr>
        <w:ind w:left="660" w:right="1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evaluated our supply chain and communicated with our suppliers to identify supply gaps and taken steps to ensure continuity. In some cases, we have added alternative suppliers and increased our on-hand inventory of raw materials needed in our operations.</w:t>
      </w:r>
    </w:p>
    <w:p>
      <w:pPr>
        <w:spacing w:after="0" w:line="1" w:lineRule="exact"/>
        <w:rPr>
          <w:rFonts w:ascii="Arial" w:cs="Arial" w:eastAsia="Arial" w:hAnsi="Arial"/>
          <w:sz w:val="18"/>
          <w:szCs w:val="18"/>
          <w:color w:val="auto"/>
        </w:rPr>
      </w:pPr>
    </w:p>
    <w:p>
      <w:pPr>
        <w:ind w:left="660" w:right="6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added assembly and test capacity to provide redundant manufacturing capability through our network of captive operations and external partners.</w:t>
      </w:r>
    </w:p>
    <w:p>
      <w:pPr>
        <w:spacing w:after="0" w:line="393"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ind w:left="660" w:right="22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evaluated all our construction projects across our global manufacturing operations and enacted protocols to enhance the safety of our team members, suppliers, and contractors.</w:t>
      </w:r>
    </w:p>
    <w:p>
      <w:pPr>
        <w:ind w:left="660" w:right="7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developed strategies and implemented measures to respond to a variety of potential economic scenarios, such as limitations on new hiring and business travel and reductions of discretionary spending.</w:t>
      </w:r>
    </w:p>
    <w:p>
      <w:pPr>
        <w:ind w:left="660" w:right="22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working with government authorities in the jurisdictions where we operate, and continuing to monitor our operations in an effort to ensure we follow government requirements, relevant regulations, industry standards, and best practices to help safeguard our team members, while safely continuing operations at our sites across the globe.</w:t>
      </w:r>
    </w:p>
    <w:p>
      <w:pPr>
        <w:spacing w:after="0" w:line="20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believe these actions are appropriate and prudent to safeguard our team members, contractors, suppliers, customers, and communities, while allowing us to safely continue operations. We cannot predict how the steps we, our team members, government entities, suppliers, or customers take in response to the COVID-19 outbreak will ultimately impact our business, outlook, or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Technologies</w:t>
      </w:r>
    </w:p>
    <w:p>
      <w:pPr>
        <w:spacing w:after="0" w:line="24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3D XPoint memory, NOR, and other technologies. We sell our products into various markets through our business units in numerous forms, including wafers, components, modules, SSDs, managed NAND, and MCP products. Our system-level solutions, including SSDs, managed NAND, and MCPs, typically include a controller and firmware and in some cases combine DRAM, NAND, and/or NOR.</w:t>
      </w:r>
    </w:p>
    <w:p>
      <w:pPr>
        <w:spacing w:after="0" w:line="20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DRAM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graphics, industrial, and automotive markets. Low-power DRAM (“LPDRAM”)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198"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b w:val="1"/>
          <w:bCs w:val="1"/>
          <w:i w:val="1"/>
          <w:iCs w:val="1"/>
          <w:color w:val="auto"/>
        </w:rPr>
        <w:t>NAND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3D XPoint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3D XPoint is a new class of non-volatile technology between DRAM and NAND in the memory and storage hierarchy,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capacity and non-volatility over DRAM along with lower latency and higher endurance as compared to NAND. 3D XPoint technology is ideal for data center and other markets requiring high-bandwidth storage and low-latency performance.</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(e.g., boot, application, operating system, and execute-in-place code in an embedded system) and for frequently changing small data storage and is ideal for automotive, industrial, and consumer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6" w:name="page27"/>
    <w:bookmarkEnd w:id="26"/>
    <w:p>
      <w:pPr>
        <w:spacing w:after="0"/>
        <w:rPr>
          <w:sz w:val="20"/>
          <w:szCs w:val="20"/>
          <w:color w:val="auto"/>
        </w:rPr>
      </w:pPr>
      <w:r>
        <w:rPr>
          <w:rFonts w:ascii="Arial" w:cs="Arial" w:eastAsia="Arial" w:hAnsi="Arial"/>
          <w:sz w:val="40"/>
          <w:szCs w:val="40"/>
          <w:b w:val="1"/>
          <w:bCs w:val="1"/>
          <w:color w:val="auto"/>
        </w:rPr>
        <w:t>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First Quarter</w:t>
            </w:r>
          </w:p>
        </w:tc>
        <w:tc>
          <w:tcPr>
            <w:tcW w:w="160" w:type="dxa"/>
            <w:vAlign w:val="bottom"/>
          </w:tcPr>
          <w:p>
            <w:pPr>
              <w:spacing w:after="0"/>
              <w:rPr>
                <w:sz w:val="19"/>
                <w:szCs w:val="19"/>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Fourth Quarter</w:t>
            </w:r>
          </w:p>
        </w:tc>
        <w:tc>
          <w:tcPr>
            <w:tcW w:w="220" w:type="dxa"/>
            <w:vAlign w:val="bottom"/>
          </w:tcPr>
          <w:p>
            <w:pPr>
              <w:spacing w:after="0"/>
              <w:rPr>
                <w:sz w:val="19"/>
                <w:szCs w:val="19"/>
                <w:color w:val="auto"/>
              </w:rPr>
            </w:pPr>
          </w:p>
        </w:tc>
        <w:tc>
          <w:tcPr>
            <w:tcW w:w="14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First Quarter</w:t>
            </w:r>
          </w:p>
        </w:tc>
      </w:tr>
      <w:tr>
        <w:trPr>
          <w:trHeight w:val="241"/>
        </w:trPr>
        <w:tc>
          <w:tcPr>
            <w:tcW w:w="622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1480" w:type="dxa"/>
            <w:vAlign w:val="bottom"/>
            <w:tcBorders>
              <w:bottom w:val="single" w:sz="8" w:color="0090DA"/>
            </w:tcBorders>
            <w:gridSpan w:val="2"/>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0090DA"/>
            </w:tcBorders>
          </w:tcPr>
          <w:p>
            <w:pPr>
              <w:spacing w:after="0"/>
              <w:rPr>
                <w:sz w:val="20"/>
                <w:szCs w:val="20"/>
                <w:color w:val="auto"/>
              </w:rPr>
            </w:pPr>
          </w:p>
        </w:tc>
        <w:tc>
          <w:tcPr>
            <w:tcW w:w="1500" w:type="dxa"/>
            <w:vAlign w:val="bottom"/>
            <w:tcBorders>
              <w:bottom w:val="single" w:sz="8" w:color="0090DA"/>
            </w:tcBorders>
            <w:gridSpan w:val="2"/>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0090DA"/>
            </w:tcBorders>
          </w:tcPr>
          <w:p>
            <w:pPr>
              <w:spacing w:after="0"/>
              <w:rPr>
                <w:sz w:val="20"/>
                <w:szCs w:val="20"/>
                <w:color w:val="auto"/>
              </w:rPr>
            </w:pPr>
          </w:p>
        </w:tc>
        <w:tc>
          <w:tcPr>
            <w:tcW w:w="1460" w:type="dxa"/>
            <w:vAlign w:val="bottom"/>
            <w:tcBorders>
              <w:bottom w:val="single" w:sz="8" w:color="0090DA"/>
            </w:tcBorders>
            <w:gridSpan w:val="2"/>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34"/>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5,773</w:t>
            </w:r>
          </w:p>
        </w:tc>
        <w:tc>
          <w:tcPr>
            <w:tcW w:w="8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6,056</w:t>
            </w:r>
          </w:p>
        </w:tc>
        <w:tc>
          <w:tcPr>
            <w:tcW w:w="78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5,144</w:t>
            </w:r>
          </w:p>
        </w:tc>
        <w:tc>
          <w:tcPr>
            <w:tcW w:w="7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100%</w:t>
            </w:r>
          </w:p>
        </w:tc>
      </w:tr>
      <w:tr>
        <w:trPr>
          <w:trHeight w:val="229"/>
        </w:trPr>
        <w:tc>
          <w:tcPr>
            <w:tcW w:w="62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800" w:type="dxa"/>
            <w:vAlign w:val="bottom"/>
            <w:tcBorders>
              <w:bottom w:val="single" w:sz="8" w:color="D1D2D4"/>
            </w:tcBorders>
          </w:tcPr>
          <w:p>
            <w:pPr>
              <w:jc w:val="right"/>
              <w:ind w:right="150"/>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780" w:type="dxa"/>
            <w:vAlign w:val="bottom"/>
            <w:tcBorders>
              <w:bottom w:val="single" w:sz="8" w:color="D1D2D4"/>
            </w:tcBorders>
          </w:tcPr>
          <w:p>
            <w:pPr>
              <w:jc w:val="right"/>
              <w:ind w:right="130"/>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w:t>
            </w:r>
          </w:p>
        </w:tc>
        <w:tc>
          <w:tcPr>
            <w:tcW w:w="780" w:type="dxa"/>
            <w:vAlign w:val="bottom"/>
            <w:tcBorders>
              <w:bottom w:val="single" w:sz="8" w:color="D1D2D4"/>
            </w:tcBorders>
          </w:tcPr>
          <w:p>
            <w:pPr>
              <w:jc w:val="right"/>
              <w:ind w:right="150"/>
              <w:spacing w:after="0"/>
              <w:rPr>
                <w:sz w:val="20"/>
                <w:szCs w:val="20"/>
                <w:color w:val="auto"/>
              </w:rPr>
            </w:pPr>
            <w:r>
              <w:rPr>
                <w:rFonts w:ascii="Arial" w:cs="Arial" w:eastAsia="Arial" w:hAnsi="Arial"/>
                <w:sz w:val="18"/>
                <w:szCs w:val="18"/>
                <w:color w:val="auto"/>
              </w:rPr>
              <w:t>73%</w:t>
            </w:r>
          </w:p>
        </w:tc>
      </w:tr>
      <w:tr>
        <w:trPr>
          <w:trHeight w:val="223"/>
        </w:trPr>
        <w:tc>
          <w:tcPr>
            <w:tcW w:w="62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w:t>
            </w:r>
          </w:p>
        </w:tc>
        <w:tc>
          <w:tcPr>
            <w:tcW w:w="8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2,068</w:t>
            </w:r>
          </w:p>
        </w:tc>
        <w:tc>
          <w:tcPr>
            <w:tcW w:w="78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1,366</w:t>
            </w:r>
          </w:p>
        </w:tc>
        <w:tc>
          <w:tcPr>
            <w:tcW w:w="7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27%</w:t>
            </w:r>
          </w:p>
        </w:tc>
      </w:tr>
      <w:tr>
        <w:trPr>
          <w:trHeight w:val="257"/>
        </w:trPr>
        <w:tc>
          <w:tcPr>
            <w:tcW w:w="6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9"/>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647</w:t>
            </w:r>
          </w:p>
        </w:tc>
        <w:tc>
          <w:tcPr>
            <w:tcW w:w="8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630</w:t>
            </w:r>
          </w:p>
        </w:tc>
        <w:tc>
          <w:tcPr>
            <w:tcW w:w="78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640</w:t>
            </w:r>
          </w:p>
        </w:tc>
        <w:tc>
          <w:tcPr>
            <w:tcW w:w="7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12%</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4%</w:t>
            </w:r>
          </w:p>
        </w:tc>
      </w:tr>
      <w:tr>
        <w:trPr>
          <w:trHeight w:val="229"/>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20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8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78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866</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1,157</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57"/>
        </w:trPr>
        <w:tc>
          <w:tcPr>
            <w:tcW w:w="622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680" w:type="dxa"/>
            <w:vAlign w:val="bottom"/>
            <w:shd w:val="clear" w:color="auto" w:fill="D1D2D4"/>
          </w:tcPr>
          <w:p>
            <w:pPr>
              <w:spacing w:after="0"/>
              <w:rPr>
                <w:sz w:val="22"/>
                <w:szCs w:val="22"/>
                <w:color w:val="auto"/>
              </w:rPr>
            </w:pPr>
          </w:p>
        </w:tc>
        <w:tc>
          <w:tcPr>
            <w:tcW w:w="8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720" w:type="dxa"/>
            <w:vAlign w:val="bottom"/>
            <w:shd w:val="clear" w:color="auto" w:fill="D1D2D4"/>
          </w:tcPr>
          <w:p>
            <w:pPr>
              <w:spacing w:after="0"/>
              <w:rPr>
                <w:sz w:val="22"/>
                <w:szCs w:val="22"/>
                <w:color w:val="auto"/>
              </w:rPr>
            </w:pPr>
          </w:p>
        </w:tc>
        <w:tc>
          <w:tcPr>
            <w:tcW w:w="7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680" w:type="dxa"/>
            <w:vAlign w:val="bottom"/>
            <w:shd w:val="clear" w:color="auto" w:fill="D1D2D4"/>
          </w:tcPr>
          <w:p>
            <w:pPr>
              <w:spacing w:after="0"/>
              <w:rPr>
                <w:sz w:val="22"/>
                <w:szCs w:val="22"/>
                <w:color w:val="auto"/>
              </w:rPr>
            </w:pPr>
          </w:p>
        </w:tc>
        <w:tc>
          <w:tcPr>
            <w:tcW w:w="780" w:type="dxa"/>
            <w:vAlign w:val="bottom"/>
            <w:shd w:val="clear" w:color="auto" w:fill="D1D2D4"/>
          </w:tcPr>
          <w:p>
            <w:pPr>
              <w:spacing w:after="0"/>
              <w:rPr>
                <w:sz w:val="22"/>
                <w:szCs w:val="22"/>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8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78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7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30"/>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8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7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62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D1D2D4"/>
            </w:tcBorders>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bottom w:val="single" w:sz="8" w:color="D1D2D4"/>
            </w:tcBorders>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80" w:type="dxa"/>
            <w:vAlign w:val="bottom"/>
            <w:tcBorders>
              <w:bottom w:val="single" w:sz="8" w:color="D1D2D4"/>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48"/>
        </w:trPr>
        <w:tc>
          <w:tcPr>
            <w:tcW w:w="6220" w:type="dxa"/>
            <w:vAlign w:val="bottom"/>
            <w:tcBorders>
              <w:bottom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Net income attributable to Micron</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800" w:type="dxa"/>
            <w:vAlign w:val="bottom"/>
            <w:tcBorders>
              <w:bottom w:val="single" w:sz="8" w:color="D1D2D4"/>
            </w:tcBorders>
            <w:shd w:val="clear" w:color="auto" w:fill="D1D2D4"/>
          </w:tcPr>
          <w:p>
            <w:pPr>
              <w:jc w:val="right"/>
              <w:ind w:right="15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988</w:t>
            </w:r>
          </w:p>
        </w:tc>
        <w:tc>
          <w:tcPr>
            <w:tcW w:w="780" w:type="dxa"/>
            <w:vAlign w:val="bottom"/>
            <w:tcBorders>
              <w:bottom w:val="single" w:sz="8" w:color="D1D2D4"/>
            </w:tcBorders>
            <w:shd w:val="clear" w:color="auto" w:fill="D1D2D4"/>
          </w:tcPr>
          <w:p>
            <w:pPr>
              <w:jc w:val="right"/>
              <w:ind w:right="13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491</w:t>
            </w:r>
          </w:p>
        </w:tc>
        <w:tc>
          <w:tcPr>
            <w:tcW w:w="780" w:type="dxa"/>
            <w:vAlign w:val="bottom"/>
            <w:tcBorders>
              <w:bottom w:val="single" w:sz="8" w:color="D1D2D4"/>
            </w:tcBorders>
            <w:shd w:val="clear" w:color="auto" w:fill="D1D2D4"/>
          </w:tcPr>
          <w:p>
            <w:pPr>
              <w:jc w:val="right"/>
              <w:ind w:right="150"/>
              <w:spacing w:after="0"/>
              <w:rPr>
                <w:sz w:val="20"/>
                <w:szCs w:val="20"/>
                <w:color w:val="auto"/>
              </w:rPr>
            </w:pPr>
            <w:r>
              <w:rPr>
                <w:rFonts w:ascii="Arial" w:cs="Arial" w:eastAsia="Arial" w:hAnsi="Arial"/>
                <w:sz w:val="18"/>
                <w:szCs w:val="18"/>
                <w:color w:val="auto"/>
              </w:rPr>
              <w:t>10%</w:t>
            </w:r>
          </w:p>
        </w:tc>
      </w:tr>
      <w:tr>
        <w:trPr>
          <w:trHeight w:val="20"/>
        </w:trPr>
        <w:tc>
          <w:tcPr>
            <w:tcW w:w="622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80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7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780" w:type="dxa"/>
            <w:vAlign w:val="bottom"/>
            <w:tcBorders>
              <w:top w:val="single" w:sz="8" w:color="D1D2D4"/>
            </w:tcBorders>
          </w:tcPr>
          <w:p>
            <w:pPr>
              <w:spacing w:after="0" w:line="20" w:lineRule="exact"/>
              <w:rPr>
                <w:sz w:val="1"/>
                <w:szCs w:val="1"/>
                <w:color w:val="auto"/>
              </w:rPr>
            </w:pPr>
          </w:p>
        </w:tc>
      </w:tr>
    </w:tbl>
    <w:p>
      <w:pPr>
        <w:spacing w:after="0" w:line="32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On August 17, 2020, the U.S. Bureau of Industry and Security (“BIS”) announced broad trade restrictions with respect to Huawei Technologies Co. Ltd. (“Huawei”) (which represented approximately 10% of our revenue in the fourth quarter of 2020 and 12% in 2019) that took effect on September 15, 2020 and currently prevent us from shipping products to Huawei. The effects of these restrictions are included in our consolidated and business unit results discussed below.</w:t>
      </w:r>
    </w:p>
    <w:p>
      <w:pPr>
        <w:spacing w:after="0" w:line="19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Total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for the first quarter of 2021 decreased 5% as compared to the fourth quarter of 2020 primarily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week in the fourth quarter of 2020. In addition, declines in selling prices in the first quarter of 2021 were substantially offset by increases in NAND sales volumes due to higher production and market demand. Sales of DRAM products for the first quarter of 2021 decreased 7% as compared to the fourth quarter of 2020 as average selling prices declined by a mid-single-digit percent and bit shipments decreased by a low-single digit percent due primarily to the additional week in the fourth quarter of 2020. Sales of NAND products for the first quarter of 2021 increased 3% as compared to the fourth quarter of 2020 primarily due to a high-teens percent increase in bit shipments, despite the additional week in the fourth quarter of 2020, driven by higher sales of components and SSDs in consumer markets and of managed NAND products in mobile markets, partially offset by a low-teens percent decline in average selling prices.</w:t>
      </w:r>
    </w:p>
    <w:p>
      <w:pPr>
        <w:spacing w:after="0" w:line="20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Total revenue for the first quarter of 2021 increased 12% as compared to the first quarter of 2020 primarily due to increases in DRAM and NAND sales. Sales of DRAM products for the first quarter of 2021 increased 17% as compared to the first quarter of 2020 primarily due to growth in bit shipments in the low-20% range driven by graphics, client, and cloud server markets, partially offset by a low-single-digit percent decline in average selling prices. Sales of NAND products for the first quarter of 2021 increased 11% as compared to the first quarter of 2020 primarily due to increases in bit shipments in the low-20% range driven by higher sales to consumer and mobile markets, partially offset by an upper-single-digit percent decline in average selling prices.</w:t>
      </w:r>
    </w:p>
    <w:p>
      <w:pPr>
        <w:spacing w:after="0" w:line="202"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Overall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overall gross margin percentage decreased to 30% for the first quarter of 2021 from 34% for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primarily due to continuing declines in average selling prices. Our gross margins included the impact of underutilization costs at MTU of $113 million for the first quarter of 2021, $135 million for the fourth quarter of 2020, and $125 million for the first quarter of 2020. We expect underutilization costs at MTU to gradually decline through 2021 as we redeploy equipment and continue to right-size our capacity.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7" w:name="page28"/>
    <w:bookmarkEnd w:id="27"/>
    <w:p>
      <w:pPr>
        <w:ind w:right="240"/>
        <w:spacing w:after="0" w:line="271" w:lineRule="auto"/>
        <w:rPr>
          <w:sz w:val="20"/>
          <w:szCs w:val="20"/>
          <w:color w:val="auto"/>
        </w:rPr>
      </w:pPr>
      <w:r>
        <w:rPr>
          <w:rFonts w:ascii="Arial" w:cs="Arial" w:eastAsia="Arial" w:hAnsi="Arial"/>
          <w:sz w:val="18"/>
          <w:szCs w:val="18"/>
          <w:color w:val="auto"/>
        </w:rPr>
        <w:t>Our overall gross margin percentage increased to 30% for the first quarter of 2021 from 27% for the first quarter of 2020 primarily due to manufacturing cost reductions resulting from strong execution in delivering products featuring advanced technologies and from continuous improvement initiatives to reduce production costs, partially offset by declines in average selling prices.</w:t>
      </w:r>
    </w:p>
    <w:p>
      <w:pPr>
        <w:spacing w:after="0" w:line="190"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At the beginning of the second quarter of 2021, we began using a first-in, first-out (“FIFO”) inventory accounting method as opposed to the moving average method that we used historically. Concurrently, at the beginning of the second quarter of 2021, we implemented changes in our inventory cost absorption processes. These changes are aligned with general industry practice and result in a better, more accurate measure of inventories and cost of goods sold. These changes will accelerate the recognition of certain costs, and as a result, we expect a one-time increase to cost of goods sold of approximately $300 million in the second quarter of 2021.</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9"/>
              </w:rPr>
              <w:t>First Quarter</w:t>
            </w:r>
          </w:p>
        </w:tc>
        <w:tc>
          <w:tcPr>
            <w:tcW w:w="160" w:type="dxa"/>
            <w:vAlign w:val="bottom"/>
          </w:tcPr>
          <w:p>
            <w:pPr>
              <w:spacing w:after="0"/>
              <w:rPr>
                <w:sz w:val="19"/>
                <w:szCs w:val="19"/>
                <w:color w:val="auto"/>
              </w:rPr>
            </w:pPr>
          </w:p>
        </w:tc>
        <w:tc>
          <w:tcPr>
            <w:tcW w:w="15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9"/>
              </w:rPr>
              <w:t>Fourth Quarter</w:t>
            </w:r>
          </w:p>
        </w:tc>
        <w:tc>
          <w:tcPr>
            <w:tcW w:w="220" w:type="dxa"/>
            <w:vAlign w:val="bottom"/>
          </w:tcPr>
          <w:p>
            <w:pPr>
              <w:spacing w:after="0"/>
              <w:rPr>
                <w:sz w:val="19"/>
                <w:szCs w:val="19"/>
                <w:color w:val="auto"/>
              </w:rPr>
            </w:pPr>
          </w:p>
        </w:tc>
        <w:tc>
          <w:tcPr>
            <w:tcW w:w="14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9"/>
              </w:rPr>
              <w:t>First Quarter</w:t>
            </w:r>
          </w:p>
        </w:tc>
      </w:tr>
      <w:tr>
        <w:trPr>
          <w:trHeight w:val="241"/>
        </w:trPr>
        <w:tc>
          <w:tcPr>
            <w:tcW w:w="622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86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0090DA"/>
            </w:tcBorders>
          </w:tcPr>
          <w:p>
            <w:pPr>
              <w:spacing w:after="0"/>
              <w:rPr>
                <w:sz w:val="20"/>
                <w:szCs w:val="20"/>
                <w:color w:val="auto"/>
              </w:rPr>
            </w:pPr>
          </w:p>
        </w:tc>
        <w:tc>
          <w:tcPr>
            <w:tcW w:w="160" w:type="dxa"/>
            <w:vAlign w:val="bottom"/>
            <w:tcBorders>
              <w:bottom w:val="single" w:sz="8" w:color="0090DA"/>
            </w:tcBorders>
          </w:tcPr>
          <w:p>
            <w:pPr>
              <w:spacing w:after="0"/>
              <w:rPr>
                <w:sz w:val="20"/>
                <w:szCs w:val="20"/>
                <w:color w:val="auto"/>
              </w:rPr>
            </w:pPr>
          </w:p>
        </w:tc>
        <w:tc>
          <w:tcPr>
            <w:tcW w:w="90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84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0090DA"/>
            </w:tcBorders>
          </w:tcPr>
          <w:p>
            <w:pPr>
              <w:spacing w:after="0"/>
              <w:rPr>
                <w:sz w:val="20"/>
                <w:szCs w:val="20"/>
                <w:color w:val="auto"/>
              </w:rPr>
            </w:pPr>
          </w:p>
        </w:tc>
      </w:tr>
      <w:tr>
        <w:trPr>
          <w:trHeight w:val="34"/>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9"/>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2,546</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44%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3,020</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50%</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1,979</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38%</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MBU</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1,501</w:t>
            </w:r>
          </w:p>
        </w:tc>
        <w:tc>
          <w:tcPr>
            <w:tcW w:w="18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w w:val="99"/>
              </w:rPr>
              <w:t>26%</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1,462</w:t>
            </w:r>
          </w:p>
        </w:tc>
        <w:tc>
          <w:tcPr>
            <w:tcW w:w="18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w w:val="99"/>
              </w:rPr>
              <w:t>24%</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w w:val="99"/>
              </w:rPr>
              <w:t>28%</w:t>
            </w:r>
          </w:p>
        </w:tc>
      </w:tr>
      <w:tr>
        <w:trPr>
          <w:trHeight w:val="229"/>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911</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16%</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913</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15%</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968</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19%</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EBU</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809</w:t>
            </w:r>
          </w:p>
        </w:tc>
        <w:tc>
          <w:tcPr>
            <w:tcW w:w="18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w w:val="99"/>
              </w:rPr>
              <w:t>14%</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w w:val="99"/>
              </w:rPr>
              <w:t>11%</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w w:val="99"/>
              </w:rPr>
              <w:t>14%</w:t>
            </w:r>
          </w:p>
        </w:tc>
      </w:tr>
      <w:tr>
        <w:trPr>
          <w:trHeight w:val="230"/>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first quarter of 2021 as compared to the fourth quarter of 2020 were as follows:</w:t>
      </w:r>
    </w:p>
    <w:p>
      <w:pPr>
        <w:spacing w:after="0" w:line="252" w:lineRule="exact"/>
        <w:rPr>
          <w:sz w:val="20"/>
          <w:szCs w:val="20"/>
          <w:color w:val="auto"/>
        </w:rPr>
      </w:pPr>
    </w:p>
    <w:p>
      <w:pPr>
        <w:ind w:left="660" w:right="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CNBU revenue decreased 16% primarily due to declines in sales to cloud and enterprise markets and DRAM price declines, partially offset by growth in sales to the graphics and client markets.</w:t>
      </w:r>
    </w:p>
    <w:p>
      <w:pPr>
        <w:ind w:left="660" w:right="2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MBU revenue increased 3% primarily due to increases in bit sales of high-value mobile MCP products driven by demand growth in smartphone markets despite declines in Huawei sales, partially offset by price declines.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SBU revenue was substantially unchanged as strong growth in bit sales driven by consumer markets was offset by price declines.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EBU revenue increased 24% primarily due to bit shipment increases driven by strong demand growth in automotive as demand growth recovered from pandemic related shutdowns and growth in consumer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first quarter of 2021 as compared to the first quarter of 2020 were as follows:</w:t>
      </w:r>
    </w:p>
    <w:p>
      <w:pPr>
        <w:spacing w:after="0" w:line="252" w:lineRule="exact"/>
        <w:rPr>
          <w:sz w:val="20"/>
          <w:szCs w:val="20"/>
          <w:color w:val="auto"/>
        </w:rPr>
      </w:pPr>
    </w:p>
    <w:p>
      <w:pPr>
        <w:ind w:left="660" w:right="12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CNBU revenue increased 29% primarily due to bit sales growth across key markets, particularly in client, graphics, and cloud server markets. In addition, in the second quarter of 2020, we determined that the 3D XPoint technology and product roadmap are more closely aligned with our CNBU strategy than our SBU strategy and 3D XPoint became an integral part of CNBU. Accordingly, we began to report all 3D XPoint activities within CNBU from that date.</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MBU revenue increased 3% primarily due to bit sales growth for high-value mobile MCP products partially offset by price declines.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SBU revenue decreased 6% primarily due to the decline in 3D XPoint revenue in SBU after the first quarter of 2020 as noted above, partially offset by bit sales growth for NAND products driven by consumer markets.</w:t>
      </w:r>
    </w:p>
    <w:p>
      <w:pPr>
        <w:ind w:left="660" w:right="10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EBU revenue increased 10% primarily due to bit sales growth in consumer and automotive markets from transitions to an increasing mix of high-density DRAM and NAND products partially offset by price declines.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9"/>
              </w:rPr>
              <w:t>First Quarter</w:t>
            </w:r>
          </w:p>
        </w:tc>
        <w:tc>
          <w:tcPr>
            <w:tcW w:w="160" w:type="dxa"/>
            <w:vAlign w:val="bottom"/>
          </w:tcPr>
          <w:p>
            <w:pPr>
              <w:spacing w:after="0"/>
              <w:rPr>
                <w:sz w:val="19"/>
                <w:szCs w:val="19"/>
                <w:color w:val="auto"/>
              </w:rPr>
            </w:pPr>
          </w:p>
        </w:tc>
        <w:tc>
          <w:tcPr>
            <w:tcW w:w="15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9"/>
              </w:rPr>
              <w:t>Fourth Quarter</w:t>
            </w:r>
          </w:p>
        </w:tc>
        <w:tc>
          <w:tcPr>
            <w:tcW w:w="220" w:type="dxa"/>
            <w:vAlign w:val="bottom"/>
          </w:tcPr>
          <w:p>
            <w:pPr>
              <w:spacing w:after="0"/>
              <w:rPr>
                <w:sz w:val="19"/>
                <w:szCs w:val="19"/>
                <w:color w:val="auto"/>
              </w:rPr>
            </w:pPr>
          </w:p>
        </w:tc>
        <w:tc>
          <w:tcPr>
            <w:tcW w:w="14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9"/>
              </w:rPr>
              <w:t>First Quarter</w:t>
            </w:r>
          </w:p>
        </w:tc>
      </w:tr>
      <w:tr>
        <w:trPr>
          <w:trHeight w:val="241"/>
        </w:trPr>
        <w:tc>
          <w:tcPr>
            <w:tcW w:w="622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86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0090DA"/>
            </w:tcBorders>
          </w:tcPr>
          <w:p>
            <w:pPr>
              <w:spacing w:after="0"/>
              <w:rPr>
                <w:sz w:val="20"/>
                <w:szCs w:val="20"/>
                <w:color w:val="auto"/>
              </w:rPr>
            </w:pPr>
          </w:p>
        </w:tc>
        <w:tc>
          <w:tcPr>
            <w:tcW w:w="160" w:type="dxa"/>
            <w:vAlign w:val="bottom"/>
            <w:tcBorders>
              <w:bottom w:val="single" w:sz="8" w:color="0090DA"/>
            </w:tcBorders>
          </w:tcPr>
          <w:p>
            <w:pPr>
              <w:spacing w:after="0"/>
              <w:rPr>
                <w:sz w:val="20"/>
                <w:szCs w:val="20"/>
                <w:color w:val="auto"/>
              </w:rPr>
            </w:pPr>
          </w:p>
        </w:tc>
        <w:tc>
          <w:tcPr>
            <w:tcW w:w="90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84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0090DA"/>
            </w:tcBorders>
          </w:tcPr>
          <w:p>
            <w:pPr>
              <w:spacing w:after="0"/>
              <w:rPr>
                <w:sz w:val="20"/>
                <w:szCs w:val="20"/>
                <w:color w:val="auto"/>
              </w:rPr>
            </w:pPr>
          </w:p>
        </w:tc>
      </w:tr>
      <w:tr>
        <w:trPr>
          <w:trHeight w:val="34"/>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9"/>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19%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29%</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20%</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MBU</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w w:val="99"/>
              </w:rPr>
              <w:t>25%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w w:val="99"/>
              </w:rPr>
              <w:t>21%</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w w:val="99"/>
              </w:rPr>
              <w:t>20%</w:t>
            </w:r>
          </w:p>
        </w:tc>
      </w:tr>
      <w:tr>
        <w:trPr>
          <w:trHeight w:val="229"/>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9%</w:t>
            </w:r>
          </w:p>
        </w:tc>
        <w:tc>
          <w:tcPr>
            <w:tcW w:w="220" w:type="dxa"/>
            <w:vAlign w:val="bottom"/>
            <w:shd w:val="clear" w:color="auto" w:fill="D1D2D4"/>
          </w:tcPr>
          <w:p>
            <w:pPr>
              <w:spacing w:after="0"/>
              <w:rPr>
                <w:sz w:val="19"/>
                <w:szCs w:val="19"/>
                <w:color w:val="auto"/>
              </w:rPr>
            </w:pPr>
          </w:p>
        </w:tc>
        <w:tc>
          <w:tcPr>
            <w:tcW w:w="1460" w:type="dxa"/>
            <w:vAlign w:val="bottom"/>
            <w:gridSpan w:val="3"/>
            <w:shd w:val="clear" w:color="auto" w:fill="D1D2D4"/>
          </w:tcPr>
          <w:p>
            <w:pPr>
              <w:jc w:val="right"/>
              <w:ind w:right="150"/>
              <w:spacing w:after="0"/>
              <w:rPr>
                <w:sz w:val="20"/>
                <w:szCs w:val="20"/>
                <w:color w:val="auto"/>
              </w:rPr>
            </w:pPr>
            <w:r>
              <w:rPr>
                <w:rFonts w:ascii="Arial" w:cs="Arial" w:eastAsia="Arial" w:hAnsi="Arial"/>
                <w:sz w:val="18"/>
                <w:szCs w:val="18"/>
                <w:color w:val="auto"/>
              </w:rPr>
              <w:t>(217) (22)%</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EBU</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w w:val="99"/>
              </w:rPr>
              <w:t>14%</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w w:val="99"/>
              </w:rPr>
              <w:t>15%</w:t>
            </w:r>
          </w:p>
        </w:tc>
      </w:tr>
      <w:tr>
        <w:trPr>
          <w:trHeight w:val="230"/>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00" w:type="dxa"/>
            <w:vAlign w:val="bottom"/>
            <w:shd w:val="clear" w:color="auto" w:fill="D1D2D4"/>
          </w:tcPr>
          <w:p>
            <w:pPr>
              <w:spacing w:after="0"/>
              <w:rPr>
                <w:sz w:val="19"/>
                <w:szCs w:val="19"/>
                <w:color w:val="auto"/>
              </w:rPr>
            </w:pPr>
          </w:p>
        </w:tc>
        <w:tc>
          <w:tcPr>
            <w:tcW w:w="860" w:type="dxa"/>
            <w:vAlign w:val="bottom"/>
            <w:gridSpan w:val="2"/>
            <w:shd w:val="clear" w:color="auto" w:fill="D1D2D4"/>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900" w:type="dxa"/>
            <w:vAlign w:val="bottom"/>
            <w:gridSpan w:val="2"/>
            <w:shd w:val="clear" w:color="auto" w:fill="D1D2D4"/>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33%</w:t>
            </w:r>
          </w:p>
        </w:tc>
      </w:tr>
      <w:tr>
        <w:trPr>
          <w:trHeight w:val="223"/>
        </w:trPr>
        <w:tc>
          <w:tcPr>
            <w:tcW w:w="6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50"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Changes in operating income or loss for each business unit for the first quarter of 2021 as compared to the fourth quarter of 2020 were as follows:</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CNBU operating income decreased primarily due to declines in bit shipments and DRAM pricing.</w:t>
      </w:r>
    </w:p>
    <w:p>
      <w:pPr>
        <w:spacing w:after="0" w:line="3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MBU operating income increased primarily due to manufacturing cost reductions partially offset by declines in low-power DRAM and NAND pricing.</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SBU operating income decreased primarily due to declines in NAND selling prices.</w:t>
      </w:r>
    </w:p>
    <w:p>
      <w:pPr>
        <w:spacing w:after="0" w:line="9" w:lineRule="exact"/>
        <w:rPr>
          <w:rFonts w:ascii="Arial" w:cs="Arial" w:eastAsia="Arial" w:hAnsi="Arial"/>
          <w:sz w:val="18"/>
          <w:szCs w:val="18"/>
          <w:color w:val="auto"/>
        </w:rPr>
      </w:pPr>
    </w:p>
    <w:p>
      <w:pPr>
        <w:ind w:left="660" w:right="200" w:hanging="328"/>
        <w:spacing w:after="0" w:line="26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EBU operating income increased primarily due to increases in sales volumes to automotive and consumer markets and lower R&amp;D costs.</w:t>
      </w:r>
    </w:p>
    <w:p>
      <w:pPr>
        <w:spacing w:after="0" w:line="194"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Changes in operating income or loss for each business unit for the first quarter of 2021 as compared to the first quarter of 2020 were as follows:</w:t>
      </w:r>
    </w:p>
    <w:p>
      <w:pPr>
        <w:spacing w:after="0" w:line="171" w:lineRule="exact"/>
        <w:rPr>
          <w:sz w:val="20"/>
          <w:szCs w:val="20"/>
          <w:color w:val="auto"/>
        </w:rPr>
      </w:pPr>
    </w:p>
    <w:p>
      <w:pPr>
        <w:ind w:left="660" w:right="200" w:hanging="328"/>
        <w:spacing w:after="0" w:line="27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CNBU operating income increased primarily due to increases in bit shipments and cost reductions, partially offset by CNBU MTU underutilization costs related to 3D XPoint in the first quarter of 2021 not present in the first quarter of 2020, and higher R&amp;D costs.</w:t>
      </w:r>
    </w:p>
    <w:p>
      <w:pPr>
        <w:spacing w:after="0" w:line="1" w:lineRule="exact"/>
        <w:rPr>
          <w:rFonts w:ascii="Arial" w:cs="Arial" w:eastAsia="Arial" w:hAnsi="Arial"/>
          <w:sz w:val="17"/>
          <w:szCs w:val="17"/>
          <w:color w:val="auto"/>
        </w:rPr>
      </w:pPr>
    </w:p>
    <w:p>
      <w:pPr>
        <w:ind w:left="660" w:right="10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MBU operating income increased primarily due to increases in sales of high-value MCP products and manufacturing cost reductions for low-power DRAM, partially offset by declines in low-power DRAM and NAND pricing.</w:t>
      </w:r>
    </w:p>
    <w:p>
      <w:pPr>
        <w:ind w:left="660" w:right="20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SBU operating margin improved primarily due to SBU 3D XPoint underutilization costs in the first quarter of 2020 not present in the first quarter of 2021, manufacturing cost reductions, and increases in sales volumes.</w:t>
      </w:r>
    </w:p>
    <w:p>
      <w:pPr>
        <w:ind w:left="660" w:right="36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EBU operating income was substantially unchanged as declines in pricing were offset by increases in sales volumes, NAND cost reductions, and lower R&amp;D costs.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20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R&amp;D expenses for the first quarter of 2021 were 3% higher as compared to the fourth quarter of 2020 primarily due to increases in employee compensation, partially offset by the additional week in the fourth quarter of 2020. R&amp;D expenses for the first quarter of 2021 were relatively unchanged as compared to the first quarter of 2020 as increases in employee compensation and depreciation expense resulting from higher capital spending were substantially offset by reductions in volumes of development and pre-qualification wafers.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9" w:name="page30"/>
    <w:bookmarkEnd w:id="29"/>
    <w:p>
      <w:pPr>
        <w:ind w:right="60"/>
        <w:spacing w:after="0" w:line="265"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expenses for the first quarter of 2021 were 7% lower as compared to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primarily due to higher charitable contributions in the fourth quarter of 2020 and the additional week in the fourth quarter of 2020, partially offset by increases in employee compensation. SG&amp;A expenses for the first quarter of 2021 were relatively unchanged as compared to the first quarter of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80" w:type="dxa"/>
            <w:vAlign w:val="bottom"/>
          </w:tcPr>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income tax (provision) benefit consisted of the following:</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3"/>
        </w:trPr>
        <w:tc>
          <w:tcPr>
            <w:tcW w:w="6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First Quarter</w:t>
            </w:r>
          </w:p>
        </w:tc>
        <w:tc>
          <w:tcPr>
            <w:tcW w:w="12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Fourth Quarter</w:t>
            </w:r>
          </w:p>
        </w:tc>
        <w:tc>
          <w:tcPr>
            <w:tcW w:w="18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First Quarter</w:t>
            </w:r>
          </w:p>
        </w:tc>
      </w:tr>
      <w:tr>
        <w:trPr>
          <w:trHeight w:val="241"/>
        </w:trPr>
        <w:tc>
          <w:tcPr>
            <w:tcW w:w="6380" w:type="dxa"/>
            <w:vAlign w:val="bottom"/>
            <w:tcBorders>
              <w:bottom w:val="single" w:sz="8" w:color="0090DA"/>
            </w:tcBorders>
          </w:tcPr>
          <w:p>
            <w:pPr>
              <w:spacing w:after="0"/>
              <w:rPr>
                <w:sz w:val="20"/>
                <w:szCs w:val="20"/>
                <w:color w:val="auto"/>
              </w:rPr>
            </w:pPr>
          </w:p>
        </w:tc>
        <w:tc>
          <w:tcPr>
            <w:tcW w:w="420" w:type="dxa"/>
            <w:vAlign w:val="bottom"/>
            <w:tcBorders>
              <w:bottom w:val="single" w:sz="8" w:color="0090DA"/>
            </w:tcBorders>
          </w:tcPr>
          <w:p>
            <w:pPr>
              <w:spacing w:after="0"/>
              <w:rPr>
                <w:sz w:val="20"/>
                <w:szCs w:val="20"/>
                <w:color w:val="auto"/>
              </w:rPr>
            </w:pPr>
          </w:p>
        </w:tc>
        <w:tc>
          <w:tcPr>
            <w:tcW w:w="136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0090DA"/>
            </w:tcBorders>
          </w:tcPr>
          <w:p>
            <w:pPr>
              <w:spacing w:after="0"/>
              <w:rPr>
                <w:sz w:val="20"/>
                <w:szCs w:val="20"/>
                <w:color w:val="auto"/>
              </w:rPr>
            </w:pPr>
          </w:p>
        </w:tc>
        <w:tc>
          <w:tcPr>
            <w:tcW w:w="142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0"/>
                <w:szCs w:val="20"/>
                <w:color w:val="auto"/>
              </w:rPr>
            </w:pPr>
          </w:p>
        </w:tc>
        <w:tc>
          <w:tcPr>
            <w:tcW w:w="136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34"/>
        </w:trPr>
        <w:tc>
          <w:tcPr>
            <w:tcW w:w="6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6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1,125</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561</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42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(55)</w:t>
            </w:r>
          </w:p>
        </w:tc>
      </w:tr>
      <w:tr>
        <w:trPr>
          <w:trHeight w:val="229"/>
        </w:trPr>
        <w:tc>
          <w:tcPr>
            <w:tcW w:w="6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4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D1D2D4"/>
          </w:tcPr>
          <w:p>
            <w:pPr>
              <w:spacing w:after="0"/>
              <w:rPr>
                <w:sz w:val="19"/>
                <w:szCs w:val="19"/>
                <w:color w:val="auto"/>
              </w:rPr>
            </w:pP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12.1 %</w:t>
            </w:r>
          </w:p>
        </w:tc>
        <w:tc>
          <w:tcPr>
            <w:tcW w:w="18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9.8 %</w:t>
            </w:r>
          </w:p>
        </w:tc>
      </w:tr>
    </w:tbl>
    <w:p>
      <w:pPr>
        <w:spacing w:after="0" w:line="328"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Our effective tax rate for the first quarter of 2021 decreased as compared to the fourth and first quarters of 2020 primarily as a result of the geographic mix of our earnings.</w:t>
      </w:r>
    </w:p>
    <w:p>
      <w:pPr>
        <w:spacing w:after="0" w:line="17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$56 million (benefiting our diluted earnings per share by $0.05) for the first quarter of 2021, by $137 million ($0.12 per diluted share) for the fourth quarter of 2020, and were not significant to our tax provision for the first quarter of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Income Taxes.”</w:t>
      </w:r>
    </w:p>
    <w:p>
      <w:pPr>
        <w:spacing w:after="0" w:line="250"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and interest income for the first quarter of 2021 were relatively unchanged as compared to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w:t>
      </w:r>
    </w:p>
    <w:p>
      <w:pPr>
        <w:spacing w:after="0" w:line="170"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Interest expense for the first quarter of 2021 was relatively unchanged as compared to the first quarter of 2020. Interest income for the first quarter of 2021 decreased 77% as compared to the first quarter of 2020 as a result of decreases in interest rates.</w:t>
      </w:r>
    </w:p>
    <w:p>
      <w:pPr>
        <w:spacing w:after="0" w:line="171"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Further discussion of other operating and non-operating income and expenses can be found in “Item 1. Financial Statements – Notes to Consolidated Financial Statements – Equity Plans,” and “– Other Non-Operating Income (Expense), Net.”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Liquidity and Capital Resources</w:t>
      </w:r>
    </w:p>
    <w:p>
      <w:pPr>
        <w:spacing w:after="0" w:line="24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As of December 3, 2020, $2.50 billion was available to draw under our Revolving Credit Facility. We expect that our cash and investments, cash flows from operations, and available financing will be sufficient to meet our requirements at least through the next 12 months.</w:t>
      </w:r>
    </w:p>
    <w:p>
      <w:pPr>
        <w:spacing w:after="0" w:line="20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2021 for property, plant, and equipment, net of partner contributions, to be approximately $9 billion, focused on technology transitions and product enablement, and expect the timing of our capital expenditures to be more heavily weighted toward the first half of 2021. Actual amounts for 2021 will vary depending on market conditions. As of December 3, 2020, we had purchase obligations of approximately $2.6 billion for the acquisition of property, plant, and equipment, of which approximately $2.4 billion is expected to be paid within one year.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0" w:name="page31"/>
    <w:bookmarkEnd w:id="30"/>
    <w:p>
      <w:pPr>
        <w:ind w:right="20"/>
        <w:spacing w:after="0" w:line="260"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a Rule 10b5-1 trading plan. The repurchase authorization has no expiration date, does not obligate us to acquire any common stock, and is subject to market conditions and our ongoing determination of the best use of available cash. Through December 3, 2020, we had repurchased an aggregate of $2.84 billion of the authorized amount.</w:t>
      </w:r>
    </w:p>
    <w:p>
      <w:pPr>
        <w:spacing w:after="0" w:line="20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Cash and marketable investments totaled $8.30 billion as of December 3, 2020 and $9.19 billion as of September 3, 2020. Our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December 3, 2020, $2.41 billion of our cash and marketable investments was held by our foreign subsidiaries.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3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3"/>
        </w:trPr>
        <w:tc>
          <w:tcPr>
            <w:tcW w:w="8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First Quarter</w:t>
            </w:r>
          </w:p>
        </w:tc>
      </w:tr>
      <w:tr>
        <w:trPr>
          <w:trHeight w:val="241"/>
        </w:trPr>
        <w:tc>
          <w:tcPr>
            <w:tcW w:w="8360" w:type="dxa"/>
            <w:vAlign w:val="bottom"/>
            <w:tcBorders>
              <w:bottom w:val="single" w:sz="8" w:color="0090DA"/>
            </w:tcBorders>
          </w:tcPr>
          <w:p>
            <w:pPr>
              <w:spacing w:after="0"/>
              <w:rPr>
                <w:sz w:val="20"/>
                <w:szCs w:val="20"/>
                <w:color w:val="auto"/>
              </w:rPr>
            </w:pP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1,967</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2,011</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(3,418)</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(992)</w:t>
            </w: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(1,638)</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right="400"/>
        <w:spacing w:after="0" w:line="294" w:lineRule="auto"/>
        <w:rPr>
          <w:sz w:val="20"/>
          <w:szCs w:val="20"/>
          <w:color w:val="auto"/>
        </w:rPr>
      </w:pPr>
      <w:r>
        <w:rPr>
          <w:rFonts w:ascii="Arial" w:cs="Arial" w:eastAsia="Arial" w:hAnsi="Arial"/>
          <w:sz w:val="17"/>
          <w:szCs w:val="17"/>
          <w:i w:val="1"/>
          <w:iCs w:val="1"/>
          <w:u w:val="single" w:color="auto"/>
          <w:color w:val="auto"/>
        </w:rPr>
        <w:t>Operating Activities</w:t>
      </w:r>
      <w:r>
        <w:rPr>
          <w:rFonts w:ascii="Arial" w:cs="Arial" w:eastAsia="Arial" w:hAnsi="Arial"/>
          <w:sz w:val="17"/>
          <w:szCs w:val="17"/>
          <w:color w:val="auto"/>
        </w:rPr>
        <w:t>: Cash provided by operating activities reflects net income adjusted for certain non-cash items, including depreciation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amortization of intangible assets, and stock-based compensation, and the effects of changes in operating assets and liabilities. Cash provided by operating activities for the first quarter of 2021 was relatively unchanged as compared to the first quarter of 2020.</w:t>
      </w:r>
    </w:p>
    <w:p>
      <w:pPr>
        <w:spacing w:after="0" w:line="17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color w:val="auto"/>
        </w:rPr>
        <w:t>: For the first quarter of 2021, net cash used for investing activities consisted primarily of $2.69 billion of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plant, and equipment (net of partner contributions) and $741 million of net outflows from purchases, sales, and maturities of available-for-sale securities.</w:t>
      </w:r>
    </w:p>
    <w:p>
      <w:pPr>
        <w:spacing w:after="0" w:line="190"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For the first quarter of 2020, net cash used for investing activities consisted primarily of $1.93 billion of expenditures for property, plant, and equipment (net of partner contributions) partially offset by $744 million of net inflows from sales, maturities, and purchases of available-for-sale securities.</w:t>
      </w:r>
    </w:p>
    <w:p>
      <w:pPr>
        <w:spacing w:after="0" w:line="190"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color w:val="auto"/>
        </w:rPr>
        <w:t>: For the first quarter of 2021, net cash used for financing activities consisted primarily of $97 million for payments on</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purchase contracts and $84 million for repayments of debt.</w:t>
      </w:r>
    </w:p>
    <w:p>
      <w:pPr>
        <w:spacing w:after="0" w:line="17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For the first quarter of 2020, net cash used for financing activities consisted primarily of $1.42 billion of cash payments to reduce our debt, including $621 million for IMFT Member Debt repayments, $534 million to prepay the 2025 Notes, $196 million to settle conversions of notes, and $64 million for scheduled repayment of finance leases; $744 million for the acquisition of noncontrolling interest in IMFT; and $50 million for the acquisition of 1 million shares of treasury stock under our $10 billion share repurchase authorization. Cash used for financing activities was partially offset by net proceeds of $1.25 billion from borrowing the 2024 Term Loan 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Debt.”</w:t>
      </w:r>
    </w:p>
    <w:p>
      <w:pPr>
        <w:spacing w:after="0" w:line="250"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Potential Settlement Obligations of Convertible Notes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“Item 1. Financial Statements – Notes to Consolidated Financial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Debt – 2032D Convertible Senior Notes.”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“Item 1. Financial Statements – Notes to Consolidated Financial Statements – Leases” and –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0090DA"/>
        </w:rPr>
        <w:t>Recently Adopted Accounting Standards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Recently Adopted Accounting Standards.”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Issued Accounting Standards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Recently Issued Accounting Standards.”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6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are affected by changes in currency exchange and interest rates. For further discussion about market risk and sensitivity analysis related to changes in currency exchange rates, see “Part II – Item 7A. Quantitative and Qualitative Disclosures About Market Risk” in our Annual Report on Form 10-K for the year ended September 3, 2020.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 regarding disclosure.</w:t>
      </w:r>
    </w:p>
    <w:p>
      <w:pPr>
        <w:spacing w:after="0" w:line="205"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During the first quarter of 2021,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2020 and “Part I. Financial Information – Item 1. Financial Statements – Notes to Consolidated Financial Statements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Contingencies” and “Item 1A. Risk Factors” herein.</w:t>
      </w:r>
    </w:p>
    <w:p>
      <w:pPr>
        <w:spacing w:after="0" w:line="230"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6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ind w:right="560"/>
        <w:spacing w:after="0" w:line="292" w:lineRule="auto"/>
        <w:rPr>
          <w:sz w:val="20"/>
          <w:szCs w:val="20"/>
          <w:color w:val="auto"/>
        </w:rPr>
      </w:pPr>
      <w:r>
        <w:rPr>
          <w:rFonts w:ascii="Arial" w:cs="Arial" w:eastAsia="Arial" w:hAnsi="Arial"/>
          <w:sz w:val="18"/>
          <w:szCs w:val="18"/>
          <w:color w:val="auto"/>
        </w:rPr>
        <w:t>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15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3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the COVID-19 outbreak;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or improve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produce new memory and storage technologies, products, and markets;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dependency on specific customers, concentration of revenue with a select number of customers, and customers who are located internationally;</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availability and quality of materials, supplies, and capital equipment, and dependency on third-party service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incompatible with end uses;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to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breaches of our security systems or those of our customers, suppliers, or business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achieving or maintaining certain performance obligations associated with incentives from various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acquisitions and/or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restructure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responsible sourcing requirements and related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downturn in the world-wide economy.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3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proceedings and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allegations of anticompetitive conduct;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our former IMFT joint venture with Intel;</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alleged patent infringement complaints in Chinese courts.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3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regulations, or industry standards.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3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amount and timing of our common stock repurchases and resulting impacts.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 w:name="page34"/>
    <w:bookmarkEnd w:id="33"/>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effects of the COVID-19 outbreak could adversely affect our business, results of operations, and financial condition.</w:t>
      </w:r>
    </w:p>
    <w:p>
      <w:pPr>
        <w:spacing w:after="0" w:line="254"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The effects of the public health crisis caused by the COVID-19 outbreak and the measures being taken to limit COVID-19’s spread are uncertain and difficult to predict, but may include, and in some cases, have included and may continue to include:</w:t>
      </w:r>
    </w:p>
    <w:p>
      <w:pPr>
        <w:spacing w:after="0" w:line="171" w:lineRule="exact"/>
        <w:rPr>
          <w:sz w:val="20"/>
          <w:szCs w:val="20"/>
          <w:color w:val="auto"/>
        </w:rPr>
      </w:pPr>
    </w:p>
    <w:p>
      <w:pPr>
        <w:ind w:left="660" w:right="22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short-term and/or long-term demand and/or pricing for our products and a global economic recession or depression that could further reduce demand and/or pricing for our products, resulting from actions taken by governments, businesses, and/or the general public in an effort to limit exposure to and the spreading of COVID-19, such as travel restrictions, quarantines, and business shutdowns or slowdowns;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impacts to our operations, including:</w:t>
      </w:r>
    </w:p>
    <w:p>
      <w:pPr>
        <w:spacing w:after="0" w:line="9" w:lineRule="exact"/>
        <w:rPr>
          <w:rFonts w:ascii="Arial" w:cs="Arial" w:eastAsia="Arial" w:hAnsi="Arial"/>
          <w:sz w:val="18"/>
          <w:szCs w:val="18"/>
          <w:color w:val="auto"/>
        </w:rPr>
      </w:pPr>
    </w:p>
    <w:p>
      <w:pPr>
        <w:ind w:left="1300" w:hanging="320"/>
        <w:spacing w:after="0" w:line="250"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reductions in production levels, R&amp;D activities, product development, technology transitions, yield enhancement activities, and qualification activities with our customers, resulting from our efforts to mitigate the impact of COVID-19 through physical-distancing measures we have enacted at our locations around the world in an effort to protect our employees’ and contractors’ health and well-being, including working from home, limiting the number of meeting attendees, reducing the number of people in certain of our sites at any one time, quarantines of team members, contractors, or vendors who are at risk of contracting, or have contracted, COVID-19, and limiting employee travel;</w:t>
      </w:r>
    </w:p>
    <w:p>
      <w:pPr>
        <w:spacing w:after="0" w:line="2" w:lineRule="exact"/>
        <w:rPr>
          <w:rFonts w:ascii="Arial" w:cs="Arial" w:eastAsia="Arial" w:hAnsi="Arial"/>
          <w:sz w:val="18"/>
          <w:szCs w:val="18"/>
          <w:color w:val="auto"/>
        </w:rPr>
      </w:pPr>
    </w:p>
    <w:p>
      <w:pPr>
        <w:ind w:left="1300" w:right="60" w:hanging="320"/>
        <w:spacing w:after="0" w:line="250"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increased costs resulting from our efforts to mitigate the impact of COVID-19 through physical distancing measures, working from home, upgrades to our sites, COVID-19 testing, enhanced cleaning measures, and the increased use of personal protective equipment at our sites;</w:t>
      </w:r>
    </w:p>
    <w:p>
      <w:pPr>
        <w:spacing w:after="0" w:line="1" w:lineRule="exact"/>
        <w:rPr>
          <w:rFonts w:ascii="Arial" w:cs="Arial" w:eastAsia="Arial" w:hAnsi="Arial"/>
          <w:sz w:val="18"/>
          <w:szCs w:val="18"/>
          <w:color w:val="auto"/>
        </w:rPr>
      </w:pPr>
    </w:p>
    <w:p>
      <w:pPr>
        <w:ind w:left="1300" w:right="520" w:hanging="320"/>
        <w:spacing w:after="0" w:line="250"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increased costs for, or unavailability of, transportation, raw materials, or other inputs necessary for the operation of our business;</w:t>
      </w:r>
    </w:p>
    <w:p>
      <w:pPr>
        <w:ind w:left="1300" w:right="340" w:hanging="320"/>
        <w:spacing w:after="0" w:line="250"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reductions in, or cessation of. operations at any site or in any jurisdiction resulting from government restrictions on movement and/or business operations or our failure to prevent and/or adequately mitigate spread of COVID-19 at one or more of our sites;</w:t>
      </w:r>
    </w:p>
    <w:p>
      <w:pPr>
        <w:spacing w:after="0" w:line="1" w:lineRule="exact"/>
        <w:rPr>
          <w:rFonts w:ascii="Arial" w:cs="Arial" w:eastAsia="Arial" w:hAnsi="Arial"/>
          <w:sz w:val="18"/>
          <w:szCs w:val="18"/>
          <w:color w:val="auto"/>
        </w:rPr>
      </w:pPr>
    </w:p>
    <w:p>
      <w:pPr>
        <w:ind w:left="1300" w:right="180" w:hanging="320"/>
        <w:spacing w:after="0" w:line="250"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inability to continue or resume construction projects due to delays in obtaining materials, equipment, labor, engineering services, government permits, or any other essential aspect of projects, which could impact our ability to introduce new technologies, reduce costs, or meet customer demand;</w:t>
      </w:r>
    </w:p>
    <w:p>
      <w:pPr>
        <w:spacing w:after="0" w:line="1" w:lineRule="exact"/>
        <w:rPr>
          <w:rFonts w:ascii="Arial" w:cs="Arial" w:eastAsia="Arial" w:hAnsi="Arial"/>
          <w:sz w:val="18"/>
          <w:szCs w:val="18"/>
          <w:color w:val="auto"/>
        </w:rPr>
      </w:pPr>
    </w:p>
    <w:p>
      <w:pPr>
        <w:ind w:left="1300" w:right="220" w:hanging="320"/>
        <w:spacing w:after="0" w:line="250"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disruptions to our supply chain in connection with the sourcing and transportation of materials, equipment and engineering support, and services from or in geographic areas that have been impacted by COVID-19 and by efforts to contain the spread of COVID-19; and</w:t>
      </w:r>
    </w:p>
    <w:p>
      <w:pPr>
        <w:spacing w:after="0" w:line="1" w:lineRule="exact"/>
        <w:rPr>
          <w:rFonts w:ascii="Arial" w:cs="Arial" w:eastAsia="Arial" w:hAnsi="Arial"/>
          <w:sz w:val="18"/>
          <w:szCs w:val="18"/>
          <w:color w:val="auto"/>
        </w:rPr>
      </w:pPr>
    </w:p>
    <w:p>
      <w:pPr>
        <w:ind w:left="660" w:right="18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 result in losses on our holdings of cash and investments due to failures of financial institutions and other parties; or result in a higher rate of losses on our accounts receivables due to credit defaults.</w:t>
      </w:r>
    </w:p>
    <w:p>
      <w:pPr>
        <w:spacing w:after="0" w:line="20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certain COVID-19 vaccines have recently been approved and have become available for use in the United States and certain other countries, we are unable to predict when those vaccines will become widely available, how widely utilized the vaccines will be, whether they will be effective in preventing the spread of COVID-19, and when or if normal economic activity and business operations will resume.</w:t>
      </w:r>
    </w:p>
    <w:p>
      <w:pPr>
        <w:spacing w:after="0" w:line="191"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legal exposure, or financial condition. A sustained, prolonged, or recurring outbreak could exacerbate the adverse impact of such measures.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5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bookmarkStart w:id="34" w:name="page35"/>
    <w:bookmarkEnd w:id="34"/>
    <w:p>
      <w:pPr>
        <w:ind w:right="340"/>
        <w:spacing w:after="0" w:line="272" w:lineRule="auto"/>
        <w:rPr>
          <w:sz w:val="20"/>
          <w:szCs w:val="20"/>
          <w:color w:val="auto"/>
        </w:rPr>
      </w:pPr>
      <w:r>
        <w:rPr>
          <w:rFonts w:ascii="Arial" w:cs="Arial" w:eastAsia="Arial" w:hAnsi="Arial"/>
          <w:sz w:val="18"/>
          <w:szCs w:val="18"/>
          <w:color w:val="auto"/>
        </w:rPr>
        <w:t>the future. Average selling prices for our products that decline faster than our costs could have a material adverse effect on our business, results of operations, or financial condition.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00" w:type="dxa"/>
            <w:vAlign w:val="bottom"/>
          </w:tcPr>
          <w:p>
            <w:pPr>
              <w:spacing w:after="0"/>
              <w:rPr>
                <w:sz w:val="20"/>
                <w:szCs w:val="20"/>
                <w:color w:val="auto"/>
              </w:rPr>
            </w:pPr>
          </w:p>
        </w:tc>
        <w:tc>
          <w:tcPr>
            <w:tcW w:w="1420" w:type="dxa"/>
            <w:vAlign w:val="bottom"/>
            <w:tcBorders>
              <w:bottom w:val="single" w:sz="8" w:color="0090DA"/>
            </w:tcBorders>
          </w:tcPr>
          <w:p>
            <w:pPr>
              <w:ind w:left="760"/>
              <w:spacing w:after="0"/>
              <w:rPr>
                <w:sz w:val="20"/>
                <w:szCs w:val="20"/>
                <w:color w:val="auto"/>
              </w:rPr>
            </w:pPr>
            <w:r>
              <w:rPr>
                <w:rFonts w:ascii="Arial" w:cs="Arial" w:eastAsia="Arial" w:hAnsi="Arial"/>
                <w:sz w:val="18"/>
                <w:szCs w:val="18"/>
                <w:b w:val="1"/>
                <w:bCs w:val="1"/>
                <w:color w:val="auto"/>
              </w:rPr>
              <w:t>DRAM</w:t>
            </w:r>
          </w:p>
        </w:tc>
        <w:tc>
          <w:tcPr>
            <w:tcW w:w="1020" w:type="dxa"/>
            <w:vAlign w:val="bottom"/>
            <w:tcBorders>
              <w:bottom w:val="single" w:sz="8" w:color="0090DA"/>
            </w:tcBorders>
          </w:tcPr>
          <w:p>
            <w:pPr>
              <w:spacing w:after="0"/>
              <w:rPr>
                <w:sz w:val="20"/>
                <w:szCs w:val="20"/>
                <w:color w:val="auto"/>
              </w:rPr>
            </w:pPr>
          </w:p>
        </w:tc>
        <w:tc>
          <w:tcPr>
            <w:tcW w:w="1700" w:type="dxa"/>
            <w:vAlign w:val="bottom"/>
            <w:tcBorders>
              <w:bottom w:val="single" w:sz="8" w:color="0090DA"/>
            </w:tcBorders>
          </w:tcPr>
          <w:p>
            <w:pPr>
              <w:jc w:val="right"/>
              <w:ind w:right="690"/>
              <w:spacing w:after="0"/>
              <w:rPr>
                <w:sz w:val="20"/>
                <w:szCs w:val="20"/>
                <w:color w:val="auto"/>
              </w:rPr>
            </w:pPr>
            <w:r>
              <w:rPr>
                <w:rFonts w:ascii="Arial" w:cs="Arial" w:eastAsia="Arial" w:hAnsi="Arial"/>
                <w:sz w:val="18"/>
                <w:szCs w:val="18"/>
                <w:b w:val="1"/>
                <w:bCs w:val="1"/>
                <w:color w:val="auto"/>
              </w:rPr>
              <w:t>NAND</w:t>
            </w:r>
          </w:p>
        </w:tc>
      </w:tr>
      <w:tr>
        <w:trPr>
          <w:trHeight w:val="223"/>
        </w:trPr>
        <w:tc>
          <w:tcPr>
            <w:tcW w:w="7100" w:type="dxa"/>
            <w:vAlign w:val="bottom"/>
            <w:tcBorders>
              <w:bottom w:val="single" w:sz="8" w:color="0090DA"/>
            </w:tcBorders>
          </w:tcPr>
          <w:p>
            <w:pPr>
              <w:spacing w:after="0"/>
              <w:rPr>
                <w:sz w:val="19"/>
                <w:szCs w:val="19"/>
                <w:color w:val="auto"/>
              </w:rPr>
            </w:pPr>
          </w:p>
        </w:tc>
        <w:tc>
          <w:tcPr>
            <w:tcW w:w="4140" w:type="dxa"/>
            <w:vAlign w:val="bottom"/>
            <w:tcBorders>
              <w:bottom w:val="single" w:sz="8" w:color="0090DA"/>
            </w:tcBorders>
            <w:gridSpan w:val="3"/>
          </w:tcPr>
          <w:p>
            <w:pPr>
              <w:jc w:val="right"/>
              <w:ind w:right="170"/>
              <w:spacing w:after="0"/>
              <w:rPr>
                <w:sz w:val="20"/>
                <w:szCs w:val="20"/>
                <w:color w:val="auto"/>
              </w:rPr>
            </w:pPr>
            <w:r>
              <w:rPr>
                <w:rFonts w:ascii="Arial" w:cs="Arial" w:eastAsia="Arial" w:hAnsi="Arial"/>
                <w:sz w:val="18"/>
                <w:szCs w:val="18"/>
                <w:color w:val="auto"/>
              </w:rPr>
              <w:t>(percentage change in average selling prices)</w:t>
            </w:r>
          </w:p>
        </w:tc>
      </w:tr>
      <w:tr>
        <w:trPr>
          <w:trHeight w:val="34"/>
        </w:trPr>
        <w:tc>
          <w:tcPr>
            <w:tcW w:w="7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2020 from 2019</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(34)%</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2019 from 2018</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(30)%</w:t>
            </w:r>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2018 from 2017</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36 %</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2017 from 2016</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18 %</w:t>
            </w:r>
          </w:p>
        </w:tc>
        <w:tc>
          <w:tcPr>
            <w:tcW w:w="1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2016 from 2015</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(34)%</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maintain or reduce costs include, but are not limited to, strategic product diversification decisions affecting product mix, the increasing complexity of manufacturing processes, difficulties in transitioning to smaller line-width process technologies, 3D memory layers, NAND cell levels, process complexity including number of mask layers and fabrication steps, manufacturing yield, technological barriers, changes in process technologies, and new products that may require relatively larger die sizes.</w:t>
      </w:r>
    </w:p>
    <w:p>
      <w:pPr>
        <w:spacing w:after="0" w:line="20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our ramp of emerging technologies, declining selling prices, and changes in supply agreements. A significant portion of our manufacturing costs are fixed and do not vary proportionally with changes in production output. As a result, lower utilization and corresponding increases in our per gigabit manufacturing costs may adversely affect our gross margins, business, results of operations, or financial condition.</w:t>
      </w:r>
    </w:p>
    <w:p>
      <w:pPr>
        <w:spacing w:after="0" w:line="19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per gigabit manufacturing costs may also be affected by a broader product portfolio, which may have smaller production quantities and shorter product lifecycles. Our business and the markets we serve are subject to rapid technological changes and material fluctuations in demand based on end-user preferences. As a result, we may have work in process or finished goods inventories that could become obsolete or in amounts that are in excess of our customers’ demand. Consequently, we may incur charges in connection with obsolete or excess inventories, which could have a material adverse effect on our business, results of operations, or financial condition. In addition, due to the customized nature of certain of the products we manufacture, we may be unable to sell certain finished goods inventories to alternative customers or manufacture in-process inventory to different specifications, which may result in excess and obsolescence charges in future periods. Our inability to maintain or improve gross margins could have a material adverse effect on our business, results of operations, or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5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Samsung Electronics Co., Ltd.; SK Hynix Inc.; Kioxia Holdings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use aggressive pricing to obtain market share or take business of our key customers.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ind w:right="80"/>
        <w:spacing w:after="0" w:line="255" w:lineRule="auto"/>
        <w:rPr>
          <w:sz w:val="20"/>
          <w:szCs w:val="20"/>
          <w:color w:val="auto"/>
        </w:rPr>
      </w:pPr>
      <w:r>
        <w:rPr>
          <w:rFonts w:ascii="Arial" w:cs="Arial" w:eastAsia="Arial" w:hAnsi="Arial"/>
          <w:sz w:val="18"/>
          <w:szCs w:val="18"/>
          <w:color w:val="auto"/>
        </w:rPr>
        <w:t>Our competitors generally seek to increase wafer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further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Our future success depends on our ability to develop and produce competitive new memory and storage technologies.</w:t>
      </w:r>
    </w:p>
    <w:p>
      <w:pPr>
        <w:spacing w:after="0" w:line="2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We have invested and expect to continue to invest in R&amp;D for new and existing products, which involves significant risk and uncertainties.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20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30"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We develop and produce advanced memory technologies, including 3D XPoint memory, a new class of non-volatile technology. There is no assurance that our efforts to develop and market new product technologies will be successful. Unsuccessful efforts to develop new memory and storage technologies could have a material adverse effect on our business,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5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In addition, any consolidation of our customers could reduce the number of customers to whom our products may be sold. Our inability to meet our customers’ requirements or to qualify our products with them could adversely impact our revenue. Meaningful change in the inventory strategy of our customers, particularly those in China, could impact our industry bit demand growth outlook. The loss of, or restrictions on our ability to sell to, one or more of our major customers, such as those relating to Huawei described herein, or any significant reduction in orders from, or a shift in product mix by, customers could have a material adverse effect on our business, results of operations, or financial condition.</w:t>
      </w:r>
    </w:p>
    <w:p>
      <w:pPr>
        <w:spacing w:after="0" w:line="205"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b w:val="1"/>
          <w:bCs w:val="1"/>
          <w:color w:val="0090DA"/>
        </w:rPr>
        <w:t>We face risks associated with our international sales and operations that could materially adversely affect our business, results of operations, or financial condition.</w:t>
      </w:r>
    </w:p>
    <w:p>
      <w:pPr>
        <w:spacing w:after="0" w:line="15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In 2020, 52% of our revenue was from sales to customers who have headquarters located outside the United States. We ship our products to the locations specified by our customers. Customers with global supply chains and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36" w:name="page37"/>
    <w:bookmarkEnd w:id="36"/>
    <w:p>
      <w:pPr>
        <w:ind w:right="120"/>
        <w:spacing w:after="0" w:line="271" w:lineRule="auto"/>
        <w:rPr>
          <w:sz w:val="20"/>
          <w:szCs w:val="20"/>
          <w:color w:val="auto"/>
        </w:rPr>
      </w:pPr>
      <w:r>
        <w:rPr>
          <w:rFonts w:ascii="Arial" w:cs="Arial" w:eastAsia="Arial" w:hAnsi="Arial"/>
          <w:sz w:val="18"/>
          <w:szCs w:val="18"/>
          <w:color w:val="auto"/>
        </w:rPr>
        <w:t>operations may request we deliver products to countries where they own or operate production facilities or to countries where they utilize third-party subcontractors or warehouses. As a result, 88% of our revenue in 2020 was from products shipped to customer locations outside the United States.</w:t>
      </w:r>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substantial portion of our operations are conducted in Taiwan, Singapore, Japan, China, Malaysia, and India, and many of our customers, suppliers, and vendors also operate internationally. Our operations, and the global supply chain of the technology industry, are subject to a number of risks, including the effects of actions and policies of various governments across our global operations and supply chain. For example, political, economic, or other actions from China could impact Taiwan and its economy, and may adversely affect our operations in Taiwan, our customers, and the technology industry supply chain. In addition, the U.S. government has in the past restricted American firms from selling products and software to certain of our customers and may in the future impose similar bans or other restrictions on sales to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while complying with such restrictions.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sales and operations are subject to a variety of risks, including:</w:t>
      </w:r>
    </w:p>
    <w:p>
      <w:pPr>
        <w:spacing w:after="0" w:line="252" w:lineRule="exact"/>
        <w:rPr>
          <w:sz w:val="20"/>
          <w:szCs w:val="20"/>
          <w:color w:val="auto"/>
        </w:rPr>
      </w:pPr>
    </w:p>
    <w:p>
      <w:pPr>
        <w:ind w:left="660" w:right="50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 health issues (for example, an outbreak of a contagious disease such as COVID-19, Severe Acute Respiratory Syndrome (“SARS-CoV”), avian and swine influenza, measles, or Ebola);</w:t>
      </w:r>
    </w:p>
    <w:p>
      <w:pPr>
        <w:ind w:left="660" w:right="2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and economic instability, including the effects of disputes between China and Taiwan;</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including delays in shipping and obtaining products, cancellation of orders, or loss or damage of products;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30"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If we or our customers, suppliers, or vendors are impacted by these risks, it could have a material adverse effect on our business, results of operations, or financial condition.</w:t>
      </w:r>
    </w:p>
    <w:p>
      <w:pPr>
        <w:spacing w:after="0" w:line="169" w:lineRule="exact"/>
        <w:rPr>
          <w:sz w:val="20"/>
          <w:szCs w:val="20"/>
          <w:color w:val="auto"/>
        </w:rPr>
      </w:pPr>
    </w:p>
    <w:p>
      <w:pPr>
        <w:ind w:right="480"/>
        <w:spacing w:after="0" w:line="303" w:lineRule="auto"/>
        <w:rPr>
          <w:sz w:val="20"/>
          <w:szCs w:val="20"/>
          <w:color w:val="auto"/>
        </w:rPr>
      </w:pPr>
      <w:r>
        <w:rPr>
          <w:rFonts w:ascii="Arial" w:cs="Arial" w:eastAsia="Arial" w:hAnsi="Arial"/>
          <w:sz w:val="18"/>
          <w:szCs w:val="18"/>
          <w:b w:val="1"/>
          <w:bCs w:val="1"/>
          <w:color w:val="0090DA"/>
        </w:rPr>
        <w:t>Our business, results of operations, or financial condition could be adversely affected by the limited availability and quality of materials, supplies, and capital equipment, or the dependency on third-party service providers.</w:t>
      </w:r>
    </w:p>
    <w:p>
      <w:pPr>
        <w:spacing w:after="0" w:line="15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and services that meet our standards and, in some cases, materials, components, or services are provided by a single supplier. Various factors could reduce the availability of materials or components such as chemicals, silicon wafers, gases, photoresist, controllers, substrates, lead frames, printed circuit boards, targets, and reticle glass blanks. Shortages or increases in lead times have occurred in the past and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 Although we have certain long-term contracts with some of our third-party service providers, most of these contracts do not provide for long-term capacity commitments. To the extent we do not have firm commitments from our third-party service providers over a specific</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ind w:right="380"/>
        <w:spacing w:after="0" w:line="276" w:lineRule="auto"/>
        <w:rPr>
          <w:sz w:val="20"/>
          <w:szCs w:val="20"/>
          <w:color w:val="auto"/>
        </w:rPr>
      </w:pPr>
      <w:r>
        <w:rPr>
          <w:rFonts w:ascii="Arial" w:cs="Arial" w:eastAsia="Arial" w:hAnsi="Arial"/>
          <w:sz w:val="18"/>
          <w:szCs w:val="18"/>
          <w:color w:val="auto"/>
        </w:rPr>
        <w:t>time period or for any specific quantity, our service providers may allocate capacity to their other customers. Accordingly, capacity for our products may not be available when we need it or at reasonable prices.</w:t>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available primarily from China. Trade disputes or other political conditions, economic conditions, or public health issues, such as COVID-19,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0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Lead times for the supply of materials have been extended in the past. Our ability to procure components to repair equipment essential for our manufacturing processes could also be negatively impacted by various restrictions or disruptions in supply chains, among other items. The disruption of our supply of materials, components, services, or the extension of our lead times could have a material adverse effect on our business, results of operations, or financial condition.</w:t>
      </w:r>
    </w:p>
    <w:p>
      <w:pPr>
        <w:spacing w:after="0" w:line="20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New product and market development may be unsuccessful.</w:t>
      </w:r>
    </w:p>
    <w:p>
      <w:pPr>
        <w:spacing w:after="0" w:line="25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w:t>
      </w:r>
    </w:p>
    <w:p>
      <w:pPr>
        <w:spacing w:after="0" w:line="2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For certain of our markets, 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and performance, often well in advance of a planned ramp of production, in order to secure design wins with our customers. The effects of the public health crisis caused by the COVID-19 outbreak and the measures being taken to limit COVID-19’s spread could negatively impact our ability to meet anticipated timelines and/or expected or required quality standards with respect to the development of certain of our products. In addition, some of our components have long lead-times, requiring us to place orders several months in advance of anticipated demand. Such long lead-times increase the risk of excess inventory or loss of sales in the event our forecasts vary substantially from actual demand. There can be no assurance that:</w:t>
      </w:r>
    </w:p>
    <w:p>
      <w:pPr>
        <w:spacing w:after="0" w:line="20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development efforts will be successful;</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be able to successfully market these products;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 w:name="page39"/>
    <w:bookmarkEnd w:id="38"/>
    <w:p>
      <w:pPr>
        <w:ind w:left="660" w:right="2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230"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169" w:lineRule="exact"/>
        <w:rPr>
          <w:sz w:val="20"/>
          <w:szCs w:val="20"/>
          <w:color w:val="auto"/>
        </w:rPr>
      </w:pPr>
    </w:p>
    <w:p>
      <w:pPr>
        <w:ind w:right="600"/>
        <w:spacing w:after="0" w:line="303"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and qualify our system solutions.</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If we fail to identify or develop products on a timely basis, or at all, that comply with our customers’ specifications or achieve design wins with our customers, we may experience a significant adverse impact on our revenue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Additionally, some of our system solutions are increasingly dependent on sophisticated firmware that may require significant customization to meet customer specifications, which increases our costs and time to market. Additionally, we may need to update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206" w:lineRule="exact"/>
        <w:rPr>
          <w:sz w:val="20"/>
          <w:szCs w:val="20"/>
          <w:color w:val="auto"/>
        </w:rPr>
      </w:pPr>
    </w:p>
    <w:p>
      <w:pPr>
        <w:ind w:right="200"/>
        <w:spacing w:after="0" w:line="303" w:lineRule="auto"/>
        <w:rPr>
          <w:sz w:val="20"/>
          <w:szCs w:val="20"/>
          <w:color w:val="auto"/>
        </w:rPr>
      </w:pPr>
      <w:r>
        <w:rPr>
          <w:rFonts w:ascii="Arial" w:cs="Arial" w:eastAsia="Arial" w:hAnsi="Arial"/>
          <w:sz w:val="18"/>
          <w:szCs w:val="18"/>
          <w:b w:val="1"/>
          <w:bCs w:val="1"/>
          <w:color w:val="0090DA"/>
        </w:rPr>
        <w:t>Products that fail to meet specifications, are defective, or that are otherwise incompatible with end uses could impose significant costs on us.</w:t>
      </w:r>
    </w:p>
    <w:p>
      <w:pPr>
        <w:spacing w:after="0" w:line="15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3" w:lineRule="exact"/>
        <w:rPr>
          <w:sz w:val="20"/>
          <w:szCs w:val="20"/>
          <w:color w:val="auto"/>
        </w:rPr>
      </w:pPr>
    </w:p>
    <w:p>
      <w:pPr>
        <w:ind w:left="660" w:right="10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ind w:left="660" w:right="580" w:hanging="328"/>
        <w:spacing w:after="0" w:line="26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9" w:name="page40"/>
    <w:bookmarkEnd w:id="39"/>
    <w:p>
      <w:pPr>
        <w:ind w:left="660" w:right="200" w:hanging="328"/>
        <w:spacing w:after="0" w:line="29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50" w:lineRule="exact"/>
        <w:rPr>
          <w:sz w:val="20"/>
          <w:szCs w:val="20"/>
          <w:color w:val="auto"/>
        </w:rPr>
      </w:pPr>
    </w:p>
    <w:p>
      <w:pPr>
        <w:ind w:right="700"/>
        <w:spacing w:after="0" w:line="303"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there have been disruptions in the manufacturing process as a result of power outages, improperly functioning equipment, disruptions in supply of raw materials or components, or equipment failures. We have manufacturing and other operations in locations subject to natural occurrences such as severe weather and geological events, including earthquakes or tsunamis, that could disrupt operations. In addition, our suppliers and customers also have operations in such locations. Additionally, other events including political or public health crises, such as an outbreak of contagious diseases like COVID-19, SARS-CoV, avian and swine influenza, measles, or Ebola, may affect our production capabilities or that of our suppliers, including as a result of quarantines, closures of production facilities, lack of supplies, or delays caused by restrictions on travel or shipping. For example, in 2020, the government of Malaysia announced measures to restrict movement in that country in an effort to suppress the number of COVID-19 cases. Those restrictions temporarily limited our ability to fully operate our manufacturing facilities in that country. The events noted above have occurred from time to time in the past and may occur in the future. As a result, in addition to disruptions to operations, our insurance premiums may increase or we may not be able to fully recover any sustained losses through insurance.</w:t>
      </w:r>
    </w:p>
    <w:p>
      <w:pPr>
        <w:spacing w:after="0" w:line="20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Breaches of our security systems, or those of our customers, suppliers, or business partners, could expose us to losses.</w:t>
      </w:r>
    </w:p>
    <w:p>
      <w:pPr>
        <w:spacing w:after="0" w:line="25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These parties may also be able to develop and deploy viruses, worms, and other malicious software programs that disrupt our operations and create security vulnerabilities. Breaches of our physical security and attacks on our network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 The foregoing could have a material adverse effect on our business, results of operations, or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54"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To remain competitive, we must attract, retain, and motivate executives and other highly skilled employees, as well as effectively manage or plan for succession for key employees. Competition for experienced employees in our industry can be intense. Hiring and retaining qualified executives, engineers, technical staff, and sales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0" w:name="page41"/>
    <w:bookmarkEnd w:id="40"/>
    <w:p>
      <w:pPr>
        <w:ind w:right="140"/>
        <w:spacing w:after="0" w:line="241" w:lineRule="auto"/>
        <w:rPr>
          <w:sz w:val="20"/>
          <w:szCs w:val="20"/>
          <w:color w:val="auto"/>
        </w:rPr>
      </w:pPr>
      <w:r>
        <w:rPr>
          <w:rFonts w:ascii="Arial" w:cs="Arial" w:eastAsia="Arial" w:hAnsi="Arial"/>
          <w:sz w:val="18"/>
          <w:szCs w:val="18"/>
          <w:color w:val="auto"/>
        </w:rPr>
        <w:t>representatives is critical to our business. Our inability to attract, retain, or effectively manage or plan for succession of key employees may inhibit our ability to maintain or expand our business operations. Additionally, changes to immigration policies in the numerous countries in which we operate, including the United States, as well as restrictions on global travel as a result of local or global public health crises requiring quarantines or other precautions to limit exposure to infectious diseases, may limit our ability to hire and/or retain talent in, or transfer talent to, specific locations. If our total compensation programs and workplace culture cease to be viewed as competitive, our ability to attract, retain, and motivate employees could be weakened, which could have a material adverse effect on our business, results of operations, or financial condition.</w:t>
      </w:r>
    </w:p>
    <w:p>
      <w:pPr>
        <w:spacing w:after="0" w:line="204" w:lineRule="exact"/>
        <w:rPr>
          <w:sz w:val="20"/>
          <w:szCs w:val="20"/>
          <w:color w:val="auto"/>
        </w:rPr>
      </w:pPr>
    </w:p>
    <w:p>
      <w:pPr>
        <w:ind w:right="200"/>
        <w:spacing w:after="0" w:line="303"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obligations and are subject to reduction, termination, or clawback.</w:t>
      </w:r>
    </w:p>
    <w:p>
      <w:pPr>
        <w:spacing w:after="0" w:line="1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cannot guarantee that we will successfully achieve performance obligations required to qualify for these incentives or that the granting agencies will provide such funding. These incentive arrangements typically provide the granting agencies with rights to audit our performance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make future acquisitions and/or alliances, which involve numerous risks.</w:t>
      </w:r>
    </w:p>
    <w:p>
      <w:pPr>
        <w:spacing w:after="0" w:line="254"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700" w:hanging="328"/>
        <w:spacing w:after="0" w:line="26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19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0090DA"/>
        </w:rPr>
        <w:t>We may incur restructure charges in future periods.</w:t>
      </w:r>
    </w:p>
    <w:p>
      <w:pPr>
        <w:spacing w:after="0" w:line="25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02"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color w:val="0090DA"/>
        </w:rPr>
        <w:t>Compliance with customer responsible sourcing requirements and related regulations could limit the supply and increase the cost of certain materials, supplies, and services used in manufacturing our products.</w:t>
      </w:r>
    </w:p>
    <w:p>
      <w:pPr>
        <w:spacing w:after="0" w:line="15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Many of our customers have adopted responsible sourcing programs that require us to periodically report on our supply chain and responsible sourcing efforts to ensure we source the materials, supplies, and services we use and incorporate into the products we sell in a manner that is consistent with their programs. Some of our customers may elect to disqualify us as a supplier or reduce purchases from us if we are unable to verify that our products meet the specifications of their responsible sourcing programs. Meeting customer requirements may limit the sourcing and availability of some of the materials, supplies, and services we use, particularly when the availability of such materials, supplies, and services is concentrated to a limited number of suppliers. This may affect our ability and/or the cost to obtain sufficient quantities of materials, supplies, and services necessary for the manufacture of our products.</w:t>
      </w:r>
    </w:p>
    <w:p>
      <w:pPr>
        <w:spacing w:after="0" w:line="20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Section 1502 of the Dodd-Frank Wall Street Reform and Consumer Protection Act of 2010 and its implementing SEC regulations impose supply chain due diligence and disclosure requirements for certain manufacturers of products containing specific minerals that may originate in or near the Democratic Republic of the Congo and finance or benefit local armed groups. These conflict minerals are commonly found in materials used in the manufacture of semiconductors.</w:t>
      </w:r>
    </w:p>
    <w:p>
      <w:pPr>
        <w:spacing w:after="0" w:line="196"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Our inability to comply with customers’ requirements for responsible sourcing or with related regulations could have a material adverse effect on our business, results of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5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health crisis caused by COVID-19 has adversely affected economic conditions and caused a downturn in the worldwide economy. Downturns in the worldwide economy have harmed our business in the past and the current downturn has adversely affected our business. As a result, demand for certain of our products used in smartphones, consumer electronics, and automotive, has been volatile. Reduced demand for these or other products could result in significant decreases in our average selling prices and product sales. If these adverse conditions persist or worsen, we could experience additional reduction in demand for our products and/or devices that incorporate our products. Future downturns could also adversely affect our business. In addition, to the extent our customers or distributors have elevated inventory levels, we may experience a decrease in short-term and/or long-term demand and/or pricing for our products.</w:t>
      </w:r>
    </w:p>
    <w:p>
      <w:pPr>
        <w:spacing w:after="0" w:line="203"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A deterioration of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the worldwide economy could have a material adverse effect on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67" w:lineRule="exact"/>
        <w:rPr>
          <w:sz w:val="20"/>
          <w:szCs w:val="20"/>
          <w:color w:val="auto"/>
        </w:rPr>
      </w:pPr>
    </w:p>
    <w:p>
      <w:pPr>
        <w:ind w:right="820"/>
        <w:spacing w:after="0" w:line="303"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154"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sectPr>
      </w:pPr>
    </w:p>
    <w:bookmarkStart w:id="42" w:name="page43"/>
    <w:bookmarkEnd w:id="42"/>
    <w:p>
      <w:pPr>
        <w:ind w:right="20"/>
        <w:spacing w:after="0" w:line="284" w:lineRule="auto"/>
        <w:rPr>
          <w:sz w:val="20"/>
          <w:szCs w:val="20"/>
          <w:color w:val="auto"/>
        </w:rPr>
      </w:pPr>
      <w:r>
        <w:rPr>
          <w:rFonts w:ascii="Arial" w:cs="Arial" w:eastAsia="Arial" w:hAnsi="Arial"/>
          <w:sz w:val="17"/>
          <w:szCs w:val="17"/>
          <w:color w:val="auto"/>
        </w:rPr>
        <w:t>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18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204"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Legal proceedings and claims could have a material adverse effect on our business, results of operations, or financial condition.</w:t>
      </w:r>
    </w:p>
    <w:p>
      <w:pPr>
        <w:spacing w:after="0" w:line="2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See “Part II. Other Information – Item 1. Legal Proceedings.” Any claim, with or without merit, could result in significant legal fees that could negatively impact our financial results, disrupt our operations, and require significant attention from our management. We could be subject to litigation or arbitration disputes arising from our relationships with vendors or customers, supply agreements, or contractual obligations with our subcontractors or business partners. We may also be associated with and subject to litigation arising from the actions of our vendors, subcontractors, or business partners. We may also be subject to litigation or claims as a result of our indemnification obligations, including obligations to defend our customers against third-party claims asserting infringement of certain intellectual property rights, which may include patents, trademarks, copyrights, or trade secrets. We may also be subject to claims or litigation arising from the terms of our product warranties or from product liability claims. 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allegations of anticompetitive conduct.</w:t>
      </w:r>
    </w:p>
    <w:p>
      <w:pPr>
        <w:spacing w:after="0" w:line="25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the plaintiffs the opportunity to file a consolidated, amended complaint.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w:t>
      </w:r>
    </w:p>
    <w:p>
      <w:pPr>
        <w:spacing w:after="0" w:line="207"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purports to be on behalf of a nationwide class of direct purchasers of DRAM products. The consolidated complaint asserts claims based on alleged price-fixing of DRAM products under federal and state law during the period from June 1, 2016</w:t>
      </w:r>
    </w:p>
    <w:p>
      <w:pPr>
        <w:spacing w:after="0" w:line="39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3" w:name="page44"/>
    <w:bookmarkEnd w:id="43"/>
    <w:p>
      <w:pPr>
        <w:ind w:right="120"/>
        <w:spacing w:after="0" w:line="255" w:lineRule="auto"/>
        <w:rPr>
          <w:sz w:val="20"/>
          <w:szCs w:val="20"/>
          <w:color w:val="auto"/>
        </w:rPr>
      </w:pPr>
      <w:r>
        <w:rPr>
          <w:rFonts w:ascii="Arial" w:cs="Arial" w:eastAsia="Arial" w:hAnsi="Arial"/>
          <w:sz w:val="18"/>
          <w:szCs w:val="18"/>
          <w:color w:val="auto"/>
        </w:rPr>
        <w:t>through at least February 1, 2018, and seeks treble monetary damages, costs, interest, attorneys’ fees, and other injunctive and equitable relief. On December 21, 2020, the District Court granted Micron’s motion to dismiss and granted the plaintiffs permission to file an amended complaint.</w:t>
      </w:r>
    </w:p>
    <w:p>
      <w:pPr>
        <w:spacing w:after="0" w:line="19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19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19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are unable to predict the outcome of these matters and cannot make a reasonable estimate of the potential loss or range of possible losses. The final resolution of these matters could result in significant liability and could have a material adverse effect on our business, results of operations, or financial condition. See “Part I. Financial Information – Item 1. Financial Statements – Notes to Consolidated Financial Statements – Contingencies.”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face risks associated with our former IMFT joint venture with Intel.</w:t>
      </w:r>
    </w:p>
    <w:p>
      <w:pPr>
        <w:spacing w:after="0" w:line="25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On October 31, 2019, we purchased Intel’s noncontrolling interest in the IMFT joint venture, now known as MTU. Our acquisition involves risks including, but not limited to, continued underutilization of the MTU facility. We also face risks from our arbitration proceeding with Intel, in which we and Intel have made claims against each other for damages relating to the joint venture. For information regarding the arbitration proceeding, see “Part I. Financial Information – Item 1. Financial Statements – Notes to Consolidated Financial Statements – Contingencies.” The foregoing could have a material adverse effect on our business, results of operations, or financial condition.</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7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9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0090DA"/>
        </w:rPr>
        <w:t>We have been served with complaints in Chinese courts alleging patent infringement.</w:t>
      </w:r>
    </w:p>
    <w:p>
      <w:pPr>
        <w:spacing w:after="0" w:line="2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19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are unable to predict the outcome of these assertions of infringement made against us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 Financial Information – Item 1. Financial Statements – Notes to Consolidated Financial Statements – Contingencies.”</w:t>
      </w:r>
    </w:p>
    <w:p>
      <w:pPr>
        <w:spacing w:after="0" w:line="202"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b w:val="1"/>
          <w:bCs w:val="1"/>
          <w:color w:val="0090DA"/>
        </w:rPr>
        <w:t>The acquisition of our ownership interest in Inotera from Qimonda AG (“Qimonda”) has been challenged by the administrator of the insolvency proceedings for Qimonda.</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January 2011, Dr. Michael Jaffé, administrator for Qimonda’s insolvency proceedings, filed suit against Micron and Micron Semiconductor B.V. (“Micron B.V.”), in the District Court of Munich, Civil Chamber. The complaint seeks to void a share purchase agreement between Micron B.V. and Qimonda signed in 2008, pursuant to which Micron B.V. purchased substantially all of Qimonda’s shares of Inotera,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a patent cross-license between us and Qimonda entered into at the same time as the share purchase agreement. See “Part I. Financial Information – Item 1. Financial Statements – Notes to Consolidated Financial Statements – Contingencies” for further information regarding the matter.</w:t>
      </w:r>
    </w:p>
    <w:p>
      <w:pPr>
        <w:spacing w:after="0" w:line="20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are unable to predict the outcome of the matter and cannot make a reasonable estimate of the potential loss or range of possible losses.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67"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color w:val="0090DA"/>
        </w:rPr>
        <w:t>Increases in tariffs or other trade restrictions or taxes on our or our customers’ products or equipment and supplies could have an adverse impact on our operations.</w:t>
      </w:r>
    </w:p>
    <w:p>
      <w:pPr>
        <w:spacing w:after="0" w:line="154" w:lineRule="exact"/>
        <w:rPr>
          <w:sz w:val="20"/>
          <w:szCs w:val="20"/>
          <w:color w:val="auto"/>
        </w:rPr>
      </w:pPr>
    </w:p>
    <w:p>
      <w:pPr>
        <w:jc w:val="both"/>
        <w:ind w:right="420"/>
        <w:spacing w:after="0" w:line="271" w:lineRule="auto"/>
        <w:rPr>
          <w:sz w:val="20"/>
          <w:szCs w:val="20"/>
          <w:color w:val="auto"/>
        </w:rPr>
      </w:pPr>
      <w:r>
        <w:rPr>
          <w:rFonts w:ascii="Arial" w:cs="Arial" w:eastAsia="Arial" w:hAnsi="Arial"/>
          <w:sz w:val="18"/>
          <w:szCs w:val="18"/>
          <w:color w:val="auto"/>
        </w:rPr>
        <w:t>In 2020, 88% of our revenue was from products shipped to customer locations outside the United States. We also purchase a significant portion of equipment and supplies from suppliers outside the United States. Additionally, a significant portion of our facilities are located outside the United States, including in Taiwan, Singapore, Japan, and China.</w:t>
      </w:r>
    </w:p>
    <w:p>
      <w:pPr>
        <w:spacing w:after="0" w:line="1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United States and other countries have levied tariffs and taxes on certain goods. General trade tensions between the United States and China have been escalating since 2018, with U.S. tariffs on Chinese goods and retaliatory Chinese tariffs on U.S. goods. Some of our products are included in these tariffs. Higher duties on existing tariffs and further rounds of tariffs have been announced or threatened by U.S. and Chinese leaders. Additionally, the United States has threatened to impose tariffs on goods imported from other countries, which could also impact certain of our customers’ or our operations. If the United States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w:t>
      </w:r>
    </w:p>
    <w:p>
      <w:pPr>
        <w:spacing w:after="0" w:line="20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United States and other countries, what products may be subject to such actions, or what actions may be taken by</w:t>
      </w: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45" w:name="page46"/>
    <w:bookmarkEnd w:id="45"/>
    <w:p>
      <w:pPr>
        <w:ind w:right="160"/>
        <w:spacing w:after="0" w:line="260" w:lineRule="auto"/>
        <w:rPr>
          <w:sz w:val="20"/>
          <w:szCs w:val="20"/>
          <w:color w:val="auto"/>
        </w:rPr>
      </w:pPr>
      <w:r>
        <w:rPr>
          <w:rFonts w:ascii="Arial" w:cs="Arial" w:eastAsia="Arial" w:hAnsi="Arial"/>
          <w:sz w:val="18"/>
          <w:szCs w:val="18"/>
          <w:color w:val="auto"/>
        </w:rPr>
        <w:t>other countries in retaliation.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200"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color w:val="0090DA"/>
        </w:rPr>
        <w:t>Trade regulations have restricted our ability to sell our products to several customers, could restrict our ability to sell our products to other customers or in certain markets, or could otherwise restrict our ability to conduct operations.</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International trade disputes have led, and may continue to lead, to new and increasing trade barriers and other protectionist measures that can increase our manufacturing costs, make our products less competitive, reduce demand for our products, limit our ability to sell to certain customers or markets, limit our ability to procure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w:t>
      </w:r>
    </w:p>
    <w:p>
      <w:pPr>
        <w:spacing w:after="0" w:line="1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Escalating tensions between the United States and China have led to increased trade restrictions and have affected customer ordering patterns. For example, the BIS has recently enacted increasingly broad trade restrictions with respect to Huawei (which represented approximately 10% of our revenue in the fourth quarter of 2020 and 12% in 2019), culminating with restrictions that took effect on September 15, 2020 and that currently prevent us and many other companies from shipping products to Huawei. We cannot predict the duration these restrictions will remain in place, whether the BIS will grant us or others licenses to ship products to Huawei, or whether the BIS or other U.S. or foreign government entities will enact similar restrictions with respect to other customers, markets, or products. We may not be able to replace the lost revenue opportunities associated with such restrictions.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United States has also imposed other restrictions on the export of U.S. regulated products and technology to certain Chinese technology companies, including certain of our customers. These restrictions have reduced our sales, and continuing or future restrictions could adversely affect our financial results, result in reputational harm to us due to our relationship with such companies, or lead such companies to develop or adopt technologies that compete with our products. It is difficult to predict what further trade-related actions governments may take, and we may be unable to quickly and effectively react to such actions. For example, U.S. legislation has expanded the power of the U.S. Department of Commerce to restrict the export of “emerging and foundational technologies” yet to be identified, which could impact our current or future products.</w:t>
      </w:r>
    </w:p>
    <w:p>
      <w:pPr>
        <w:spacing w:after="0" w:line="2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trade tensions could lead to long-term changes in global trade and technology supply chains, which could adversely affect our business and growth prospects. Trade restrictions that may be imposed by the United States, China, or other countries may impact our business in ways we cannot reasonably quantify, including that some of our customers’ products which incorporate our solutions may also be impacted. Restrictions on our ability to sell and ship our products to Huawei have had, and may continue to have, an adverse effect on our business, results of operations, or financial condition. In addition, further increases in trade restrictions or barriers may negatively impact our revenue with Huawei or other customers, and any licenses we have received or could receive in the future could be rendered ineffective. Any such changes may have a further adverse effect on our business, results of operations, or financial condition.</w:t>
      </w:r>
    </w:p>
    <w:p>
      <w:pPr>
        <w:spacing w:after="0" w:line="208"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0090DA"/>
        </w:rPr>
        <w:t>We may incur additional tax expense or become subject to additional tax exposure.</w:t>
      </w:r>
    </w:p>
    <w:p>
      <w:pPr>
        <w:spacing w:after="0" w:line="2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arrangements, failure to meet performance obligations with respect to tax incentive agreements, expanding our operations in various countries,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change in tax laws in key jurisdictions could materially increase our tax expense.</w:t>
      </w:r>
    </w:p>
    <w:p>
      <w:pPr>
        <w:spacing w:after="0" w:line="25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subject to income taxes in the United States and many foreign jurisdictions. 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For example, our effective tax rate increased from 1.2% for 2018 to 9.8% for 2019 primarily as a result of the Tax Cuts and Jobs Act enacted in December 2017 by the United States. Additionally, various levels of government are increasingly focused on tax reform and other legislative actions to increase tax revenue, and President-Elect Biden’s campaign proposals included increasing the U.S. corporate income tax rate from 21% to 28%. Further changes in the tax laws of foreign jurisdictions could arise as a result of the base erosion and profit shifting project undertaken by the Organisation for Economic Co-operation and Development, which represents a coalition of member countries and recommended changes to numerous long-standing tax principles. If implemented by taxing authorities,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207"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b w:val="1"/>
          <w:bCs w:val="1"/>
          <w:color w:val="0090DA"/>
        </w:rPr>
        <w:t>We and others are subject to a variety of laws, regulations, or industry standards that may have a material adverse effect on our business, results of operations, or financial condition.</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 As a result of these items, we could experience the following:</w:t>
      </w:r>
    </w:p>
    <w:p>
      <w:pPr>
        <w:spacing w:after="0" w:line="20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30"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47" w:name="page48"/>
    <w:bookmarkEnd w:id="47"/>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67"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and make adequate capital investments.</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19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estimate capital expenditures in 2021 for property, plant, and equipment, net of partner contributions, will be approximately $9 billion, focused on technology transitions and product enablement. Investments in capital expenditures may not generate expected returns or cash flows. Delays in completion and ramping of new production facilities could significantly impact our ability to realize expected returns on our capital expenditures, which could have a material adverse effect on our business, results of operations, or financial condition.</w:t>
      </w:r>
    </w:p>
    <w:p>
      <w:pPr>
        <w:spacing w:after="0" w:line="19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economic conditions, it may be difficult for us to obtain financing on terms acceptable to us or at all. We have experienced volatility in our cash flows and operating results and may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or at all. In addition, if our credit rating declines below a certain level, our credit facility will be required to become secured by certain of our assets, which may limit the amount or increase the cost of future financings. There can be no assurance that we will be able to generate sufficient cash flows, access capital or credit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5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to restructure our capital structure, including the refinancing of existing debt. As of December 3, 2020, we had debt with a carrying value of $6.63 billion. As of December 3, 2020, $2.50 billion of our Revolving Credit Facility was available to us. As of December 3, 2020, the conversion value in excess of principal of our convertible notes was $802 million, based on the trading price of our common stock of $69.90 per share on such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52" w:lineRule="exact"/>
        <w:rPr>
          <w:sz w:val="20"/>
          <w:szCs w:val="20"/>
          <w:color w:val="auto"/>
        </w:rPr>
      </w:pPr>
    </w:p>
    <w:p>
      <w:pPr>
        <w:ind w:left="660" w:right="38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and other business activities;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13" w:right="379" w:bottom="1440" w:gutter="0" w:footer="0" w:header="0"/>
        </w:sectPr>
      </w:pPr>
    </w:p>
    <w:bookmarkStart w:id="48" w:name="page49"/>
    <w:bookmarkEnd w:id="48"/>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31" w:lineRule="exact"/>
        <w:rPr>
          <w:rFonts w:ascii="Arial" w:cs="Arial" w:eastAsia="Arial" w:hAnsi="Arial"/>
          <w:sz w:val="18"/>
          <w:szCs w:val="18"/>
          <w:color w:val="auto"/>
        </w:rPr>
      </w:pPr>
    </w:p>
    <w:p>
      <w:pPr>
        <w:ind w:left="660" w:right="100" w:hanging="328"/>
        <w:spacing w:after="0" w:line="26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1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2019, we suspended the security interest in the collateral under our credit facility; however, if our corporate credit rating were to decline below a certain level, the security interest would be automatically reinstated, which may limit the amount or increase the cost of future financings.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01" w:lineRule="exact"/>
        <w:rPr>
          <w:sz w:val="20"/>
          <w:szCs w:val="20"/>
          <w:color w:val="auto"/>
        </w:rPr>
      </w:pPr>
    </w:p>
    <w:p>
      <w:pPr>
        <w:ind w:right="500"/>
        <w:spacing w:after="0" w:line="303"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15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trading price of our common stock has been and may continue to be volatile.</w:t>
      </w: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estimates by us or financial estimates and ratings by securities analysts, changes in our capital structure, including issuance of additional debt or equity to the public, interest rate changes, regulatory changes, news regarding our products or products of our competitors, and broad market and industry fluctuations. 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6339840</wp:posOffset>
            </wp:positionH>
            <wp:positionV relativeFrom="paragraph">
              <wp:posOffset>257810</wp:posOffset>
            </wp:positionV>
            <wp:extent cx="643255"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3255" cy="18034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9" w:name="page50"/>
    <w:bookmarkEnd w:id="49"/>
    <w:p>
      <w:pPr>
        <w:ind w:right="280"/>
        <w:spacing w:after="0" w:line="292" w:lineRule="auto"/>
        <w:rPr>
          <w:sz w:val="20"/>
          <w:szCs w:val="20"/>
          <w:color w:val="auto"/>
        </w:rPr>
      </w:pPr>
      <w:r>
        <w:rPr>
          <w:rFonts w:ascii="Arial" w:cs="Arial" w:eastAsia="Arial" w:hAnsi="Arial"/>
          <w:sz w:val="18"/>
          <w:szCs w:val="18"/>
          <w:color w:val="auto"/>
        </w:rPr>
        <w:t>trading price of our common stock could also result in the filing of securities class action litigation matters, which could result in substantial costs and the diversion of management time and resources.</w:t>
      </w:r>
    </w:p>
    <w:p>
      <w:pPr>
        <w:spacing w:after="0" w:line="169"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b w:val="1"/>
          <w:bCs w:val="1"/>
          <w:color w:val="0090DA"/>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amount, timing, and execution of our share repurchases pursuant to our share repurchase authorization may fluctuate based on our operating results, cash flows, and priorities for the use of cash for other purposes. For example, we repurchased 66.4 million shares for $2.66 billion in 2019, 3.6 million shares for $176 million in 2020, and did not repurchase any shares in the first quarter of 2021.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0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6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During the quarter ended December 3, 2020, we did not repurchase common stock under the authorization and as of December 3, 2020, $7.16 billion of the authorization remained available for the repurchase of common stock.</w:t>
      </w:r>
    </w:p>
    <w:p>
      <w:pPr>
        <w:spacing w:after="0" w:line="20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considered common stock repurchases under an authorized common stock repurchase plan.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Item 6. Exhibits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5600" w:type="dxa"/>
            <w:vAlign w:val="bottom"/>
            <w:vMerge w:val="restart"/>
          </w:tcPr>
          <w:p>
            <w:pPr>
              <w:ind w:left="1920"/>
              <w:spacing w:after="0"/>
              <w:rPr>
                <w:sz w:val="20"/>
                <w:szCs w:val="20"/>
                <w:color w:val="auto"/>
              </w:rPr>
            </w:pPr>
            <w:r>
              <w:rPr>
                <w:rFonts w:ascii="Arial" w:cs="Arial" w:eastAsia="Arial" w:hAnsi="Arial"/>
                <w:sz w:val="18"/>
                <w:szCs w:val="18"/>
                <w:b w:val="1"/>
                <w:bCs w:val="1"/>
                <w:color w:val="auto"/>
              </w:rPr>
              <w:t>Description of Exhibit</w:t>
            </w:r>
          </w:p>
        </w:tc>
        <w:tc>
          <w:tcPr>
            <w:tcW w:w="1840" w:type="dxa"/>
            <w:vAlign w:val="bottom"/>
          </w:tcPr>
          <w:p>
            <w:pPr>
              <w:jc w:val="center"/>
              <w:ind w:right="650"/>
              <w:spacing w:after="0"/>
              <w:rPr>
                <w:sz w:val="20"/>
                <w:szCs w:val="20"/>
                <w:color w:val="auto"/>
              </w:rPr>
            </w:pPr>
            <w:r>
              <w:rPr>
                <w:rFonts w:ascii="Arial" w:cs="Arial" w:eastAsia="Arial" w:hAnsi="Arial"/>
                <w:sz w:val="18"/>
                <w:szCs w:val="18"/>
                <w:b w:val="1"/>
                <w:bCs w:val="1"/>
                <w:color w:val="auto"/>
                <w:w w:val="99"/>
              </w:rPr>
              <w:t>Filed</w:t>
            </w:r>
          </w:p>
        </w:tc>
        <w:tc>
          <w:tcPr>
            <w:tcW w:w="92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8"/>
              </w:rPr>
              <w:t>Exhibit/</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30"/>
        </w:trPr>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5600" w:type="dxa"/>
            <w:vAlign w:val="bottom"/>
            <w:tcBorders>
              <w:bottom w:val="single" w:sz="8" w:color="auto"/>
            </w:tcBorders>
            <w:vMerge w:val="continue"/>
          </w:tcPr>
          <w:p>
            <w:pPr>
              <w:spacing w:after="0"/>
              <w:rPr>
                <w:sz w:val="19"/>
                <w:szCs w:val="19"/>
                <w:color w:val="auto"/>
              </w:rPr>
            </w:pPr>
          </w:p>
        </w:tc>
        <w:tc>
          <w:tcPr>
            <w:tcW w:w="18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Herewith   Form</w:t>
            </w: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Appendix</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23"/>
        </w:trPr>
        <w:tc>
          <w:tcPr>
            <w:tcW w:w="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31.1</w:t>
            </w:r>
          </w:p>
        </w:tc>
        <w:tc>
          <w:tcPr>
            <w:tcW w:w="5600" w:type="dxa"/>
            <w:vAlign w:val="bottom"/>
            <w:shd w:val="clear" w:color="auto" w:fill="D1D2D4"/>
          </w:tcPr>
          <w:p>
            <w:pPr>
              <w:ind w:left="8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Rule 13a-14(a) Certification of Chief Executive Officer</w:t>
              </w:r>
            </w:hyperlink>
          </w:p>
        </w:tc>
        <w:tc>
          <w:tcPr>
            <w:tcW w:w="1840" w:type="dxa"/>
            <w:vAlign w:val="bottom"/>
            <w:shd w:val="clear" w:color="auto" w:fill="D1D2D4"/>
          </w:tcPr>
          <w:p>
            <w:pPr>
              <w:jc w:val="center"/>
              <w:ind w:right="67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tcPr>
          <w:p>
            <w:pPr>
              <w:ind w:left="20"/>
              <w:spacing w:after="0"/>
              <w:rPr>
                <w:sz w:val="20"/>
                <w:szCs w:val="20"/>
                <w:color w:val="auto"/>
              </w:rPr>
            </w:pPr>
            <w:r>
              <w:rPr>
                <w:rFonts w:ascii="Arial" w:cs="Arial" w:eastAsia="Arial" w:hAnsi="Arial"/>
                <w:sz w:val="18"/>
                <w:szCs w:val="18"/>
                <w:color w:val="auto"/>
              </w:rPr>
              <w:t>31.2</w:t>
            </w:r>
          </w:p>
        </w:tc>
        <w:tc>
          <w:tcPr>
            <w:tcW w:w="5600" w:type="dxa"/>
            <w:vAlign w:val="bottom"/>
          </w:tcPr>
          <w:p>
            <w:pPr>
              <w:ind w:left="8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Rule 13a-14(a) Certification of Chief Financial Officer</w:t>
              </w:r>
            </w:hyperlink>
          </w:p>
        </w:tc>
        <w:tc>
          <w:tcPr>
            <w:tcW w:w="1840" w:type="dxa"/>
            <w:vAlign w:val="bottom"/>
          </w:tcPr>
          <w:p>
            <w:pPr>
              <w:jc w:val="center"/>
              <w:ind w:right="67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32.1</w:t>
            </w:r>
          </w:p>
        </w:tc>
        <w:tc>
          <w:tcPr>
            <w:tcW w:w="5600" w:type="dxa"/>
            <w:vAlign w:val="bottom"/>
            <w:shd w:val="clear" w:color="auto" w:fill="D1D2D4"/>
          </w:tcPr>
          <w:p>
            <w:pPr>
              <w:ind w:left="8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Certification of Chief Executive Officer Pursuant to 18 U.S.C. 1350</w:t>
              </w:r>
            </w:hyperlink>
          </w:p>
        </w:tc>
        <w:tc>
          <w:tcPr>
            <w:tcW w:w="1840" w:type="dxa"/>
            <w:vAlign w:val="bottom"/>
            <w:shd w:val="clear" w:color="auto" w:fill="D1D2D4"/>
          </w:tcPr>
          <w:p>
            <w:pPr>
              <w:jc w:val="center"/>
              <w:ind w:right="67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Arial" w:cs="Arial" w:eastAsia="Arial" w:hAnsi="Arial"/>
                <w:sz w:val="18"/>
                <w:szCs w:val="18"/>
                <w:color w:val="auto"/>
              </w:rPr>
              <w:t>32.2</w:t>
            </w:r>
          </w:p>
        </w:tc>
        <w:tc>
          <w:tcPr>
            <w:tcW w:w="5600" w:type="dxa"/>
            <w:vAlign w:val="bottom"/>
          </w:tcPr>
          <w:p>
            <w:pPr>
              <w:ind w:left="8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Certification of Chief Financial Officer Pursuant to 18 U.S.C. 1350</w:t>
              </w:r>
            </w:hyperlink>
          </w:p>
        </w:tc>
        <w:tc>
          <w:tcPr>
            <w:tcW w:w="1840" w:type="dxa"/>
            <w:vAlign w:val="bottom"/>
          </w:tcPr>
          <w:p>
            <w:pPr>
              <w:jc w:val="center"/>
              <w:ind w:right="67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101.INS</w:t>
            </w:r>
          </w:p>
        </w:tc>
        <w:tc>
          <w:tcPr>
            <w:tcW w:w="5600" w:type="dxa"/>
            <w:vAlign w:val="bottom"/>
            <w:shd w:val="clear" w:color="auto" w:fill="D1D2D4"/>
          </w:tcPr>
          <w:p>
            <w:pPr>
              <w:ind w:left="80"/>
              <w:spacing w:after="0" w:line="176" w:lineRule="exact"/>
              <w:rPr>
                <w:sz w:val="20"/>
                <w:szCs w:val="20"/>
                <w:color w:val="auto"/>
              </w:rPr>
            </w:pPr>
            <w:r>
              <w:rPr>
                <w:rFonts w:ascii="Arial" w:cs="Arial" w:eastAsia="Arial" w:hAnsi="Arial"/>
                <w:sz w:val="18"/>
                <w:szCs w:val="18"/>
                <w:color w:val="auto"/>
              </w:rPr>
              <w:t>Inline XBRL Instance Document - the instance document does not</w:t>
            </w:r>
          </w:p>
        </w:tc>
        <w:tc>
          <w:tcPr>
            <w:tcW w:w="1840" w:type="dxa"/>
            <w:vAlign w:val="bottom"/>
            <w:shd w:val="clear" w:color="auto" w:fill="D1D2D4"/>
          </w:tcPr>
          <w:p>
            <w:pPr>
              <w:jc w:val="center"/>
              <w:ind w:right="670"/>
              <w:spacing w:after="0" w:line="176" w:lineRule="exact"/>
              <w:rPr>
                <w:sz w:val="20"/>
                <w:szCs w:val="20"/>
                <w:color w:val="auto"/>
              </w:rPr>
            </w:pPr>
            <w:r>
              <w:rPr>
                <w:rFonts w:ascii="Arial" w:cs="Arial" w:eastAsia="Arial" w:hAnsi="Arial"/>
                <w:sz w:val="18"/>
                <w:szCs w:val="18"/>
                <w:color w:val="auto"/>
                <w:w w:val="99"/>
              </w:rPr>
              <w:t>X</w:t>
            </w:r>
          </w:p>
        </w:tc>
        <w:tc>
          <w:tcPr>
            <w:tcW w:w="9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8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D1D2D4"/>
          </w:tcPr>
          <w:p>
            <w:pPr>
              <w:spacing w:after="0"/>
              <w:rPr>
                <w:sz w:val="15"/>
                <w:szCs w:val="15"/>
                <w:color w:val="auto"/>
              </w:rPr>
            </w:pPr>
          </w:p>
        </w:tc>
        <w:tc>
          <w:tcPr>
            <w:tcW w:w="5600" w:type="dxa"/>
            <w:vAlign w:val="bottom"/>
            <w:shd w:val="clear" w:color="auto" w:fill="D1D2D4"/>
          </w:tcPr>
          <w:p>
            <w:pPr>
              <w:ind w:left="80"/>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1840" w:type="dxa"/>
            <w:vAlign w:val="bottom"/>
            <w:shd w:val="clear" w:color="auto" w:fill="D1D2D4"/>
          </w:tcPr>
          <w:p>
            <w:pPr>
              <w:spacing w:after="0"/>
              <w:rPr>
                <w:sz w:val="15"/>
                <w:szCs w:val="15"/>
                <w:color w:val="auto"/>
              </w:rPr>
            </w:pPr>
          </w:p>
        </w:tc>
        <w:tc>
          <w:tcPr>
            <w:tcW w:w="9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8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00" w:type="dxa"/>
            <w:vAlign w:val="bottom"/>
            <w:shd w:val="clear" w:color="auto" w:fill="D1D2D4"/>
          </w:tcPr>
          <w:p>
            <w:pPr>
              <w:spacing w:after="0"/>
              <w:rPr>
                <w:sz w:val="19"/>
                <w:szCs w:val="19"/>
                <w:color w:val="auto"/>
              </w:rPr>
            </w:pPr>
          </w:p>
        </w:tc>
        <w:tc>
          <w:tcPr>
            <w:tcW w:w="5600" w:type="dxa"/>
            <w:vAlign w:val="bottom"/>
            <w:shd w:val="clear" w:color="auto" w:fill="D1D2D4"/>
          </w:tcPr>
          <w:p>
            <w:pPr>
              <w:ind w:left="80"/>
              <w:spacing w:after="0"/>
              <w:rPr>
                <w:sz w:val="20"/>
                <w:szCs w:val="20"/>
                <w:color w:val="auto"/>
              </w:rPr>
            </w:pPr>
            <w:r>
              <w:rPr>
                <w:rFonts w:ascii="Arial" w:cs="Arial" w:eastAsia="Arial" w:hAnsi="Arial"/>
                <w:sz w:val="18"/>
                <w:szCs w:val="18"/>
                <w:color w:val="auto"/>
              </w:rPr>
              <w:t>embedded within the Inline XBRL document</w:t>
            </w:r>
          </w:p>
        </w:tc>
        <w:tc>
          <w:tcPr>
            <w:tcW w:w="184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Arial" w:cs="Arial" w:eastAsia="Arial" w:hAnsi="Arial"/>
                <w:sz w:val="18"/>
                <w:szCs w:val="18"/>
                <w:color w:val="auto"/>
              </w:rPr>
              <w:t>101.SCH</w:t>
            </w:r>
          </w:p>
        </w:tc>
        <w:tc>
          <w:tcPr>
            <w:tcW w:w="5600" w:type="dxa"/>
            <w:vAlign w:val="bottom"/>
          </w:tcPr>
          <w:p>
            <w:pPr>
              <w:ind w:left="80"/>
              <w:spacing w:after="0"/>
              <w:rPr>
                <w:sz w:val="20"/>
                <w:szCs w:val="20"/>
                <w:color w:val="auto"/>
              </w:rPr>
            </w:pPr>
            <w:r>
              <w:rPr>
                <w:rFonts w:ascii="Arial" w:cs="Arial" w:eastAsia="Arial" w:hAnsi="Arial"/>
                <w:sz w:val="18"/>
                <w:szCs w:val="18"/>
                <w:color w:val="auto"/>
              </w:rPr>
              <w:t>Inline XBRL Taxonomy Extension Schema Document</w:t>
            </w:r>
          </w:p>
        </w:tc>
        <w:tc>
          <w:tcPr>
            <w:tcW w:w="1840" w:type="dxa"/>
            <w:vAlign w:val="bottom"/>
          </w:tcPr>
          <w:p>
            <w:pPr>
              <w:jc w:val="center"/>
              <w:ind w:right="67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101.CAL</w:t>
            </w:r>
          </w:p>
        </w:tc>
        <w:tc>
          <w:tcPr>
            <w:tcW w:w="5600" w:type="dxa"/>
            <w:vAlign w:val="bottom"/>
            <w:shd w:val="clear" w:color="auto" w:fill="D1D2D4"/>
          </w:tcPr>
          <w:p>
            <w:pPr>
              <w:ind w:left="80"/>
              <w:spacing w:after="0"/>
              <w:rPr>
                <w:sz w:val="20"/>
                <w:szCs w:val="20"/>
                <w:color w:val="auto"/>
              </w:rPr>
            </w:pPr>
            <w:r>
              <w:rPr>
                <w:rFonts w:ascii="Arial" w:cs="Arial" w:eastAsia="Arial" w:hAnsi="Arial"/>
                <w:sz w:val="18"/>
                <w:szCs w:val="18"/>
                <w:color w:val="auto"/>
              </w:rPr>
              <w:t>Inline XBRL Taxonomy Extension Calculation Linkbase Document</w:t>
            </w:r>
          </w:p>
        </w:tc>
        <w:tc>
          <w:tcPr>
            <w:tcW w:w="1840" w:type="dxa"/>
            <w:vAlign w:val="bottom"/>
            <w:shd w:val="clear" w:color="auto" w:fill="D1D2D4"/>
          </w:tcPr>
          <w:p>
            <w:pPr>
              <w:jc w:val="center"/>
              <w:ind w:right="67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Arial" w:cs="Arial" w:eastAsia="Arial" w:hAnsi="Arial"/>
                <w:sz w:val="18"/>
                <w:szCs w:val="18"/>
                <w:color w:val="auto"/>
              </w:rPr>
              <w:t>101.DEF</w:t>
            </w:r>
          </w:p>
        </w:tc>
        <w:tc>
          <w:tcPr>
            <w:tcW w:w="5600" w:type="dxa"/>
            <w:vAlign w:val="bottom"/>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c>
          <w:tcPr>
            <w:tcW w:w="1840" w:type="dxa"/>
            <w:vAlign w:val="bottom"/>
          </w:tcPr>
          <w:p>
            <w:pPr>
              <w:jc w:val="center"/>
              <w:ind w:right="67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101.LAB</w:t>
            </w:r>
          </w:p>
        </w:tc>
        <w:tc>
          <w:tcPr>
            <w:tcW w:w="5600" w:type="dxa"/>
            <w:vAlign w:val="bottom"/>
            <w:shd w:val="clear" w:color="auto" w:fill="D1D2D4"/>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c>
          <w:tcPr>
            <w:tcW w:w="1840" w:type="dxa"/>
            <w:vAlign w:val="bottom"/>
            <w:shd w:val="clear" w:color="auto" w:fill="D1D2D4"/>
          </w:tcPr>
          <w:p>
            <w:pPr>
              <w:jc w:val="center"/>
              <w:ind w:right="67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Arial" w:cs="Arial" w:eastAsia="Arial" w:hAnsi="Arial"/>
                <w:sz w:val="18"/>
                <w:szCs w:val="18"/>
                <w:color w:val="auto"/>
              </w:rPr>
              <w:t>101.PRE</w:t>
            </w:r>
          </w:p>
        </w:tc>
        <w:tc>
          <w:tcPr>
            <w:tcW w:w="5600" w:type="dxa"/>
            <w:vAlign w:val="bottom"/>
          </w:tcPr>
          <w:p>
            <w:pPr>
              <w:ind w:left="80"/>
              <w:spacing w:after="0"/>
              <w:rPr>
                <w:sz w:val="20"/>
                <w:szCs w:val="20"/>
                <w:color w:val="auto"/>
              </w:rPr>
            </w:pPr>
            <w:r>
              <w:rPr>
                <w:rFonts w:ascii="Arial" w:cs="Arial" w:eastAsia="Arial" w:hAnsi="Arial"/>
                <w:sz w:val="18"/>
                <w:szCs w:val="18"/>
                <w:color w:val="auto"/>
              </w:rPr>
              <w:t>Inline XBRL Taxonomy Extension Presentation Linkbase Document</w:t>
            </w:r>
          </w:p>
        </w:tc>
        <w:tc>
          <w:tcPr>
            <w:tcW w:w="1840" w:type="dxa"/>
            <w:vAlign w:val="bottom"/>
          </w:tcPr>
          <w:p>
            <w:pPr>
              <w:jc w:val="center"/>
              <w:ind w:right="67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104</w:t>
            </w:r>
          </w:p>
        </w:tc>
        <w:tc>
          <w:tcPr>
            <w:tcW w:w="5600" w:type="dxa"/>
            <w:vAlign w:val="bottom"/>
            <w:shd w:val="clear" w:color="auto" w:fill="D1D2D4"/>
          </w:tcPr>
          <w:p>
            <w:pPr>
              <w:ind w:left="80"/>
              <w:spacing w:after="0" w:line="176" w:lineRule="exact"/>
              <w:rPr>
                <w:sz w:val="20"/>
                <w:szCs w:val="20"/>
                <w:color w:val="auto"/>
              </w:rPr>
            </w:pPr>
            <w:r>
              <w:rPr>
                <w:rFonts w:ascii="Arial" w:cs="Arial" w:eastAsia="Arial" w:hAnsi="Arial"/>
                <w:sz w:val="18"/>
                <w:szCs w:val="18"/>
                <w:color w:val="auto"/>
              </w:rPr>
              <w:t>Cover Page Interactive Data File (formatted as Inline XBRL and</w:t>
            </w:r>
          </w:p>
        </w:tc>
        <w:tc>
          <w:tcPr>
            <w:tcW w:w="1840" w:type="dxa"/>
            <w:vAlign w:val="bottom"/>
            <w:shd w:val="clear" w:color="auto" w:fill="D1D2D4"/>
          </w:tcPr>
          <w:p>
            <w:pPr>
              <w:jc w:val="center"/>
              <w:ind w:right="670"/>
              <w:spacing w:after="0" w:line="176" w:lineRule="exact"/>
              <w:rPr>
                <w:sz w:val="20"/>
                <w:szCs w:val="20"/>
                <w:color w:val="auto"/>
              </w:rPr>
            </w:pPr>
            <w:r>
              <w:rPr>
                <w:rFonts w:ascii="Arial" w:cs="Arial" w:eastAsia="Arial" w:hAnsi="Arial"/>
                <w:sz w:val="18"/>
                <w:szCs w:val="18"/>
                <w:color w:val="auto"/>
                <w:w w:val="99"/>
              </w:rPr>
              <w:t>X</w:t>
            </w:r>
          </w:p>
        </w:tc>
        <w:tc>
          <w:tcPr>
            <w:tcW w:w="9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8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D1D2D4"/>
          </w:tcPr>
          <w:p>
            <w:pPr>
              <w:spacing w:after="0"/>
              <w:rPr>
                <w:sz w:val="19"/>
                <w:szCs w:val="19"/>
                <w:color w:val="auto"/>
              </w:rPr>
            </w:pPr>
          </w:p>
        </w:tc>
        <w:tc>
          <w:tcPr>
            <w:tcW w:w="5600" w:type="dxa"/>
            <w:vAlign w:val="bottom"/>
            <w:shd w:val="clear" w:color="auto" w:fill="D1D2D4"/>
          </w:tcPr>
          <w:p>
            <w:pPr>
              <w:ind w:left="80"/>
              <w:spacing w:after="0"/>
              <w:rPr>
                <w:sz w:val="20"/>
                <w:szCs w:val="20"/>
                <w:color w:val="auto"/>
              </w:rPr>
            </w:pPr>
            <w:r>
              <w:rPr>
                <w:rFonts w:ascii="Arial" w:cs="Arial" w:eastAsia="Arial" w:hAnsi="Arial"/>
                <w:sz w:val="18"/>
                <w:szCs w:val="18"/>
                <w:color w:val="auto"/>
              </w:rPr>
              <w:t>contained in Exhibit 101)</w:t>
            </w:r>
          </w:p>
        </w:tc>
        <w:tc>
          <w:tcPr>
            <w:tcW w:w="184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SIGNATURES</w:t>
      </w:r>
    </w:p>
    <w:p>
      <w:pPr>
        <w:spacing w:after="0" w:line="24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5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(Registrant)</w:t>
            </w:r>
          </w:p>
        </w:tc>
      </w:tr>
      <w:tr>
        <w:trPr>
          <w:trHeight w:val="723"/>
        </w:trPr>
        <w:tc>
          <w:tcPr>
            <w:tcW w:w="3500" w:type="dxa"/>
            <w:vAlign w:val="bottom"/>
          </w:tcPr>
          <w:p>
            <w:pPr>
              <w:spacing w:after="0"/>
              <w:rPr>
                <w:sz w:val="20"/>
                <w:szCs w:val="20"/>
                <w:color w:val="auto"/>
              </w:rPr>
            </w:pPr>
            <w:r>
              <w:rPr>
                <w:rFonts w:ascii="Arial" w:cs="Arial" w:eastAsia="Arial" w:hAnsi="Arial"/>
                <w:sz w:val="18"/>
                <w:szCs w:val="18"/>
                <w:color w:val="auto"/>
              </w:rPr>
              <w:t>Date:  January 8, 2021</w:t>
            </w:r>
          </w:p>
        </w:tc>
        <w:tc>
          <w:tcPr>
            <w:tcW w:w="7720" w:type="dxa"/>
            <w:vAlign w:val="bottom"/>
            <w:gridSpan w:val="2"/>
          </w:tcPr>
          <w:p>
            <w:pPr>
              <w:ind w:left="1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A. Zinsner</w:t>
            </w:r>
          </w:p>
        </w:tc>
      </w:tr>
      <w:tr>
        <w:trPr>
          <w:trHeight w:val="214"/>
        </w:trPr>
        <w:tc>
          <w:tcPr>
            <w:tcW w:w="3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A. Zinsner</w:t>
            </w:r>
          </w:p>
        </w:tc>
      </w:tr>
      <w:tr>
        <w:trPr>
          <w:trHeight w:val="230"/>
        </w:trPr>
        <w:tc>
          <w:tcPr>
            <w:tcW w:w="3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43"/>
        </w:trPr>
        <w:tc>
          <w:tcPr>
            <w:tcW w:w="35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2"/>
        </w:trPr>
        <w:tc>
          <w:tcPr>
            <w:tcW w:w="3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Scott Allen</w:t>
            </w:r>
          </w:p>
        </w:tc>
      </w:tr>
      <w:tr>
        <w:trPr>
          <w:trHeight w:val="214"/>
        </w:trPr>
        <w:tc>
          <w:tcPr>
            <w:tcW w:w="3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Scott Allen</w:t>
            </w:r>
          </w:p>
        </w:tc>
      </w:tr>
      <w:tr>
        <w:trPr>
          <w:trHeight w:val="229"/>
        </w:trPr>
        <w:tc>
          <w:tcPr>
            <w:tcW w:w="3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Corporate Vice President and Chief Accounting Officer</w:t>
            </w:r>
          </w:p>
        </w:tc>
      </w:tr>
      <w:tr>
        <w:trPr>
          <w:trHeight w:val="243"/>
        </w:trPr>
        <w:tc>
          <w:tcPr>
            <w:tcW w:w="35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Q1 10-Q</w:t>
      </w:r>
    </w:p>
    <w:p>
      <w:pPr>
        <w:sectPr>
          <w:pgSz w:w="11900" w:h="16838" w:orient="portrait"/>
          <w:cols w:equalWidth="0" w:num="1">
            <w:col w:w="11240"/>
          </w:cols>
          <w:pgMar w:left="320" w:top="92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31.1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71"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340" w:right="120" w:hanging="332"/>
        <w:spacing w:after="0" w:line="323"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7"/>
          <w:szCs w:val="17"/>
          <w:color w:val="auto"/>
        </w:rPr>
      </w:pPr>
    </w:p>
    <w:p>
      <w:pPr>
        <w:ind w:left="340" w:right="140" w:hanging="332"/>
        <w:spacing w:after="0" w:line="278"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ind w:left="660" w:right="60" w:hanging="328"/>
        <w:spacing w:after="0" w:line="271" w:lineRule="auto"/>
        <w:tabs>
          <w:tab w:leader="none" w:pos="6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660" w:right="140" w:hanging="328"/>
        <w:spacing w:after="0" w:line="271" w:lineRule="auto"/>
        <w:tabs>
          <w:tab w:leader="none" w:pos="6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660" w:right="80" w:hanging="328"/>
        <w:spacing w:after="0" w:line="271" w:lineRule="auto"/>
        <w:tabs>
          <w:tab w:leader="none" w:pos="651"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660" w:right="400" w:hanging="328"/>
        <w:spacing w:after="0" w:line="271" w:lineRule="auto"/>
        <w:tabs>
          <w:tab w:leader="none" w:pos="6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340" w:right="140" w:hanging="332"/>
        <w:spacing w:after="0" w:line="271"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8"/>
          <w:szCs w:val="18"/>
          <w:color w:val="auto"/>
        </w:rPr>
      </w:pPr>
    </w:p>
    <w:p>
      <w:pPr>
        <w:ind w:left="660" w:right="280" w:hanging="328"/>
        <w:spacing w:after="0" w:line="323" w:lineRule="auto"/>
        <w:tabs>
          <w:tab w:leader="none" w:pos="648"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7"/>
          <w:szCs w:val="17"/>
          <w:color w:val="auto"/>
        </w:rPr>
      </w:pPr>
    </w:p>
    <w:p>
      <w:pPr>
        <w:ind w:left="660" w:right="520" w:hanging="328"/>
        <w:spacing w:after="0" w:line="292" w:lineRule="auto"/>
        <w:tabs>
          <w:tab w:leader="none" w:pos="6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8, 2021</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20320</wp:posOffset>
            </wp:positionV>
            <wp:extent cx="33261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31.2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71"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71"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340" w:right="120" w:hanging="332"/>
        <w:spacing w:after="0" w:line="323"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7"/>
          <w:szCs w:val="17"/>
          <w:color w:val="auto"/>
        </w:rPr>
      </w:pPr>
    </w:p>
    <w:p>
      <w:pPr>
        <w:ind w:left="340" w:right="140" w:hanging="332"/>
        <w:spacing w:after="0" w:line="278"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ind w:left="660" w:right="60" w:hanging="328"/>
        <w:spacing w:after="0" w:line="271"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660" w:right="140" w:hanging="328"/>
        <w:spacing w:after="0" w:line="271"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660" w:right="80" w:hanging="328"/>
        <w:spacing w:after="0" w:line="271" w:lineRule="auto"/>
        <w:tabs>
          <w:tab w:leader="none" w:pos="651"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660" w:right="400" w:hanging="328"/>
        <w:spacing w:after="0" w:line="271"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340" w:right="140" w:hanging="332"/>
        <w:spacing w:after="0" w:line="271"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8"/>
          <w:szCs w:val="18"/>
          <w:color w:val="auto"/>
        </w:rPr>
      </w:pPr>
    </w:p>
    <w:p>
      <w:pPr>
        <w:ind w:left="660" w:right="280" w:hanging="328"/>
        <w:spacing w:after="0" w:line="323" w:lineRule="auto"/>
        <w:tabs>
          <w:tab w:leader="none" w:pos="648"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7"/>
          <w:szCs w:val="17"/>
          <w:color w:val="auto"/>
        </w:rPr>
      </w:pPr>
    </w:p>
    <w:p>
      <w:pPr>
        <w:ind w:left="660" w:right="520" w:hanging="328"/>
        <w:spacing w:after="0" w:line="292"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January 8, 2021</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572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A. Zinsner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98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32.1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3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December 3, 2020,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88" w:lineRule="exact"/>
        <w:rPr>
          <w:sz w:val="20"/>
          <w:szCs w:val="20"/>
          <w:color w:val="auto"/>
        </w:rPr>
      </w:pPr>
    </w:p>
    <w:p>
      <w:pPr>
        <w:ind w:left="60"/>
        <w:spacing w:after="0"/>
        <w:tabs>
          <w:tab w:leader="none" w:pos="680" w:val="left"/>
          <w:tab w:leader="none" w:pos="5600" w:val="left"/>
        </w:tabs>
        <w:rPr>
          <w:sz w:val="20"/>
          <w:szCs w:val="20"/>
          <w:color w:val="auto"/>
        </w:rPr>
      </w:pPr>
      <w:r>
        <w:rPr>
          <w:rFonts w:ascii="Arial" w:cs="Arial" w:eastAsia="Arial" w:hAnsi="Arial"/>
          <w:sz w:val="18"/>
          <w:szCs w:val="18"/>
          <w:color w:val="auto"/>
        </w:rPr>
        <w:t>Date:</w:t>
        <w:tab/>
        <w:t>January 8, 2021</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20320</wp:posOffset>
            </wp:positionV>
            <wp:extent cx="35579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Sanjay Mehrotra</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32.2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3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Quarterly Report of Micron Technology, Inc. on Form 10-Q for the period ended December 3, 2020,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88"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January 8, 2021</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572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A. Zinsner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3"/>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lvl w:ilvl="1">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2021-01-08T11:53:07Z</dcterms:created>
  <dcterms:modified xsi:type="dcterms:W3CDTF">2021-01-08T11:53:07Z</dcterms:modified>
</cp:coreProperties>
</file>