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13,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6"/>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080" w:type="dxa"/>
            <w:vAlign w:val="bottom"/>
          </w:tcPr>
          <w:p>
            <w:pPr>
              <w:jc w:val="center"/>
              <w:ind w:right="50"/>
              <w:spacing w:after="0"/>
              <w:rPr>
                <w:sz w:val="20"/>
                <w:szCs w:val="20"/>
                <w:color w:val="auto"/>
              </w:rPr>
            </w:pPr>
            <w:r>
              <w:rPr>
                <w:rFonts w:ascii="Arial" w:cs="Arial" w:eastAsia="Arial" w:hAnsi="Arial"/>
                <w:sz w:val="18"/>
                <w:szCs w:val="18"/>
                <w:color w:val="auto"/>
                <w:w w:val="99"/>
              </w:rPr>
              <w:t>(Commission File Number)</w:t>
            </w:r>
          </w:p>
        </w:tc>
        <w:tc>
          <w:tcPr>
            <w:tcW w:w="396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53"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21590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52" w:lineRule="exact"/>
        <w:rPr>
          <w:sz w:val="24"/>
          <w:szCs w:val="24"/>
          <w:color w:val="auto"/>
        </w:rPr>
      </w:pPr>
    </w:p>
    <w:p>
      <w:pPr>
        <w:ind w:right="14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4700" w:type="dxa"/>
            <w:vAlign w:val="bottom"/>
            <w:gridSpan w:val="3"/>
          </w:tcPr>
          <w:p>
            <w:pPr>
              <w:jc w:val="center"/>
              <w:ind w:right="120"/>
              <w:spacing w:after="0"/>
              <w:rPr>
                <w:sz w:val="20"/>
                <w:szCs w:val="20"/>
                <w:color w:val="auto"/>
              </w:rPr>
            </w:pPr>
            <w:r>
              <w:rPr>
                <w:rFonts w:ascii="Arial" w:cs="Arial" w:eastAsia="Arial" w:hAnsi="Arial"/>
                <w:sz w:val="18"/>
                <w:szCs w:val="18"/>
                <w:color w:val="auto"/>
              </w:rPr>
              <w:t>Securities registered pursuant to Section 12(b) of the Act:</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80" w:type="dxa"/>
            <w:vAlign w:val="bottom"/>
          </w:tcPr>
          <w:p>
            <w:pPr>
              <w:spacing w:after="0"/>
              <w:rPr>
                <w:sz w:val="21"/>
                <w:szCs w:val="21"/>
                <w:color w:val="auto"/>
              </w:rPr>
            </w:pPr>
          </w:p>
        </w:tc>
      </w:tr>
      <w:tr>
        <w:trPr>
          <w:trHeight w:val="253"/>
        </w:trPr>
        <w:tc>
          <w:tcPr>
            <w:tcW w:w="40" w:type="dxa"/>
            <w:vAlign w:val="bottom"/>
          </w:tcPr>
          <w:p>
            <w:pPr>
              <w:spacing w:after="0"/>
              <w:rPr>
                <w:sz w:val="21"/>
                <w:szCs w:val="21"/>
                <w:color w:val="auto"/>
              </w:rPr>
            </w:pPr>
          </w:p>
        </w:tc>
        <w:tc>
          <w:tcPr>
            <w:tcW w:w="4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6"/>
        </w:trPr>
        <w:tc>
          <w:tcPr>
            <w:tcW w:w="4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20" w:type="dxa"/>
            <w:vAlign w:val="bottom"/>
          </w:tcPr>
          <w:p>
            <w:pPr>
              <w:spacing w:after="0"/>
              <w:rPr>
                <w:sz w:val="20"/>
                <w:szCs w:val="20"/>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72"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340" w:right="280" w:hanging="1322"/>
        <w:spacing w:after="0" w:line="248" w:lineRule="auto"/>
        <w:tabs>
          <w:tab w:leader="none" w:pos="13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(e) Amendment and Restatement of the 2007 Equity Incentive Plan.</w:t>
      </w:r>
    </w:p>
    <w:p>
      <w:pPr>
        <w:spacing w:after="0" w:line="23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At the Fiscal 2020 Annual Meeting of Shareholders (the “Annual Meeting”) of Micron Technology, Inc. (the “Company”) held on January 14, 2021, the Company’s shareholders approved the amendment and restatement of the Company’s 2007 Equity Incentive Plan (as amended and restated, the “2007 Plan”). The 2007 Plan was previously approved by the Company’s Board of Directors, subject to the approval of the Company’s shareholders, and became effective with such shareholder approval on January 14, 2021.</w:t>
      </w:r>
    </w:p>
    <w:p>
      <w:pPr>
        <w:spacing w:after="0" w:line="197"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The amendment and restatement increased the shares reserved for issuance under the 2007 Plan by 35 million and removed certain provisions related to Section 162(m) of the Internal Revenue Code, as described under Proposal 3 of the Company’s definitive proxy statement filed on Schedule 14A with the Securities and Exchange Commission on December 1, 2020, which description is incorporated herein by reference.</w:t>
      </w:r>
    </w:p>
    <w:p>
      <w:pPr>
        <w:spacing w:after="0" w:line="19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foregoing description and the description incorporated by reference from the Company’s proxy statement are qualified in their entirety by reference to the 2007 Plan, a copy of which is filed as Exhibit 10.1 to this report.</w:t>
      </w:r>
    </w:p>
    <w:p>
      <w:pPr>
        <w:spacing w:after="0" w:line="21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7"/>
          <w:szCs w:val="17"/>
          <w:b w:val="1"/>
          <w:bCs w:val="1"/>
          <w:color w:val="auto"/>
        </w:rPr>
        <w:t>Amendments to Articles of Incorporation or Bylaws; Change in Fiscal Year.</w:t>
      </w:r>
    </w:p>
    <w:p>
      <w:pPr>
        <w:spacing w:after="0" w:line="25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On January 13, 2021, the Company’s Board of Directors amended and restated the Company's bylaws (the “Amended and Restated Bylaws”), effective January 14, 2021, to decrease the size of the Board of Directors from eight to seven. This description of the amendment to the Company's bylaws is qualified in its entirety by reference to the text of the Amended and Restated Bylaws filed as Exhibit 3.1 to this report.</w:t>
      </w:r>
    </w:p>
    <w:p>
      <w:pPr>
        <w:spacing w:after="0" w:line="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52" w:lineRule="exact"/>
        <w:rPr>
          <w:sz w:val="20"/>
          <w:szCs w:val="20"/>
          <w:color w:val="auto"/>
        </w:rPr>
      </w:pPr>
    </w:p>
    <w:p>
      <w:pPr>
        <w:ind w:right="860"/>
        <w:spacing w:after="0" w:line="276" w:lineRule="auto"/>
        <w:rPr>
          <w:sz w:val="20"/>
          <w:szCs w:val="20"/>
          <w:color w:val="auto"/>
        </w:rPr>
      </w:pPr>
      <w:r>
        <w:rPr>
          <w:rFonts w:ascii="Arial" w:cs="Arial" w:eastAsia="Arial" w:hAnsi="Arial"/>
          <w:sz w:val="18"/>
          <w:szCs w:val="18"/>
          <w:color w:val="auto"/>
        </w:rPr>
        <w:t>The Annual Meeting was held on January 14, 2021. At the Annual Meeting, the following proposals were submitted to a vote of the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25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duly elected and qualified.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Borders>
              <w:bottom w:val="single" w:sz="8" w:color="0094FF"/>
            </w:tcBorders>
          </w:tcPr>
          <w:p>
            <w:pPr>
              <w:ind w:left="20"/>
              <w:spacing w:after="0"/>
              <w:rPr>
                <w:sz w:val="20"/>
                <w:szCs w:val="20"/>
                <w:color w:val="auto"/>
              </w:rPr>
            </w:pPr>
            <w:r>
              <w:rPr>
                <w:rFonts w:ascii="Arial" w:cs="Arial" w:eastAsia="Arial" w:hAnsi="Arial"/>
                <w:sz w:val="18"/>
                <w:szCs w:val="18"/>
                <w:b w:val="1"/>
                <w:bCs w:val="1"/>
                <w:color w:val="auto"/>
              </w:rPr>
              <w:t>Name of Nominee</w:t>
            </w:r>
          </w:p>
        </w:tc>
        <w:tc>
          <w:tcPr>
            <w:tcW w:w="3120" w:type="dxa"/>
            <w:vAlign w:val="bottom"/>
            <w:tcBorders>
              <w:bottom w:val="single" w:sz="8" w:color="0094FF"/>
            </w:tcBorders>
          </w:tcPr>
          <w:p>
            <w:pPr>
              <w:jc w:val="right"/>
              <w:ind w:right="830"/>
              <w:spacing w:after="0"/>
              <w:rPr>
                <w:sz w:val="20"/>
                <w:szCs w:val="20"/>
                <w:color w:val="auto"/>
              </w:rPr>
            </w:pPr>
            <w:r>
              <w:rPr>
                <w:rFonts w:ascii="Arial" w:cs="Arial" w:eastAsia="Arial" w:hAnsi="Arial"/>
                <w:sz w:val="18"/>
                <w:szCs w:val="18"/>
                <w:b w:val="1"/>
                <w:bCs w:val="1"/>
                <w:color w:val="auto"/>
              </w:rPr>
              <w:t>For</w:t>
            </w:r>
          </w:p>
        </w:tc>
        <w:tc>
          <w:tcPr>
            <w:tcW w:w="1640" w:type="dxa"/>
            <w:vAlign w:val="bottom"/>
            <w:tcBorders>
              <w:bottom w:val="single" w:sz="8" w:color="0094FF"/>
            </w:tcBorders>
          </w:tcPr>
          <w:p>
            <w:pPr>
              <w:jc w:val="right"/>
              <w:ind w:right="630"/>
              <w:spacing w:after="0"/>
              <w:rPr>
                <w:sz w:val="20"/>
                <w:szCs w:val="20"/>
                <w:color w:val="auto"/>
              </w:rPr>
            </w:pPr>
            <w:r>
              <w:rPr>
                <w:rFonts w:ascii="Arial" w:cs="Arial" w:eastAsia="Arial" w:hAnsi="Arial"/>
                <w:sz w:val="18"/>
                <w:szCs w:val="18"/>
                <w:b w:val="1"/>
                <w:bCs w:val="1"/>
                <w:color w:val="auto"/>
              </w:rPr>
              <w:t>Against</w:t>
            </w:r>
          </w:p>
        </w:tc>
        <w:tc>
          <w:tcPr>
            <w:tcW w:w="1440" w:type="dxa"/>
            <w:vAlign w:val="bottom"/>
            <w:tcBorders>
              <w:bottom w:val="single" w:sz="8" w:color="0094FF"/>
            </w:tcBorders>
          </w:tcPr>
          <w:p>
            <w:pPr>
              <w:jc w:val="right"/>
              <w:ind w:right="430"/>
              <w:spacing w:after="0"/>
              <w:rPr>
                <w:sz w:val="20"/>
                <w:szCs w:val="20"/>
                <w:color w:val="auto"/>
              </w:rPr>
            </w:pPr>
            <w:r>
              <w:rPr>
                <w:rFonts w:ascii="Arial" w:cs="Arial" w:eastAsia="Arial" w:hAnsi="Arial"/>
                <w:sz w:val="18"/>
                <w:szCs w:val="18"/>
                <w:b w:val="1"/>
                <w:bCs w:val="1"/>
                <w:color w:val="auto"/>
              </w:rPr>
              <w:t>Abstain</w:t>
            </w:r>
          </w:p>
        </w:tc>
        <w:tc>
          <w:tcPr>
            <w:tcW w:w="1620" w:type="dxa"/>
            <w:vAlign w:val="bottom"/>
            <w:tcBorders>
              <w:bottom w:val="single" w:sz="8" w:color="0094FF"/>
            </w:tcBorders>
          </w:tcPr>
          <w:p>
            <w:pPr>
              <w:jc w:val="right"/>
              <w:spacing w:after="0"/>
              <w:rPr>
                <w:sz w:val="20"/>
                <w:szCs w:val="20"/>
                <w:color w:val="auto"/>
              </w:rPr>
            </w:pPr>
            <w:r>
              <w:rPr>
                <w:rFonts w:ascii="Arial" w:cs="Arial" w:eastAsia="Arial" w:hAnsi="Arial"/>
                <w:sz w:val="18"/>
                <w:szCs w:val="18"/>
                <w:b w:val="1"/>
                <w:bCs w:val="1"/>
                <w:color w:val="auto"/>
              </w:rPr>
              <w:t>Broker Non-Votes</w:t>
            </w:r>
          </w:p>
        </w:tc>
      </w:tr>
      <w:tr>
        <w:trPr>
          <w:trHeight w:val="34"/>
        </w:trPr>
        <w:tc>
          <w:tcPr>
            <w:tcW w:w="34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7"/>
        </w:trPr>
        <w:tc>
          <w:tcPr>
            <w:tcW w:w="3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Richard M. Beyer</w:t>
            </w:r>
          </w:p>
        </w:tc>
        <w:tc>
          <w:tcPr>
            <w:tcW w:w="31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820,874,513</w:t>
            </w:r>
          </w:p>
        </w:tc>
        <w:tc>
          <w:tcPr>
            <w:tcW w:w="16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3,934,541</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878,638</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106,783,758</w:t>
            </w:r>
          </w:p>
        </w:tc>
      </w:tr>
      <w:tr>
        <w:trPr>
          <w:trHeight w:val="256"/>
        </w:trPr>
        <w:tc>
          <w:tcPr>
            <w:tcW w:w="3420" w:type="dxa"/>
            <w:vAlign w:val="bottom"/>
          </w:tcPr>
          <w:p>
            <w:pPr>
              <w:ind w:left="20"/>
              <w:spacing w:after="0"/>
              <w:rPr>
                <w:sz w:val="20"/>
                <w:szCs w:val="20"/>
                <w:color w:val="auto"/>
              </w:rPr>
            </w:pPr>
            <w:r>
              <w:rPr>
                <w:rFonts w:ascii="Arial" w:cs="Arial" w:eastAsia="Arial" w:hAnsi="Arial"/>
                <w:sz w:val="18"/>
                <w:szCs w:val="18"/>
                <w:color w:val="auto"/>
              </w:rPr>
              <w:t>Lynn A. Dugle</w:t>
            </w:r>
          </w:p>
        </w:tc>
        <w:tc>
          <w:tcPr>
            <w:tcW w:w="3120" w:type="dxa"/>
            <w:vAlign w:val="bottom"/>
          </w:tcPr>
          <w:p>
            <w:pPr>
              <w:jc w:val="right"/>
              <w:ind w:right="170"/>
              <w:spacing w:after="0"/>
              <w:rPr>
                <w:sz w:val="20"/>
                <w:szCs w:val="20"/>
                <w:color w:val="auto"/>
              </w:rPr>
            </w:pPr>
            <w:r>
              <w:rPr>
                <w:rFonts w:ascii="Arial" w:cs="Arial" w:eastAsia="Arial" w:hAnsi="Arial"/>
                <w:sz w:val="18"/>
                <w:szCs w:val="18"/>
                <w:color w:val="auto"/>
              </w:rPr>
              <w:t>818,997,377</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5,850,647</w:t>
            </w:r>
          </w:p>
        </w:tc>
        <w:tc>
          <w:tcPr>
            <w:tcW w:w="1440" w:type="dxa"/>
            <w:vAlign w:val="bottom"/>
          </w:tcPr>
          <w:p>
            <w:pPr>
              <w:jc w:val="right"/>
              <w:spacing w:after="0"/>
              <w:rPr>
                <w:sz w:val="20"/>
                <w:szCs w:val="20"/>
                <w:color w:val="auto"/>
              </w:rPr>
            </w:pPr>
            <w:r>
              <w:rPr>
                <w:rFonts w:ascii="Arial" w:cs="Arial" w:eastAsia="Arial" w:hAnsi="Arial"/>
                <w:sz w:val="18"/>
                <w:szCs w:val="18"/>
                <w:color w:val="auto"/>
              </w:rPr>
              <w:t>839,668</w:t>
            </w:r>
          </w:p>
        </w:tc>
        <w:tc>
          <w:tcPr>
            <w:tcW w:w="1620" w:type="dxa"/>
            <w:vAlign w:val="bottom"/>
          </w:tcPr>
          <w:p>
            <w:pPr>
              <w:jc w:val="right"/>
              <w:spacing w:after="0"/>
              <w:rPr>
                <w:sz w:val="20"/>
                <w:szCs w:val="20"/>
                <w:color w:val="auto"/>
              </w:rPr>
            </w:pPr>
            <w:r>
              <w:rPr>
                <w:rFonts w:ascii="Arial" w:cs="Arial" w:eastAsia="Arial" w:hAnsi="Arial"/>
                <w:sz w:val="18"/>
                <w:szCs w:val="18"/>
                <w:color w:val="auto"/>
              </w:rPr>
              <w:t>106,783,758</w:t>
            </w:r>
          </w:p>
        </w:tc>
      </w:tr>
      <w:tr>
        <w:trPr>
          <w:trHeight w:val="257"/>
        </w:trPr>
        <w:tc>
          <w:tcPr>
            <w:tcW w:w="3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Steven J. Gomo</w:t>
            </w:r>
          </w:p>
        </w:tc>
        <w:tc>
          <w:tcPr>
            <w:tcW w:w="31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813,584,345</w:t>
            </w:r>
          </w:p>
        </w:tc>
        <w:tc>
          <w:tcPr>
            <w:tcW w:w="16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11,409,469</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693,878</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106,783,758</w:t>
            </w:r>
          </w:p>
        </w:tc>
      </w:tr>
      <w:tr>
        <w:trPr>
          <w:trHeight w:val="256"/>
        </w:trPr>
        <w:tc>
          <w:tcPr>
            <w:tcW w:w="3420" w:type="dxa"/>
            <w:vAlign w:val="bottom"/>
          </w:tcPr>
          <w:p>
            <w:pPr>
              <w:ind w:left="20"/>
              <w:spacing w:after="0"/>
              <w:rPr>
                <w:sz w:val="20"/>
                <w:szCs w:val="20"/>
                <w:color w:val="auto"/>
              </w:rPr>
            </w:pPr>
            <w:r>
              <w:rPr>
                <w:rFonts w:ascii="Arial" w:cs="Arial" w:eastAsia="Arial" w:hAnsi="Arial"/>
                <w:sz w:val="18"/>
                <w:szCs w:val="18"/>
                <w:color w:val="auto"/>
              </w:rPr>
              <w:t>Mary Pat McCarthy</w:t>
            </w:r>
          </w:p>
        </w:tc>
        <w:tc>
          <w:tcPr>
            <w:tcW w:w="3120" w:type="dxa"/>
            <w:vAlign w:val="bottom"/>
          </w:tcPr>
          <w:p>
            <w:pPr>
              <w:jc w:val="right"/>
              <w:ind w:right="170"/>
              <w:spacing w:after="0"/>
              <w:rPr>
                <w:sz w:val="20"/>
                <w:szCs w:val="20"/>
                <w:color w:val="auto"/>
              </w:rPr>
            </w:pPr>
            <w:r>
              <w:rPr>
                <w:rFonts w:ascii="Arial" w:cs="Arial" w:eastAsia="Arial" w:hAnsi="Arial"/>
                <w:sz w:val="18"/>
                <w:szCs w:val="18"/>
                <w:color w:val="auto"/>
              </w:rPr>
              <w:t>824,254,614</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805,068</w:t>
            </w:r>
          </w:p>
        </w:tc>
        <w:tc>
          <w:tcPr>
            <w:tcW w:w="1440" w:type="dxa"/>
            <w:vAlign w:val="bottom"/>
          </w:tcPr>
          <w:p>
            <w:pPr>
              <w:jc w:val="right"/>
              <w:spacing w:after="0"/>
              <w:rPr>
                <w:sz w:val="20"/>
                <w:szCs w:val="20"/>
                <w:color w:val="auto"/>
              </w:rPr>
            </w:pPr>
            <w:r>
              <w:rPr>
                <w:rFonts w:ascii="Arial" w:cs="Arial" w:eastAsia="Arial" w:hAnsi="Arial"/>
                <w:sz w:val="18"/>
                <w:szCs w:val="18"/>
                <w:color w:val="auto"/>
              </w:rPr>
              <w:t>628,010</w:t>
            </w:r>
          </w:p>
        </w:tc>
        <w:tc>
          <w:tcPr>
            <w:tcW w:w="1620" w:type="dxa"/>
            <w:vAlign w:val="bottom"/>
          </w:tcPr>
          <w:p>
            <w:pPr>
              <w:jc w:val="right"/>
              <w:spacing w:after="0"/>
              <w:rPr>
                <w:sz w:val="20"/>
                <w:szCs w:val="20"/>
                <w:color w:val="auto"/>
              </w:rPr>
            </w:pPr>
            <w:r>
              <w:rPr>
                <w:rFonts w:ascii="Arial" w:cs="Arial" w:eastAsia="Arial" w:hAnsi="Arial"/>
                <w:sz w:val="18"/>
                <w:szCs w:val="18"/>
                <w:color w:val="auto"/>
              </w:rPr>
              <w:t>106,783,758</w:t>
            </w:r>
          </w:p>
        </w:tc>
      </w:tr>
      <w:tr>
        <w:trPr>
          <w:trHeight w:val="257"/>
        </w:trPr>
        <w:tc>
          <w:tcPr>
            <w:tcW w:w="3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Sanjay Mehrotra</w:t>
            </w:r>
          </w:p>
        </w:tc>
        <w:tc>
          <w:tcPr>
            <w:tcW w:w="31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824,337,931</w:t>
            </w:r>
          </w:p>
        </w:tc>
        <w:tc>
          <w:tcPr>
            <w:tcW w:w="16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757,944</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591,817</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106,783,758</w:t>
            </w:r>
          </w:p>
        </w:tc>
      </w:tr>
      <w:tr>
        <w:trPr>
          <w:trHeight w:val="256"/>
        </w:trPr>
        <w:tc>
          <w:tcPr>
            <w:tcW w:w="3420" w:type="dxa"/>
            <w:vAlign w:val="bottom"/>
          </w:tcPr>
          <w:p>
            <w:pPr>
              <w:ind w:left="20"/>
              <w:spacing w:after="0"/>
              <w:rPr>
                <w:sz w:val="20"/>
                <w:szCs w:val="20"/>
                <w:color w:val="auto"/>
              </w:rPr>
            </w:pPr>
            <w:r>
              <w:rPr>
                <w:rFonts w:ascii="Arial" w:cs="Arial" w:eastAsia="Arial" w:hAnsi="Arial"/>
                <w:sz w:val="18"/>
                <w:szCs w:val="18"/>
                <w:color w:val="auto"/>
              </w:rPr>
              <w:t>Robert E. Switz</w:t>
            </w:r>
          </w:p>
        </w:tc>
        <w:tc>
          <w:tcPr>
            <w:tcW w:w="3120" w:type="dxa"/>
            <w:vAlign w:val="bottom"/>
          </w:tcPr>
          <w:p>
            <w:pPr>
              <w:jc w:val="right"/>
              <w:ind w:right="170"/>
              <w:spacing w:after="0"/>
              <w:rPr>
                <w:sz w:val="20"/>
                <w:szCs w:val="20"/>
                <w:color w:val="auto"/>
              </w:rPr>
            </w:pPr>
            <w:r>
              <w:rPr>
                <w:rFonts w:ascii="Arial" w:cs="Arial" w:eastAsia="Arial" w:hAnsi="Arial"/>
                <w:sz w:val="18"/>
                <w:szCs w:val="18"/>
                <w:color w:val="auto"/>
              </w:rPr>
              <w:t>799,575,722</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25,402,948</w:t>
            </w:r>
          </w:p>
        </w:tc>
        <w:tc>
          <w:tcPr>
            <w:tcW w:w="1440" w:type="dxa"/>
            <w:vAlign w:val="bottom"/>
          </w:tcPr>
          <w:p>
            <w:pPr>
              <w:jc w:val="right"/>
              <w:spacing w:after="0"/>
              <w:rPr>
                <w:sz w:val="20"/>
                <w:szCs w:val="20"/>
                <w:color w:val="auto"/>
              </w:rPr>
            </w:pPr>
            <w:r>
              <w:rPr>
                <w:rFonts w:ascii="Arial" w:cs="Arial" w:eastAsia="Arial" w:hAnsi="Arial"/>
                <w:sz w:val="18"/>
                <w:szCs w:val="18"/>
                <w:color w:val="auto"/>
              </w:rPr>
              <w:t>709,022</w:t>
            </w:r>
          </w:p>
        </w:tc>
        <w:tc>
          <w:tcPr>
            <w:tcW w:w="1620" w:type="dxa"/>
            <w:vAlign w:val="bottom"/>
          </w:tcPr>
          <w:p>
            <w:pPr>
              <w:jc w:val="right"/>
              <w:spacing w:after="0"/>
              <w:rPr>
                <w:sz w:val="20"/>
                <w:szCs w:val="20"/>
                <w:color w:val="auto"/>
              </w:rPr>
            </w:pPr>
            <w:r>
              <w:rPr>
                <w:rFonts w:ascii="Arial" w:cs="Arial" w:eastAsia="Arial" w:hAnsi="Arial"/>
                <w:sz w:val="18"/>
                <w:szCs w:val="18"/>
                <w:color w:val="auto"/>
              </w:rPr>
              <w:t>106,783,758</w:t>
            </w:r>
          </w:p>
        </w:tc>
      </w:tr>
      <w:tr>
        <w:trPr>
          <w:trHeight w:val="257"/>
        </w:trPr>
        <w:tc>
          <w:tcPr>
            <w:tcW w:w="3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MaryAnn Wright</w:t>
            </w:r>
          </w:p>
        </w:tc>
        <w:tc>
          <w:tcPr>
            <w:tcW w:w="312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821,172,787</w:t>
            </w:r>
          </w:p>
        </w:tc>
        <w:tc>
          <w:tcPr>
            <w:tcW w:w="16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3,888,721</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626,184</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106,783,758</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254" w:lineRule="exact"/>
        <w:rPr>
          <w:sz w:val="20"/>
          <w:szCs w:val="20"/>
          <w:color w:val="auto"/>
        </w:rPr>
      </w:pPr>
    </w:p>
    <w:p>
      <w:pPr>
        <w:jc w:val="both"/>
        <w:ind w:right="780"/>
        <w:spacing w:after="0" w:line="255" w:lineRule="auto"/>
        <w:rPr>
          <w:sz w:val="20"/>
          <w:szCs w:val="20"/>
          <w:color w:val="auto"/>
        </w:rPr>
      </w:pPr>
      <w:r>
        <w:rPr>
          <w:rFonts w:ascii="Arial" w:cs="Arial" w:eastAsia="Arial" w:hAnsi="Arial"/>
          <w:sz w:val="18"/>
          <w:szCs w:val="18"/>
          <w:color w:val="auto"/>
        </w:rPr>
        <w:t>The proposal by the Company to approve a non-binding resolution to approve the compensation of its Named Executive Officers as described in the Company’s proxy statement was approved with 701,422,613 votes in favor, 123,120,396 votes against, 1,144,683 abstentions, and 106,783,758 broker non-votes.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2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proposal by the Company to approve the 2007 Plan and increase the shares reserved for issuance thereunder by 35 million as described in the Company’s proxy statement was approved with 798,147,169 votes in favor, 26,698,437 votes against, 842,086 abstentions, and 106,783,758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Proposal 4</w:t>
      </w:r>
    </w:p>
    <w:p>
      <w:pPr>
        <w:spacing w:after="0" w:line="254"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ending September 2, 2021, was approved with 887,884,804 votes in favor, 43,704,797 votes against, 881,849 abstentions, and no broker non-votes.</w:t>
      </w:r>
    </w:p>
    <w:p>
      <w:pPr>
        <w:spacing w:after="0" w:line="22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2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56"/>
        </w:trPr>
        <w:tc>
          <w:tcPr>
            <w:tcW w:w="1620" w:type="dxa"/>
            <w:vAlign w:val="bottom"/>
          </w:tcPr>
          <w:p>
            <w:pPr>
              <w:jc w:val="center"/>
              <w:ind w:right="190"/>
              <w:spacing w:after="0"/>
              <w:rPr>
                <w:sz w:val="20"/>
                <w:szCs w:val="20"/>
                <w:color w:val="auto"/>
              </w:rPr>
            </w:pPr>
            <w:r>
              <w:rPr>
                <w:rFonts w:ascii="Arial" w:cs="Arial" w:eastAsia="Arial" w:hAnsi="Arial"/>
                <w:sz w:val="18"/>
                <w:szCs w:val="18"/>
                <w:color w:val="auto"/>
              </w:rPr>
              <w:t>3.1</w:t>
            </w:r>
          </w:p>
        </w:tc>
        <w:tc>
          <w:tcPr>
            <w:tcW w:w="962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Amended and Restated Bylaws as of January 14, 2021</w:t>
              </w:r>
            </w:hyperlink>
          </w:p>
        </w:tc>
        <w:tc>
          <w:tcPr>
            <w:tcW w:w="0" w:type="dxa"/>
            <w:vAlign w:val="bottom"/>
          </w:tcPr>
          <w:p>
            <w:pPr>
              <w:spacing w:after="0"/>
              <w:rPr>
                <w:sz w:val="1"/>
                <w:szCs w:val="1"/>
                <w:color w:val="auto"/>
              </w:rPr>
            </w:pPr>
          </w:p>
        </w:tc>
      </w:tr>
      <w:tr>
        <w:trPr>
          <w:trHeight w:val="225"/>
        </w:trPr>
        <w:tc>
          <w:tcPr>
            <w:tcW w:w="1620" w:type="dxa"/>
            <w:vAlign w:val="bottom"/>
          </w:tcPr>
          <w:p>
            <w:pPr>
              <w:jc w:val="center"/>
              <w:ind w:right="190"/>
              <w:spacing w:after="0"/>
              <w:rPr>
                <w:sz w:val="20"/>
                <w:szCs w:val="20"/>
                <w:color w:val="auto"/>
              </w:rPr>
            </w:pPr>
            <w:r>
              <w:rPr>
                <w:rFonts w:ascii="Arial" w:cs="Arial" w:eastAsia="Arial" w:hAnsi="Arial"/>
                <w:sz w:val="18"/>
                <w:szCs w:val="18"/>
                <w:color w:val="auto"/>
                <w:w w:val="96"/>
              </w:rPr>
              <w:t>10.1</w:t>
            </w:r>
          </w:p>
        </w:tc>
        <w:tc>
          <w:tcPr>
            <w:tcW w:w="9500" w:type="dxa"/>
            <w:vAlign w:val="bottom"/>
            <w:tcBorders>
              <w:bottom w:val="single" w:sz="8" w:color="0000FF"/>
            </w:tcBorders>
            <w:gridSpan w:val="2"/>
          </w:tcPr>
          <w:p>
            <w:pPr>
              <w:spacing w:after="0"/>
              <w:rPr>
                <w:rFonts w:ascii="Arial" w:cs="Arial" w:eastAsia="Arial" w:hAnsi="Arial"/>
                <w:sz w:val="18"/>
                <w:szCs w:val="18"/>
                <w:color w:val="0000FF"/>
                <w:w w:val="99"/>
              </w:rPr>
            </w:pPr>
            <w:hyperlink r:id="rId18">
              <w:r>
                <w:rPr>
                  <w:rFonts w:ascii="Arial" w:cs="Arial" w:eastAsia="Arial" w:hAnsi="Arial"/>
                  <w:sz w:val="18"/>
                  <w:szCs w:val="18"/>
                  <w:color w:val="0000FF"/>
                  <w:w w:val="99"/>
                </w:rPr>
                <w:t>Amended and Restated 2007 Equity Incentive Plan, filed as Appendix A of the Company’s definitive proxy statement on</w:t>
              </w:r>
            </w:hyperlink>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9620" w:type="dxa"/>
            <w:vAlign w:val="bottom"/>
            <w:gridSpan w:val="3"/>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Schedule 14A, filed on December 1, 2020</w:t>
              </w:r>
            </w:hyperlink>
          </w:p>
        </w:tc>
        <w:tc>
          <w:tcPr>
            <w:tcW w:w="0" w:type="dxa"/>
            <w:vAlign w:val="bottom"/>
          </w:tcPr>
          <w:p>
            <w:pPr>
              <w:spacing w:after="0"/>
              <w:rPr>
                <w:sz w:val="1"/>
                <w:szCs w:val="1"/>
                <w:color w:val="auto"/>
              </w:rPr>
            </w:pPr>
          </w:p>
        </w:tc>
      </w:tr>
      <w:tr>
        <w:trPr>
          <w:trHeight w:val="20"/>
        </w:trPr>
        <w:tc>
          <w:tcPr>
            <w:tcW w:w="1620" w:type="dxa"/>
            <w:vAlign w:val="bottom"/>
            <w:vMerge w:val="restart"/>
          </w:tcPr>
          <w:p>
            <w:pPr>
              <w:jc w:val="center"/>
              <w:ind w:right="190"/>
              <w:spacing w:after="0"/>
              <w:rPr>
                <w:sz w:val="20"/>
                <w:szCs w:val="20"/>
                <w:color w:val="auto"/>
              </w:rPr>
            </w:pPr>
            <w:r>
              <w:rPr>
                <w:rFonts w:ascii="Arial" w:cs="Arial" w:eastAsia="Arial" w:hAnsi="Arial"/>
                <w:sz w:val="18"/>
                <w:szCs w:val="18"/>
                <w:color w:val="auto"/>
                <w:w w:val="99"/>
              </w:rPr>
              <w:t>104</w:t>
            </w:r>
          </w:p>
        </w:tc>
        <w:tc>
          <w:tcPr>
            <w:tcW w:w="3320" w:type="dxa"/>
            <w:vAlign w:val="bottom"/>
            <w:shd w:val="clear" w:color="auto" w:fill="0000FF"/>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620" w:type="dxa"/>
            <w:vAlign w:val="bottom"/>
            <w:vMerge w:val="continue"/>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502"/>
        </w:trPr>
        <w:tc>
          <w:tcPr>
            <w:tcW w:w="16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4"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860" w:type="dxa"/>
            <w:vAlign w:val="bottom"/>
          </w:tcPr>
          <w:p>
            <w:pPr>
              <w:spacing w:after="0"/>
              <w:rPr>
                <w:sz w:val="21"/>
                <w:szCs w:val="21"/>
                <w:color w:val="auto"/>
              </w:rPr>
            </w:pPr>
          </w:p>
        </w:tc>
        <w:tc>
          <w:tcPr>
            <w:tcW w:w="7360" w:type="dxa"/>
            <w:vAlign w:val="bottom"/>
            <w:gridSpan w:val="2"/>
          </w:tcPr>
          <w:p>
            <w:pPr>
              <w:ind w:left="1740"/>
              <w:spacing w:after="0"/>
              <w:rPr>
                <w:sz w:val="20"/>
                <w:szCs w:val="20"/>
                <w:color w:val="auto"/>
              </w:rPr>
            </w:pPr>
            <w:r>
              <w:rPr>
                <w:rFonts w:ascii="Arial" w:cs="Arial" w:eastAsia="Arial" w:hAnsi="Arial"/>
                <w:sz w:val="18"/>
                <w:szCs w:val="18"/>
                <w:b w:val="1"/>
                <w:bCs w:val="1"/>
                <w:color w:val="auto"/>
              </w:rPr>
              <w:t>MICRON TECHNOLOGY, INC.</w:t>
            </w:r>
          </w:p>
        </w:tc>
      </w:tr>
      <w:tr>
        <w:trPr>
          <w:trHeight w:val="730"/>
        </w:trPr>
        <w:tc>
          <w:tcPr>
            <w:tcW w:w="3860" w:type="dxa"/>
            <w:vAlign w:val="bottom"/>
          </w:tcPr>
          <w:p>
            <w:pPr>
              <w:spacing w:after="0"/>
              <w:rPr>
                <w:sz w:val="20"/>
                <w:szCs w:val="20"/>
                <w:color w:val="auto"/>
              </w:rPr>
            </w:pPr>
            <w:r>
              <w:rPr>
                <w:rFonts w:ascii="Arial" w:cs="Arial" w:eastAsia="Arial" w:hAnsi="Arial"/>
                <w:sz w:val="18"/>
                <w:szCs w:val="18"/>
                <w:color w:val="auto"/>
              </w:rPr>
              <w:t>Date:   January 15, 2021</w:t>
            </w:r>
          </w:p>
        </w:tc>
        <w:tc>
          <w:tcPr>
            <w:tcW w:w="2500" w:type="dxa"/>
            <w:vAlign w:val="bottom"/>
          </w:tcPr>
          <w:p>
            <w:pPr>
              <w:ind w:left="17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14"/>
        </w:trPr>
        <w:tc>
          <w:tcPr>
            <w:tcW w:w="3860" w:type="dxa"/>
            <w:vAlign w:val="bottom"/>
          </w:tcPr>
          <w:p>
            <w:pPr>
              <w:spacing w:after="0"/>
              <w:rPr>
                <w:sz w:val="18"/>
                <w:szCs w:val="18"/>
                <w:color w:val="auto"/>
              </w:rPr>
            </w:pPr>
          </w:p>
        </w:tc>
        <w:tc>
          <w:tcPr>
            <w:tcW w:w="2500" w:type="dxa"/>
            <w:vAlign w:val="bottom"/>
          </w:tcPr>
          <w:p>
            <w:pPr>
              <w:ind w:left="174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43"/>
        </w:trPr>
        <w:tc>
          <w:tcPr>
            <w:tcW w:w="3860" w:type="dxa"/>
            <w:vAlign w:val="bottom"/>
          </w:tcPr>
          <w:p>
            <w:pPr>
              <w:spacing w:after="0"/>
              <w:rPr>
                <w:sz w:val="21"/>
                <w:szCs w:val="21"/>
                <w:color w:val="auto"/>
              </w:rPr>
            </w:pPr>
          </w:p>
        </w:tc>
        <w:tc>
          <w:tcPr>
            <w:tcW w:w="2500" w:type="dxa"/>
            <w:vAlign w:val="bottom"/>
          </w:tcPr>
          <w:p>
            <w:pPr>
              <w:ind w:left="174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112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jc w:val="center"/>
        <w:spacing w:after="0"/>
        <w:rPr>
          <w:sz w:val="20"/>
          <w:szCs w:val="20"/>
          <w:color w:val="auto"/>
        </w:rPr>
      </w:pPr>
      <w:r>
        <w:rPr>
          <w:rFonts w:ascii="Arial" w:cs="Arial" w:eastAsia="Arial" w:hAnsi="Arial"/>
          <w:sz w:val="20"/>
          <w:szCs w:val="20"/>
          <w:b w:val="1"/>
          <w:bCs w:val="1"/>
          <w:color w:val="auto"/>
        </w:rPr>
        <w:t>Bylaws</w:t>
      </w:r>
    </w:p>
    <w:p>
      <w:pPr>
        <w:jc w:val="center"/>
        <w:spacing w:after="0"/>
        <w:rPr>
          <w:sz w:val="20"/>
          <w:szCs w:val="20"/>
          <w:color w:val="auto"/>
        </w:rPr>
      </w:pPr>
      <w:r>
        <w:rPr>
          <w:rFonts w:ascii="Arial" w:cs="Arial" w:eastAsia="Arial" w:hAnsi="Arial"/>
          <w:sz w:val="20"/>
          <w:szCs w:val="20"/>
          <w:b w:val="1"/>
          <w:bCs w:val="1"/>
          <w:color w:val="auto"/>
        </w:rPr>
        <w:t>(Amended and Restated as of January 14, 2021)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CORPORATE OFFICES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Registered Office.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shall be fixed in the corporation’s Certificate of Incorporation, as the same may be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Other Offices.</w:t>
      </w:r>
    </w:p>
    <w:p>
      <w:pPr>
        <w:spacing w:after="0" w:line="24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Place of Meetings.</w:t>
      </w:r>
    </w:p>
    <w:p>
      <w:pPr>
        <w:spacing w:after="0" w:line="241" w:lineRule="exact"/>
        <w:rPr>
          <w:sz w:val="20"/>
          <w:szCs w:val="20"/>
          <w:color w:val="auto"/>
        </w:rPr>
      </w:pPr>
    </w:p>
    <w:p>
      <w:pPr>
        <w:ind w:right="20" w:firstLine="648"/>
        <w:spacing w:after="0" w:line="306" w:lineRule="auto"/>
        <w:rPr>
          <w:sz w:val="20"/>
          <w:szCs w:val="20"/>
          <w:color w:val="auto"/>
        </w:rPr>
      </w:pPr>
      <w:r>
        <w:rPr>
          <w:rFonts w:ascii="Arial" w:cs="Arial" w:eastAsia="Arial" w:hAnsi="Arial"/>
          <w:sz w:val="17"/>
          <w:szCs w:val="17"/>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Annual Meeting.</w:t>
      </w:r>
    </w:p>
    <w:p>
      <w:pPr>
        <w:spacing w:after="0" w:line="241" w:lineRule="exact"/>
        <w:rPr>
          <w:sz w:val="20"/>
          <w:szCs w:val="20"/>
          <w:color w:val="auto"/>
        </w:rPr>
      </w:pPr>
    </w:p>
    <w:p>
      <w:pPr>
        <w:jc w:val="both"/>
        <w:ind w:right="160" w:firstLine="648"/>
        <w:spacing w:after="0" w:line="255" w:lineRule="auto"/>
        <w:rPr>
          <w:sz w:val="20"/>
          <w:szCs w:val="20"/>
          <w:color w:val="auto"/>
        </w:rPr>
      </w:pPr>
      <w:r>
        <w:rPr>
          <w:rFonts w:ascii="Arial" w:cs="Arial" w:eastAsia="Arial" w:hAnsi="Arial"/>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Notice of Stockholder Meeting.</w:t>
      </w:r>
    </w:p>
    <w:p>
      <w:pPr>
        <w:spacing w:after="0" w:line="241"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law, the Certificate of Incorporation or these Bylaws, the written notice of any meeting of stockholders shall be given not less than ten (10) nor more than sixty (60) days before the date of the meeting to each stockholder entitled to vote at such meeting as of the record date for determining the stockholders entitled to notice of the meeting.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List of Stockholders Entitled to Vote.</w:t>
      </w:r>
    </w:p>
    <w:p>
      <w:pPr>
        <w:spacing w:after="0" w:line="241" w:lineRule="exact"/>
        <w:rPr>
          <w:sz w:val="20"/>
          <w:szCs w:val="20"/>
          <w:color w:val="auto"/>
        </w:rPr>
      </w:pPr>
    </w:p>
    <w:p>
      <w:pPr>
        <w:ind w:right="320" w:firstLine="648"/>
        <w:spacing w:after="0" w:line="245" w:lineRule="auto"/>
        <w:rPr>
          <w:sz w:val="20"/>
          <w:szCs w:val="20"/>
          <w:color w:val="auto"/>
        </w:rPr>
      </w:pPr>
      <w:r>
        <w:rPr>
          <w:rFonts w:ascii="Arial" w:cs="Arial" w:eastAsia="Arial" w:hAnsi="Arial"/>
          <w:sz w:val="18"/>
          <w:szCs w:val="18"/>
          <w:color w:val="auto"/>
        </w:rPr>
        <w:t>The officer who has charge of the stock ledger of the corporation shall prepare and make, at least ten (10) days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4"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open to the examination of any stockholder, for any purpose germane to the meeting for a period of at least ten (10) days prior to the meeting</w:t>
      </w:r>
    </w:p>
    <w:p>
      <w:pPr>
        <w:spacing w:after="0" w:line="29" w:lineRule="exact"/>
        <w:rPr>
          <w:sz w:val="20"/>
          <w:szCs w:val="20"/>
          <w:color w:val="auto"/>
        </w:rPr>
      </w:pPr>
    </w:p>
    <w:p>
      <w:pPr>
        <w:ind w:right="120" w:firstLine="8"/>
        <w:spacing w:after="0" w:line="237"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 reasonably accessible electronic network, provided that the information required to gain access to such list is provided with the notice of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meeting.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Special Meetings.</w:t>
      </w:r>
    </w:p>
    <w:p>
      <w:pPr>
        <w:spacing w:after="0" w:line="241" w:lineRule="exact"/>
        <w:rPr>
          <w:sz w:val="20"/>
          <w:szCs w:val="20"/>
          <w:color w:val="auto"/>
        </w:rPr>
      </w:pPr>
    </w:p>
    <w:p>
      <w:pPr>
        <w:ind w:right="80" w:firstLine="656"/>
        <w:spacing w:after="0" w:line="205" w:lineRule="exact"/>
        <w:tabs>
          <w:tab w:leader="none" w:pos="918"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 meetings of the stockholders, for any purpose or purposes, unless otherwise prescribed by law or by the Certificate of Incorporation, may be called by the Board of Directors, the Chairman of the Board, the Chief Executive Officer, or by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or Section 11(c) of this Article II, as applicable.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w:t>
      </w:r>
      <w:r>
        <w:rPr>
          <w:rFonts w:ascii="MS PGothic" w:cs="MS PGothic" w:eastAsia="MS PGothic" w:hAnsi="MS PGothic"/>
          <w:sz w:val="18"/>
          <w:szCs w:val="18"/>
          <w:color w:val="auto"/>
        </w:rPr>
        <w:t>‑</w:t>
      </w:r>
      <w:r>
        <w:rPr>
          <w:rFonts w:ascii="Arial" w:cs="Arial" w:eastAsia="Arial" w:hAnsi="Arial"/>
          <w:sz w:val="18"/>
          <w:szCs w:val="18"/>
          <w:color w:val="auto"/>
        </w:rPr>
        <w:t>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214" w:lineRule="exact"/>
        <w:rPr>
          <w:rFonts w:ascii="Arial" w:cs="Arial" w:eastAsia="Arial" w:hAnsi="Arial"/>
          <w:sz w:val="18"/>
          <w:szCs w:val="18"/>
          <w:color w:val="auto"/>
        </w:rPr>
      </w:pPr>
    </w:p>
    <w:p>
      <w:pPr>
        <w:ind w:right="260" w:firstLine="656"/>
        <w:spacing w:after="0" w:line="255" w:lineRule="auto"/>
        <w:tabs>
          <w:tab w:leader="none" w:pos="918"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Quorum.</w:t>
      </w:r>
    </w:p>
    <w:p>
      <w:pPr>
        <w:spacing w:after="0" w:line="241" w:lineRule="exact"/>
        <w:rPr>
          <w:sz w:val="20"/>
          <w:szCs w:val="20"/>
          <w:color w:val="auto"/>
        </w:rPr>
      </w:pPr>
    </w:p>
    <w:p>
      <w:pPr>
        <w:ind w:right="100" w:firstLine="648"/>
        <w:spacing w:after="0" w:line="245" w:lineRule="auto"/>
        <w:rPr>
          <w:sz w:val="20"/>
          <w:szCs w:val="20"/>
          <w:color w:val="auto"/>
        </w:rPr>
      </w:pPr>
      <w:r>
        <w:rPr>
          <w:rFonts w:ascii="Arial" w:cs="Arial" w:eastAsia="Arial" w:hAnsi="Arial"/>
          <w:sz w:val="18"/>
          <w:szCs w:val="18"/>
          <w:color w:val="auto"/>
        </w:rPr>
        <w:t>The holders of a majority in voting power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thereat may, by a majority in voting power thereof, adjourn the meeting from time to time in the manner provided by this Article II until a quorum shall be present or represented.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Adjourned Meeting Notice.</w:t>
      </w:r>
    </w:p>
    <w:p>
      <w:pPr>
        <w:spacing w:after="0" w:line="24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Any meeting of stockholders, annual or special, may adjourn from time to time to reconvene at the same or some other place, and notice need not be given of any such reconvened meeting if the time, place, if any, and means of remote communications are announced at the meeting at which the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13" w:right="359" w:bottom="1440" w:gutter="0" w:footer="0" w:header="0"/>
        </w:sectPr>
      </w:pPr>
    </w:p>
    <w:bookmarkStart w:id="6" w:name="page7"/>
    <w:bookmarkEnd w:id="6"/>
    <w:p>
      <w:pPr>
        <w:spacing w:after="0" w:line="243" w:lineRule="auto"/>
        <w:rPr>
          <w:sz w:val="20"/>
          <w:szCs w:val="20"/>
          <w:color w:val="auto"/>
        </w:rPr>
      </w:pPr>
      <w:r>
        <w:rPr>
          <w:rFonts w:ascii="Arial" w:cs="Arial" w:eastAsia="Arial" w:hAnsi="Arial"/>
          <w:sz w:val="18"/>
          <w:szCs w:val="18"/>
          <w:color w:val="auto"/>
        </w:rPr>
        <w:t>adjournment is taken.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as the record date for determining stockholders entitled to notice of such reconvened meeting the same or an earlier date as that fixed for determination of stockholders entitled to vote at the adjourned meeting, and shall give notice of the reconvened meeting to each stockholder of record as of the record date so fixed for notice of such reconvened meeting.</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Proxies.</w:t>
      </w:r>
    </w:p>
    <w:p>
      <w:pPr>
        <w:spacing w:after="0" w:line="241"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7"/>
          <w:szCs w:val="17"/>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When a quorum is present at any meeting, the vote of the holders of a majority of the voting power of the stock present in person or represented by proxy shall decide any issue brought before such meeting, unless the issue is (a) one upon which by express provision of the Certificate of Incorporation, these Bylaws, the rules or regulations of any stock exchange applicable to the corporation, or applicable law or pursuant to any regulation applicable to the corporation or its securities, a different vote is required in which case such express provision shall govern and control the decision of the issue or (b) relates to the election of directors, in which case the provisions of Article III, Section 2 shall apply.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 Reserved.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 Action by Written Consent.</w:t>
      </w:r>
    </w:p>
    <w:p>
      <w:pPr>
        <w:spacing w:after="0" w:line="241" w:lineRule="exact"/>
        <w:rPr>
          <w:sz w:val="20"/>
          <w:szCs w:val="20"/>
          <w:color w:val="auto"/>
        </w:rPr>
      </w:pPr>
    </w:p>
    <w:p>
      <w:pPr>
        <w:ind w:right="20" w:firstLine="656"/>
        <w:spacing w:after="0" w:line="239" w:lineRule="auto"/>
        <w:tabs>
          <w:tab w:leader="none" w:pos="91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Notice. </w:t>
      </w:r>
      <w:r>
        <w:rPr>
          <w:rFonts w:ascii="Arial" w:cs="Arial" w:eastAsia="Arial" w:hAnsi="Arial"/>
          <w:sz w:val="18"/>
          <w:szCs w:val="18"/>
          <w:color w:val="auto"/>
        </w:rPr>
        <w:t>Unless otherwise restricted by the Certificate of Incorporation, any action required to be taken at any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of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203" w:lineRule="exact"/>
        <w:rPr>
          <w:rFonts w:ascii="Arial" w:cs="Arial" w:eastAsia="Arial" w:hAnsi="Arial"/>
          <w:sz w:val="18"/>
          <w:szCs w:val="18"/>
          <w:color w:val="auto"/>
        </w:rPr>
      </w:pPr>
    </w:p>
    <w:p>
      <w:pPr>
        <w:ind w:right="80" w:firstLine="656"/>
        <w:spacing w:after="0" w:line="239" w:lineRule="auto"/>
        <w:tabs>
          <w:tab w:leader="none" w:pos="91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Record Date. </w:t>
      </w:r>
      <w:r>
        <w:rPr>
          <w:rFonts w:ascii="Arial" w:cs="Arial" w:eastAsia="Arial" w:hAnsi="Arial"/>
          <w:sz w:val="18"/>
          <w:szCs w:val="18"/>
          <w:color w:val="auto"/>
        </w:rPr>
        <w:t>Unless otherwise restricted by the Certificate of Incorporation, in order that the corporation may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3" w:right="339" w:bottom="1440" w:gutter="0" w:footer="0" w:header="0"/>
        </w:sectPr>
      </w:pPr>
    </w:p>
    <w:bookmarkStart w:id="7" w:name="page8"/>
    <w:bookmarkEnd w:id="7"/>
    <w:p>
      <w:pPr>
        <w:ind w:right="40"/>
        <w:spacing w:after="0" w:line="241" w:lineRule="auto"/>
        <w:rPr>
          <w:sz w:val="20"/>
          <w:szCs w:val="20"/>
          <w:color w:val="auto"/>
        </w:rPr>
      </w:pPr>
      <w:r>
        <w:rPr>
          <w:rFonts w:ascii="Arial" w:cs="Arial" w:eastAsia="Arial" w:hAnsi="Arial"/>
          <w:sz w:val="18"/>
          <w:szCs w:val="18"/>
          <w:color w:val="auto"/>
        </w:rPr>
        <w:t>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206" w:lineRule="exact"/>
        <w:rPr>
          <w:sz w:val="20"/>
          <w:szCs w:val="20"/>
          <w:color w:val="auto"/>
        </w:rPr>
      </w:pPr>
    </w:p>
    <w:p>
      <w:pPr>
        <w:ind w:firstLine="656"/>
        <w:spacing w:after="0" w:line="239" w:lineRule="auto"/>
        <w:tabs>
          <w:tab w:leader="none" w:pos="90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Inspector of Elections. </w:t>
      </w:r>
      <w:r>
        <w:rPr>
          <w:rFonts w:ascii="Arial" w:cs="Arial" w:eastAsia="Arial" w:hAnsi="Arial"/>
          <w:sz w:val="18"/>
          <w:szCs w:val="18"/>
          <w:color w:val="auto"/>
        </w:rPr>
        <w:t>In the event of the delivery, in the manner provided by this Article II, Section 10 and applicable law,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of 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203" w:lineRule="exact"/>
        <w:rPr>
          <w:rFonts w:ascii="Arial" w:cs="Arial" w:eastAsia="Arial" w:hAnsi="Arial"/>
          <w:sz w:val="18"/>
          <w:szCs w:val="18"/>
          <w:color w:val="auto"/>
        </w:rPr>
      </w:pPr>
    </w:p>
    <w:p>
      <w:pPr>
        <w:ind w:right="20" w:firstLine="656"/>
        <w:spacing w:after="0" w:line="268" w:lineRule="auto"/>
        <w:tabs>
          <w:tab w:leader="none" w:pos="918"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Every written consent shall bear the date of signature of each stockholder who signs the consent and no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shall be 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Advance Notice of Stockholder Nominees, Proxy Access and Stockholder Business.</w:t>
      </w:r>
    </w:p>
    <w:p>
      <w:pPr>
        <w:spacing w:after="0" w:line="241" w:lineRule="exact"/>
        <w:rPr>
          <w:sz w:val="20"/>
          <w:szCs w:val="20"/>
          <w:color w:val="auto"/>
        </w:rPr>
      </w:pPr>
    </w:p>
    <w:p>
      <w:pPr>
        <w:ind w:right="140" w:firstLine="656"/>
        <w:spacing w:after="0" w:line="255" w:lineRule="auto"/>
        <w:tabs>
          <w:tab w:leader="none" w:pos="918"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spacing w:after="0" w:line="190" w:lineRule="exact"/>
        <w:rPr>
          <w:rFonts w:ascii="Arial" w:cs="Arial" w:eastAsia="Arial" w:hAnsi="Arial"/>
          <w:sz w:val="18"/>
          <w:szCs w:val="18"/>
          <w:color w:val="auto"/>
        </w:rPr>
      </w:pPr>
    </w:p>
    <w:p>
      <w:pPr>
        <w:ind w:left="660" w:right="140" w:firstLine="644"/>
        <w:spacing w:after="0" w:line="276" w:lineRule="auto"/>
        <w:tabs>
          <w:tab w:leader="none" w:pos="1518" w:val="left"/>
        </w:tabs>
        <w:numPr>
          <w:ilvl w:val="1"/>
          <w:numId w:val="6"/>
        </w:numPr>
        <w:rPr>
          <w:rFonts w:ascii="Arial" w:cs="Arial" w:eastAsia="Arial" w:hAnsi="Arial"/>
          <w:sz w:val="18"/>
          <w:szCs w:val="18"/>
          <w:color w:val="auto"/>
        </w:rPr>
      </w:pPr>
      <w:r>
        <w:rPr>
          <w:rFonts w:ascii="Arial" w:cs="Arial" w:eastAsia="Arial" w:hAnsi="Arial"/>
          <w:sz w:val="18"/>
          <w:szCs w:val="18"/>
          <w:color w:val="auto"/>
        </w:rPr>
        <w:t>specified in the notice of meeting (or any supplement thereto) given by or at the direction of the Board of Directors or any committee thereof,</w:t>
      </w:r>
    </w:p>
    <w:p>
      <w:pPr>
        <w:spacing w:after="0" w:line="171" w:lineRule="exact"/>
        <w:rPr>
          <w:rFonts w:ascii="Arial" w:cs="Arial" w:eastAsia="Arial" w:hAnsi="Arial"/>
          <w:sz w:val="18"/>
          <w:szCs w:val="18"/>
          <w:color w:val="auto"/>
        </w:rPr>
      </w:pPr>
    </w:p>
    <w:p>
      <w:pPr>
        <w:ind w:left="1560" w:hanging="256"/>
        <w:spacing w:after="0"/>
        <w:tabs>
          <w:tab w:leader="none" w:pos="1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 or any committee thereof, or</w:t>
      </w:r>
    </w:p>
    <w:p>
      <w:pPr>
        <w:spacing w:after="0" w:line="238" w:lineRule="exact"/>
        <w:rPr>
          <w:rFonts w:ascii="Arial" w:cs="Arial" w:eastAsia="Arial" w:hAnsi="Arial"/>
          <w:sz w:val="18"/>
          <w:szCs w:val="18"/>
          <w:color w:val="auto"/>
        </w:rPr>
      </w:pPr>
    </w:p>
    <w:p>
      <w:pPr>
        <w:ind w:left="660" w:firstLine="644"/>
        <w:spacing w:after="0" w:line="262" w:lineRule="auto"/>
        <w:tabs>
          <w:tab w:leader="none" w:pos="1598" w:val="left"/>
        </w:tabs>
        <w:numPr>
          <w:ilvl w:val="1"/>
          <w:numId w:val="6"/>
        </w:numPr>
        <w:rPr>
          <w:rFonts w:ascii="Arial" w:cs="Arial" w:eastAsia="Arial" w:hAnsi="Arial"/>
          <w:sz w:val="17"/>
          <w:szCs w:val="17"/>
          <w:color w:val="auto"/>
        </w:rPr>
      </w:pPr>
      <w:r>
        <w:rPr>
          <w:rFonts w:ascii="Arial" w:cs="Arial" w:eastAsia="Arial" w:hAnsi="Arial"/>
          <w:sz w:val="17"/>
          <w:szCs w:val="17"/>
          <w:color w:val="auto"/>
        </w:rPr>
        <w:t>otherwise properly brought before an annual meeting by a stockholder who: (A) is a stockholder of record of the corporation at the time such notice of meeting is delivered and at the time the notice required hereunder is delivered to the Secretary;</w:t>
      </w:r>
    </w:p>
    <w:p>
      <w:pPr>
        <w:ind w:left="660" w:right="60"/>
        <w:spacing w:after="0" w:line="250" w:lineRule="auto"/>
        <w:rPr>
          <w:rFonts w:ascii="Arial" w:cs="Arial" w:eastAsia="Arial" w:hAnsi="Arial"/>
          <w:sz w:val="17"/>
          <w:szCs w:val="17"/>
          <w:color w:val="auto"/>
        </w:rPr>
      </w:pPr>
      <w:r>
        <w:rPr>
          <w:rFonts w:ascii="Arial" w:cs="Arial" w:eastAsia="Arial" w:hAnsi="Arial"/>
          <w:sz w:val="18"/>
          <w:szCs w:val="18"/>
          <w:color w:val="auto"/>
        </w:rPr>
        <w:t>(B) is entitled to vote at the meeting; and (C) complies with the notice procedures and disclosure requirements set forth in this Article II, Section 11.</w:t>
      </w:r>
    </w:p>
    <w:p>
      <w:pPr>
        <w:spacing w:after="0" w:line="1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3" w:right="339" w:bottom="1440" w:gutter="0" w:footer="0" w:header="0"/>
        </w:sectPr>
      </w:pPr>
    </w:p>
    <w:bookmarkStart w:id="8" w:name="page9"/>
    <w:bookmarkEnd w:id="8"/>
    <w:p>
      <w:pPr>
        <w:ind w:right="40"/>
        <w:spacing w:after="0" w:line="241" w:lineRule="auto"/>
        <w:rPr>
          <w:sz w:val="20"/>
          <w:szCs w:val="20"/>
          <w:color w:val="auto"/>
        </w:rPr>
      </w:pPr>
      <w:r>
        <w:rPr>
          <w:rFonts w:ascii="Arial" w:cs="Arial" w:eastAsia="Arial" w:hAnsi="Arial"/>
          <w:sz w:val="18"/>
          <w:szCs w:val="18"/>
          <w:color w:val="auto"/>
        </w:rPr>
        <w:t>pursuant to this Article II, Section 11(a) or Section 11(c) below, as applicable, in writing to the Secretary even if such matter is already the subject of any notice to the stockholders or public disclosure by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w:t>
      </w:r>
    </w:p>
    <w:p>
      <w:pPr>
        <w:spacing w:after="0" w:line="206"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Only persons who are nominated in accordance with the procedures set forth in Article II, Section 11(b) and (c) shall be eligible for election as directors.</w:t>
      </w:r>
    </w:p>
    <w:p>
      <w:pPr>
        <w:spacing w:after="0" w:line="172" w:lineRule="exact"/>
        <w:rPr>
          <w:sz w:val="20"/>
          <w:szCs w:val="20"/>
          <w:color w:val="auto"/>
        </w:rPr>
      </w:pPr>
    </w:p>
    <w:p>
      <w:pPr>
        <w:ind w:firstLine="656"/>
        <w:spacing w:after="0" w:line="243" w:lineRule="auto"/>
        <w:tabs>
          <w:tab w:leader="none" w:pos="918"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may be made at a meeting of stockholders by or at the direction of the Board of Directors or by any stockholder of the corporation entitled to vote in the election of directors at the meeting who complies with the notice procedures set forth in this Article II, Section 11(b). Such nominations, other than those made by or at the direction of the Board of Directors, shall be made pursuant to timely notice in writing to the Secretary in accordance with the provisions of Article II, Section 11(a). For the nomination of any person or persons for election to the Board of Directors by any stockholder, whether at an annual meeting or a properly called special meeting of stockholders, the stockholder's notice to the Secretary shall set forth:</w:t>
      </w:r>
    </w:p>
    <w:p>
      <w:pPr>
        <w:spacing w:after="0" w:line="200" w:lineRule="exact"/>
        <w:rPr>
          <w:rFonts w:ascii="Arial" w:cs="Arial" w:eastAsia="Arial" w:hAnsi="Arial"/>
          <w:sz w:val="18"/>
          <w:szCs w:val="18"/>
          <w:color w:val="auto"/>
        </w:rPr>
      </w:pPr>
    </w:p>
    <w:p>
      <w:pPr>
        <w:ind w:left="1520" w:hanging="216"/>
        <w:spacing w:after="0"/>
        <w:tabs>
          <w:tab w:leader="none" w:pos="1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such notice,</w:t>
      </w:r>
    </w:p>
    <w:p>
      <w:pPr>
        <w:spacing w:after="0" w:line="238" w:lineRule="exact"/>
        <w:rPr>
          <w:rFonts w:ascii="Arial" w:cs="Arial" w:eastAsia="Arial" w:hAnsi="Arial"/>
          <w:sz w:val="18"/>
          <w:szCs w:val="18"/>
          <w:color w:val="auto"/>
        </w:rPr>
      </w:pPr>
    </w:p>
    <w:p>
      <w:pPr>
        <w:ind w:left="1560" w:hanging="256"/>
        <w:spacing w:after="0"/>
        <w:tabs>
          <w:tab w:leader="none" w:pos="1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principal occupation or employment of each such nominee,</w:t>
      </w:r>
    </w:p>
    <w:p>
      <w:pPr>
        <w:spacing w:after="0" w:line="238" w:lineRule="exact"/>
        <w:rPr>
          <w:rFonts w:ascii="Arial" w:cs="Arial" w:eastAsia="Arial" w:hAnsi="Arial"/>
          <w:sz w:val="18"/>
          <w:szCs w:val="18"/>
          <w:color w:val="auto"/>
        </w:rPr>
      </w:pPr>
    </w:p>
    <w:p>
      <w:pPr>
        <w:ind w:left="660" w:right="400" w:firstLine="644"/>
        <w:spacing w:after="0" w:line="248" w:lineRule="auto"/>
        <w:tabs>
          <w:tab w:leader="none" w:pos="1598" w:val="left"/>
        </w:tabs>
        <w:numPr>
          <w:ilvl w:val="1"/>
          <w:numId w:val="7"/>
        </w:numPr>
        <w:rPr>
          <w:rFonts w:ascii="Arial" w:cs="Arial" w:eastAsia="Arial" w:hAnsi="Arial"/>
          <w:sz w:val="18"/>
          <w:szCs w:val="18"/>
          <w:color w:val="auto"/>
        </w:rPr>
      </w:pPr>
      <w:r>
        <w:rPr>
          <w:rFonts w:ascii="Arial" w:cs="Arial" w:eastAsia="Arial" w:hAnsi="Arial"/>
          <w:sz w:val="18"/>
          <w:szCs w:val="18"/>
          <w:color w:val="auto"/>
        </w:rPr>
        <w:t>(A) the number of shares of capital stock of the corporation which are owned of record and beneficially by each such nominee and any affiliates or associates of such nominee (if any) and (B) a description of any agreement, arrangement or understanding of the type described in clause (vi) (D) of this section, but as it relates to each such nominee rather than the stockholder,</w:t>
      </w:r>
    </w:p>
    <w:p>
      <w:pPr>
        <w:spacing w:after="0" w:line="197" w:lineRule="exact"/>
        <w:rPr>
          <w:rFonts w:ascii="Arial" w:cs="Arial" w:eastAsia="Arial" w:hAnsi="Arial"/>
          <w:sz w:val="18"/>
          <w:szCs w:val="18"/>
          <w:color w:val="auto"/>
        </w:rPr>
      </w:pPr>
    </w:p>
    <w:p>
      <w:pPr>
        <w:ind w:left="660" w:right="20" w:firstLine="644"/>
        <w:spacing w:after="0"/>
        <w:tabs>
          <w:tab w:leader="none" w:pos="1608" w:val="left"/>
        </w:tabs>
        <w:numPr>
          <w:ilvl w:val="1"/>
          <w:numId w:val="7"/>
        </w:numPr>
        <w:rPr>
          <w:rFonts w:ascii="Arial" w:cs="Arial" w:eastAsia="Arial" w:hAnsi="Arial"/>
          <w:sz w:val="18"/>
          <w:szCs w:val="18"/>
          <w:color w:val="auto"/>
        </w:rPr>
      </w:pPr>
      <w:r>
        <w:rPr>
          <w:rFonts w:ascii="Arial" w:cs="Arial" w:eastAsia="Arial" w:hAnsi="Arial"/>
          <w:sz w:val="18"/>
          <w:szCs w:val="18"/>
          <w:color w:val="auto"/>
        </w:rPr>
        <w:t>(A) if any such nominee is a party to any direct or indirect compensatory, reimbursement, indemnification, payment or other financial agreement, arrangement or understanding with any person or entity other than the corporation (a “Compensation Arrangement”), or has received, directly or indirectly, any compensation or other payment from any person or entity other than the corporation, in each case in connection with candidacy or service as a director of the corporation, a detailed description of such agreement, arrangement or understanding and its terms and any such compensation received and (B) such other information concerning each such nominee as would be required to be disclosed in a proxy statement soliciting proxies for the election of such nominee as a director in an election contest (even if an election contest is not involved) or that is otherwise required to be disclosed, under Section 14(a) of the Securities Exchange Act of 1934, as amended, and the rules and regulations promulgated thereunder (the “Exchange Act”),</w:t>
      </w:r>
    </w:p>
    <w:p>
      <w:pPr>
        <w:spacing w:after="0" w:line="202" w:lineRule="exact"/>
        <w:rPr>
          <w:rFonts w:ascii="Arial" w:cs="Arial" w:eastAsia="Arial" w:hAnsi="Arial"/>
          <w:sz w:val="18"/>
          <w:szCs w:val="18"/>
          <w:color w:val="auto"/>
        </w:rPr>
      </w:pPr>
    </w:p>
    <w:p>
      <w:pPr>
        <w:ind w:left="660" w:right="160" w:firstLine="644"/>
        <w:spacing w:after="0" w:line="245" w:lineRule="auto"/>
        <w:tabs>
          <w:tab w:leader="none" w:pos="156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consent of the nominee to being named in the proxy statement as a nominee and to serving as a director if elected and a representation by the nominee to the effect that the nominee has read and, if elected will agree to adhere to the corporation’s Code of Business Conduct and Ethics, corporate Governance Guidelines, and any conflict of interest, confidentiality and stock ownership and securities trading policies, and any other policies and guidelines of the Board or the corporation applicable to directors, as well as any applicable law, rule or regulation or listing requirement, and</w:t>
      </w:r>
    </w:p>
    <w:p>
      <w:pPr>
        <w:spacing w:after="0" w:line="199" w:lineRule="exact"/>
        <w:rPr>
          <w:rFonts w:ascii="Arial" w:cs="Arial" w:eastAsia="Arial" w:hAnsi="Arial"/>
          <w:sz w:val="18"/>
          <w:szCs w:val="18"/>
          <w:color w:val="auto"/>
        </w:rPr>
      </w:pPr>
    </w:p>
    <w:p>
      <w:pPr>
        <w:ind w:left="660" w:right="80" w:firstLine="644"/>
        <w:spacing w:after="0" w:line="276" w:lineRule="auto"/>
        <w:tabs>
          <w:tab w:leader="none" w:pos="1608"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to the proposing stockholder: (A) the name and address of the stockholder as they appear on the corporation's books and of the beneficial owner, if any, on whose behalf the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3" w:right="339" w:bottom="1440" w:gutter="0" w:footer="0" w:header="0"/>
        </w:sectPr>
      </w:pPr>
    </w:p>
    <w:bookmarkStart w:id="9" w:name="page10"/>
    <w:bookmarkEnd w:id="9"/>
    <w:p>
      <w:pPr>
        <w:ind w:left="660" w:right="40"/>
        <w:spacing w:after="0" w:line="237" w:lineRule="auto"/>
        <w:rPr>
          <w:sz w:val="20"/>
          <w:szCs w:val="20"/>
          <w:color w:val="auto"/>
        </w:rPr>
      </w:pPr>
      <w:r>
        <w:rPr>
          <w:rFonts w:ascii="Arial" w:cs="Arial" w:eastAsia="Arial" w:hAnsi="Arial"/>
          <w:sz w:val="18"/>
          <w:szCs w:val="18"/>
          <w:color w:val="auto"/>
        </w:rPr>
        <w:t>nomination is being made, (B) the class and number of shares of the corporation which are owned by the proposing stockholder (beneficially and of record) and owned by the beneficial owner, if any, on whose behalf the nomination is being made, as of the date of the proposing stockholder's notice, (C) a description of any agreement, arrangement or understanding with respect to such nomination between or among the proposing stockholder and any of its affiliates or 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intends to deliver a proxy statement and/or form of proxy to holders of at least the percentage of the corporation's outstanding capital stock required to approve the election of the nominee and/or otherwise to solicit proxies from stockholders in support of such election and (G) and, with respect to (B), (C) and (D) above, a representation that the proposing stockholder will promptly notify the corporation in writing of the same as of the record date for the meeting promptly following the later of the record date or the date notice of the record date is first publicly disclosed.</w:t>
      </w:r>
    </w:p>
    <w:p>
      <w:pPr>
        <w:spacing w:after="0" w:line="2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spacing w:after="0" w:line="191" w:lineRule="exact"/>
        <w:rPr>
          <w:sz w:val="20"/>
          <w:szCs w:val="20"/>
          <w:color w:val="auto"/>
        </w:rPr>
      </w:pPr>
    </w:p>
    <w:p>
      <w:pPr>
        <w:ind w:firstLine="656"/>
        <w:spacing w:after="0" w:line="239" w:lineRule="auto"/>
        <w:tabs>
          <w:tab w:leader="none" w:pos="908" w:val="left"/>
        </w:tabs>
        <w:numPr>
          <w:ilvl w:val="0"/>
          <w:numId w:val="8"/>
        </w:numPr>
        <w:rPr>
          <w:rFonts w:ascii="Arial" w:cs="Arial" w:eastAsia="Arial" w:hAnsi="Arial"/>
          <w:sz w:val="18"/>
          <w:szCs w:val="18"/>
          <w:color w:val="auto"/>
        </w:rPr>
      </w:pPr>
      <w:r>
        <w:rPr>
          <w:rFonts w:ascii="Arial" w:cs="Arial" w:eastAsia="Arial" w:hAnsi="Arial"/>
          <w:sz w:val="18"/>
          <w:szCs w:val="18"/>
          <w:color w:val="auto"/>
        </w:rPr>
        <w:t>(i) Subject to the requirements of Article II, Section 11, the corporation shall include in its proxy statement and on its proxy card for any annual meeting of stockholders the name of any director nominee proposed by a stockholder for election to the Board of Directors who is properly submitted pursuant to this Article II, Section 11(c) (each a “Proxy Access Nominee”) provided that (A) timely written notice of such Proxy Access Nominee satisfying this Article II, Section 11(c) (“Proxy Access Nomination Notice”) is delivered to the corporation by or on behalf of a stockholder or group of stockholders that, at the time the Proxy Access Nomination Notice is delivered, satisfy the ownership and other requirements of this Article II, Section 11(c) (such stockholder or stockholders, and any person on whose behalf they are acting, the “Eligible Stockholder”), (B) the Eligible Stockholder expressly elects in writing at the time of providing the Proxy Access Nomination Notice to have its nominee included in the corporation’s proxy statement pursuant to this Article II, Section 11(c), and (C) the Eligible Stockholder and the Proxy Access Nominee otherwise satisfy the requirements of this Article II, Section 11(c) and the criteria for membership on the Board of Directors set forth in the Corporate Governance Guidelines for the corporation or other document(s) setting forth qualifications for directors (the “Board Qualifications”).</w:t>
      </w:r>
    </w:p>
    <w:p>
      <w:pPr>
        <w:spacing w:after="0" w:line="203" w:lineRule="exact"/>
        <w:rPr>
          <w:rFonts w:ascii="Arial" w:cs="Arial" w:eastAsia="Arial" w:hAnsi="Arial"/>
          <w:sz w:val="18"/>
          <w:szCs w:val="18"/>
          <w:color w:val="auto"/>
        </w:rPr>
      </w:pPr>
    </w:p>
    <w:p>
      <w:pPr>
        <w:ind w:left="660" w:right="80" w:firstLine="644"/>
        <w:spacing w:after="0"/>
        <w:tabs>
          <w:tab w:leader="none" w:pos="1558"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be timely, the Proxy Access Nomination Notice must be delivered to or mailed and received at the principal executive office of the corporation not less than one hundred twenty (120) calendar days nor earlier than one hundred fifty (150)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In no event shall the public announcement of an adjournment or postponement of an annual meeting of stockholders commence a new time period (or extend any time period) for the submission of such Proxy Access 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3" w:right="339" w:bottom="1440" w:gutter="0" w:footer="0" w:header="0"/>
        </w:sectPr>
      </w:pPr>
    </w:p>
    <w:bookmarkStart w:id="10" w:name="page11"/>
    <w:bookmarkEnd w:id="10"/>
    <w:p>
      <w:pPr>
        <w:ind w:left="4" w:firstLine="644"/>
        <w:spacing w:after="0" w:line="241" w:lineRule="auto"/>
        <w:tabs>
          <w:tab w:leader="none" w:pos="942"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addition to including the name of the Proxy Access Nominee in the corporation’s proxy statement for the annual meeting of stockholders, the corporation also shall include (A) the information concerning the Proxy Access Nominee and the Eligible Stockholder that is required to be disclosed in the corporation’s proxy statement pursuant to the proxy rules of the Securities and Exchange Commission (the “SEC”) and (B) a Statement (defined below) (collectively, the “Required Information”). To be timely, the Required Information must be received by the Secretary at the principal office of the corporation within the time period specified in Article II, Section 11(c)(ii). Nothing in this Article II, Section 11(c) shall limit the corporation’s ability to solicit against and include in its proxy statement its own statements relating to any Proxy Access Nominee.</w:t>
      </w:r>
    </w:p>
    <w:p>
      <w:pPr>
        <w:spacing w:after="0" w:line="205" w:lineRule="exact"/>
        <w:rPr>
          <w:rFonts w:ascii="Arial" w:cs="Arial" w:eastAsia="Arial" w:hAnsi="Arial"/>
          <w:sz w:val="18"/>
          <w:szCs w:val="18"/>
          <w:color w:val="auto"/>
        </w:rPr>
      </w:pPr>
    </w:p>
    <w:p>
      <w:pPr>
        <w:ind w:left="4" w:right="20" w:firstLine="644"/>
        <w:spacing w:after="0" w:line="262" w:lineRule="auto"/>
        <w:tabs>
          <w:tab w:leader="none" w:pos="952"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maximum number of Stockholder Nominees nominated by all Eligible Stockholders that will be included in the corporation’s proxy materials with respect to an annual meeting of stockholders shall not exceed the greater of (A) two (2) and (B) 20</w:t>
      </w:r>
    </w:p>
    <w:p>
      <w:pPr>
        <w:ind w:left="4" w:right="100" w:hanging="4"/>
        <w:spacing w:after="0" w:line="242" w:lineRule="auto"/>
        <w:tabs>
          <w:tab w:leader="none" w:pos="214" w:val="left"/>
        </w:tabs>
        <w:numPr>
          <w:ilvl w:val="0"/>
          <w:numId w:val="9"/>
        </w:numPr>
        <w:rPr>
          <w:rFonts w:ascii="Arial" w:cs="Arial" w:eastAsia="Arial" w:hAnsi="Arial"/>
          <w:sz w:val="18"/>
          <w:szCs w:val="18"/>
          <w:color w:val="auto"/>
        </w:rPr>
      </w:pPr>
      <w:r>
        <w:rPr>
          <w:rFonts w:ascii="Arial" w:cs="Arial" w:eastAsia="Arial" w:hAnsi="Arial"/>
          <w:sz w:val="18"/>
          <w:szCs w:val="18"/>
          <w:color w:val="auto"/>
        </w:rPr>
        <w:t>of the total number of directors in office (rounded down to the nearest whole number), as of the last day on which a Proxy Access Notice may be delivered pursuant to and in accordance with this Article II, Section 11(v) (the “Permitted Number”); provided, however, the Permitted Number shall be reduced (but not below one) by:</w:t>
      </w:r>
    </w:p>
    <w:p>
      <w:pPr>
        <w:spacing w:after="0" w:line="202" w:lineRule="exact"/>
        <w:rPr>
          <w:rFonts w:ascii="Arial" w:cs="Arial" w:eastAsia="Arial" w:hAnsi="Arial"/>
          <w:sz w:val="18"/>
          <w:szCs w:val="18"/>
          <w:color w:val="auto"/>
        </w:rPr>
      </w:pPr>
    </w:p>
    <w:p>
      <w:pPr>
        <w:ind w:left="644" w:firstLine="652"/>
        <w:spacing w:after="0" w:line="254" w:lineRule="auto"/>
        <w:tabs>
          <w:tab w:leader="none" w:pos="1582" w:val="left"/>
        </w:tabs>
        <w:numPr>
          <w:ilvl w:val="2"/>
          <w:numId w:val="9"/>
        </w:numPr>
        <w:rPr>
          <w:rFonts w:ascii="Arial" w:cs="Arial" w:eastAsia="Arial" w:hAnsi="Arial"/>
          <w:sz w:val="17"/>
          <w:szCs w:val="17"/>
          <w:color w:val="auto"/>
        </w:rPr>
      </w:pPr>
      <w:r>
        <w:rPr>
          <w:rFonts w:ascii="Arial" w:cs="Arial" w:eastAsia="Arial" w:hAnsi="Arial"/>
          <w:sz w:val="17"/>
          <w:szCs w:val="17"/>
          <w:color w:val="auto"/>
        </w:rPr>
        <w:t>the number of individuals who will be included in the corporation’s proxy materials as nominees of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w:t>
      </w:r>
    </w:p>
    <w:p>
      <w:pPr>
        <w:ind w:left="644"/>
        <w:spacing w:after="0"/>
        <w:rPr>
          <w:rFonts w:ascii="Arial" w:cs="Arial" w:eastAsia="Arial" w:hAnsi="Arial"/>
          <w:sz w:val="17"/>
          <w:szCs w:val="17"/>
          <w:color w:val="auto"/>
        </w:rPr>
      </w:pPr>
      <w:r>
        <w:rPr>
          <w:rFonts w:ascii="Arial" w:cs="Arial" w:eastAsia="Arial" w:hAnsi="Arial"/>
          <w:sz w:val="18"/>
          <w:szCs w:val="18"/>
          <w:color w:val="auto"/>
        </w:rPr>
        <w:t>(2) annual terms;</w:t>
      </w:r>
    </w:p>
    <w:p>
      <w:pPr>
        <w:spacing w:after="0" w:line="216" w:lineRule="exact"/>
        <w:rPr>
          <w:rFonts w:ascii="Arial" w:cs="Arial" w:eastAsia="Arial" w:hAnsi="Arial"/>
          <w:sz w:val="17"/>
          <w:szCs w:val="17"/>
          <w:color w:val="auto"/>
        </w:rPr>
      </w:pPr>
    </w:p>
    <w:p>
      <w:pPr>
        <w:jc w:val="both"/>
        <w:ind w:left="644" w:firstLine="652"/>
        <w:spacing w:after="0" w:line="248" w:lineRule="auto"/>
        <w:tabs>
          <w:tab w:leader="none" w:pos="1582"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number of directors currently in office that will be included in the corporation’s proxy materials as nominees of the Board of Directors who were previously Proxy Access Nominees elected to the Board of Directors pursuant to this Article II, Section 11(c), other than any such director who at the time of such annual meeting will have served as a director continuously, as a nominee of the Board of Directors, for at least two (2) annual terms.</w:t>
      </w:r>
    </w:p>
    <w:p>
      <w:pPr>
        <w:spacing w:after="0" w:line="197" w:lineRule="exact"/>
        <w:rPr>
          <w:sz w:val="20"/>
          <w:szCs w:val="20"/>
          <w:color w:val="auto"/>
        </w:rPr>
      </w:pPr>
    </w:p>
    <w:p>
      <w:pPr>
        <w:ind w:left="4"/>
        <w:spacing w:after="0" w:line="243" w:lineRule="auto"/>
        <w:rPr>
          <w:sz w:val="20"/>
          <w:szCs w:val="20"/>
          <w:color w:val="auto"/>
        </w:rPr>
      </w:pPr>
      <w:r>
        <w:rPr>
          <w:rFonts w:ascii="Arial" w:cs="Arial" w:eastAsia="Arial" w:hAnsi="Arial"/>
          <w:sz w:val="18"/>
          <w:szCs w:val="18"/>
          <w:color w:val="auto"/>
        </w:rPr>
        <w:t>For purposes of determining when the Permitted Number has been reached, any individual nominated by an Eligible Stockholder for inclusion in the Corporation’s proxy materials pursuant to this Article II, Section 11(c) whose nomination is subsequently withdrawn or whom the Board of Directors decides to nominate for election to the Board of Directors shall be counted as one of the Stockholder Nominees. In the event that one or more vacancies for any reason occurs after the deadline for delivery of Proxy Access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201" w:lineRule="exact"/>
        <w:rPr>
          <w:sz w:val="20"/>
          <w:szCs w:val="20"/>
          <w:color w:val="auto"/>
        </w:rPr>
      </w:pPr>
    </w:p>
    <w:p>
      <w:pPr>
        <w:ind w:left="4" w:right="140"/>
        <w:spacing w:after="0"/>
        <w:rPr>
          <w:sz w:val="20"/>
          <w:szCs w:val="20"/>
          <w:color w:val="auto"/>
        </w:rPr>
      </w:pPr>
      <w:r>
        <w:rPr>
          <w:rFonts w:ascii="Arial" w:cs="Arial" w:eastAsia="Arial" w:hAnsi="Arial"/>
          <w:sz w:val="18"/>
          <w:szCs w:val="18"/>
          <w:color w:val="auto"/>
        </w:rPr>
        <w:t>Any Eligible Stockholder submitting more than one Stockholder Nominee for inclusion in the Corporation’s proxy materials pursuant to this Article II, Section 11(c)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Article II, Section 11(c) exceeds the Permitted Number, the highest ranking Stockholder Nominee who meets the requirements of this Article II, Section 11(c) of each Eligible Stockholder will be selected for inclusion in the Corporation’s proxy materials until the Permitted Number is reached, going in order of the amount (largest to smallest) of shares of the Corporation’s outstanding common stock each Eligible Stockholder disclosed as owned (as defined below) in its respective Proxy Access Notice submitted to the Corporation. If the Permitted Number is not reached after the highest ranking Stockholder Nominee who meets the requirements of this Article II, Section 11(c)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4"/>
          </w:cols>
          <w:pgMar w:left="976" w:top="1413" w:right="359" w:bottom="1440" w:gutter="0" w:footer="0" w:header="0"/>
        </w:sectPr>
      </w:pPr>
    </w:p>
    <w:bookmarkStart w:id="11" w:name="page12"/>
    <w:bookmarkEnd w:id="11"/>
    <w:p>
      <w:pPr>
        <w:ind w:right="220"/>
        <w:spacing w:after="0" w:line="276" w:lineRule="auto"/>
        <w:rPr>
          <w:sz w:val="20"/>
          <w:szCs w:val="20"/>
          <w:color w:val="auto"/>
        </w:rPr>
      </w:pPr>
      <w:r>
        <w:rPr>
          <w:rFonts w:ascii="Arial" w:cs="Arial" w:eastAsia="Arial" w:hAnsi="Arial"/>
          <w:sz w:val="18"/>
          <w:szCs w:val="18"/>
          <w:color w:val="auto"/>
        </w:rPr>
        <w:t>from each Eligible Stockholder has been selected, this process will continue with the next highest ranked nominees as many times as necessary, following the same order each time, until the Permitted Number is reached.</w:t>
      </w:r>
    </w:p>
    <w:p>
      <w:pPr>
        <w:spacing w:after="0" w:line="172" w:lineRule="exact"/>
        <w:rPr>
          <w:sz w:val="20"/>
          <w:szCs w:val="20"/>
          <w:color w:val="auto"/>
        </w:rPr>
      </w:pPr>
    </w:p>
    <w:p>
      <w:pPr>
        <w:ind w:firstLine="644"/>
        <w:spacing w:after="0" w:line="237" w:lineRule="auto"/>
        <w:tabs>
          <w:tab w:leader="none" w:pos="9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Eligible Stockholder must have owned (as defined below) continuously for at least three years a number of shares that represents three percent (3%) or more of the total voting power of the corporation’s outstanding shares entitled to vote in the election of directors as of the most recent date prior to the submission of the Proxy Access Nomination Notice for which such amount is given in any filing by the corporation with the SEC (the “Required Shares”) as of both the date the Proxy Access Nomination Notice is received by the corporation in accordance with this Article II, Section 11(c) and the record date for determining stockholders entitled to vote at the annual meeting of stockholders and must continue to own the Required Shares through the meeting date. For purposes of satisfying the ownership requirement under this Article II, Section 11(c), the voting power represented by the shares of the corporation owned by one or more stockholders, or by the person or persons who own shares of the corporation and on whose behalf any stockholder is acting, may be aggregated, provided that the number of stockholders and other persons whose ownership of shares is aggregated for such purpose shall not exceed twenty (20), and a group of two or more funds that are (A) under common management and investment control, (B) under common management and funded primarily by the same employer (or by a group of related employers that are under common control), or (C) a “group of investment companies,” as such term is defined in Section 12(d)(1)(G)(ii) of the Investment Company Act of 1940, as amended, shall be treated as one stockholder or person for this purpose. With respect to any annual meeting of stockholders, no person may be a member of more than one group of persons constituting an Eligible Stockholder under this Article II, Section 11(c).</w:t>
      </w:r>
    </w:p>
    <w:p>
      <w:pPr>
        <w:spacing w:after="0" w:line="21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purposes of this Article II, Section 11(c), an Eligible Stockholder shall be deemed to “own” only those outstanding shares of the corporation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 (3)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the corporation’s outstanding shares, in any such case which instrument or agreement has, or is intended to have, the purpose or effect of reducing in any manner, to any extent or at any time in the future, such person’s or affiliates’ full right to vote or direct the voting of any such shares and/or hedging, offsetting or altering to any degree gain or loss arising from the full economic ownership of such shares by such person or affiliate. A person shall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the person has delegated any voting power by means of a proxy, power of attorney or other instrument or arrangement that is revocable at any time by the person. The terms “owned,” “owning,” and other variations of the word “own” shall have correlative meanings. For purposes of this Article II, Section 11(c), the term “affiliate” shall have the meaning ascribed thereto pursuant to the proxy rules of the Exchange Act.</w:t>
      </w:r>
    </w:p>
    <w:p>
      <w:pPr>
        <w:spacing w:after="0" w:line="205" w:lineRule="exact"/>
        <w:rPr>
          <w:sz w:val="20"/>
          <w:szCs w:val="20"/>
          <w:color w:val="auto"/>
        </w:rPr>
      </w:pPr>
    </w:p>
    <w:p>
      <w:pPr>
        <w:ind w:right="440" w:firstLine="644"/>
        <w:spacing w:after="0" w:line="255" w:lineRule="auto"/>
        <w:tabs>
          <w:tab w:leader="none" w:pos="9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Within the time period specified in Article II, Section 11(c)(ii) for the Proxy Access Nomination Notice, an Eligible Stockholder must provide in writing to the Secretary, with respect to the Stockholder Nominee, in addition to the information and representations required to be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980" w:top="1413" w:right="339" w:bottom="1440" w:gutter="0" w:footer="0" w:header="0"/>
        </w:sectPr>
      </w:pPr>
    </w:p>
    <w:bookmarkStart w:id="12" w:name="page13"/>
    <w:bookmarkEnd w:id="12"/>
    <w:p>
      <w:pPr>
        <w:ind w:left="4" w:right="20"/>
        <w:spacing w:after="0" w:line="237" w:lineRule="auto"/>
        <w:rPr>
          <w:sz w:val="20"/>
          <w:szCs w:val="20"/>
          <w:color w:val="auto"/>
        </w:rPr>
      </w:pPr>
      <w:r>
        <w:rPr>
          <w:rFonts w:ascii="Arial" w:cs="Arial" w:eastAsia="Arial" w:hAnsi="Arial"/>
          <w:sz w:val="18"/>
          <w:szCs w:val="18"/>
          <w:color w:val="auto"/>
        </w:rPr>
        <w:t>provided in the stockholder’s notice pursuant to Article II, Section 11(b), representations and agreements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(B) is not and will not become a party to a Compensation Arrangement in connection with such person’s nomination for director and/or service as a director, that has not been disclosed to the corporation. At the request of the corporation, the Proxy Access Nominee must complete, sign and submit all questionnaires required of the Board of Directors within five business days of receipt of each such questionnaire from the corporation and provide within five business days of the corporation’s request such additional information as the corporation determines may be necessary to permit the Board of Directors to determine whether such Proxy Access Nominee meets the requirements of this Article II, Section 11(c) and/or satisfies the Board Qualifications, including whether: (1) such Proxy Access Nominee is independent under the listing standards of each principal U.S. exchange upon which the corporation’s shares are listed, any applicable rules of the SEC, and any publicly disclosed standards used by the Board of Directors in determining and disclosing the independence of members of the Board of Directors (the “Independence Standards”), (2) such Proxy Access Nominee has any direct or indirect relationship with the corporation, and (3) such Proxy Access Nominee is not and has not been subject to any event specified in Item 401(f) of Regulation S-K under the Securities Act, or any order of the type specified in Rule 506(d) of Regulation D under the Securities Act.</w:t>
      </w:r>
    </w:p>
    <w:p>
      <w:pPr>
        <w:spacing w:after="0" w:line="215" w:lineRule="exact"/>
        <w:rPr>
          <w:sz w:val="20"/>
          <w:szCs w:val="20"/>
          <w:color w:val="auto"/>
        </w:rPr>
      </w:pPr>
    </w:p>
    <w:p>
      <w:pPr>
        <w:ind w:left="4" w:right="80" w:firstLine="644"/>
        <w:spacing w:after="0" w:line="236" w:lineRule="auto"/>
        <w:tabs>
          <w:tab w:leader="none" w:pos="9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Within the time period specified in Article II, Section 11(c)(ii) for the Proxy Access Nomination Notice, an Eligible Stockholder must provide the following information, representations and agreements: (A) the information and representations that would be required to be set forth in stockholder’s notice of a nomination pursuant to Article II, Section 11(b); (B) one or more written statements from the record holder of the shares (and from each intermediary through which the shares are or have been held during the requisite three-year holding period) verifying that, as of a date within seven calendar days prior to the date the Proxy Access Nomination Notice is received by the secretary of the Company, the Eligible Stockholder owns, and has owned continuously for the preceding three years, the Required Shares, and the Eligible Stockholder’s agreement to provide (1) written statements from the record holder and intermediaries verifying the Eligible Stockholder’s continuous ownership of the Required Shares through the record date by not later than the close of business on the fifth business day after (x) the record date (if, prior to the record date, the Company (a) disclosed such date by press release or any filing with the SEC or (b) delivered a written notice of the record date (including by electronic mail) to the Eligible Stockholder) or (y) the date on which the Company delivered to the Eligible Stockholder written notice (including by electronic mail) of the record date (if such notice is provided after the record date); and (2) immediate notice if the Eligible Stockholder ceases to own any of the Required Shares prior to the date of the annual meeting of stockholders;</w:t>
      </w:r>
    </w:p>
    <w:p>
      <w:pPr>
        <w:spacing w:after="0" w:line="8" w:lineRule="exact"/>
        <w:rPr>
          <w:rFonts w:ascii="Arial" w:cs="Arial" w:eastAsia="Arial" w:hAnsi="Arial"/>
          <w:sz w:val="18"/>
          <w:szCs w:val="18"/>
          <w:color w:val="auto"/>
        </w:rPr>
      </w:pPr>
    </w:p>
    <w:p>
      <w:pPr>
        <w:ind w:left="4" w:hanging="4"/>
        <w:spacing w:after="0" w:line="236" w:lineRule="auto"/>
        <w:tabs>
          <w:tab w:leader="none" w:pos="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documentation satisfactory to the Company demonstrating that a group of funds are entitled to be treated as one stockholder or person for purposes of this Article II, Section 11(c); (D) a representation that the Eligible Stockholder (including each member of any group of stockholders that together is an Eligible Stockholder hereunder): (1) acquired the Required Shares in the ordinary course of business and not with the intent to change or influence control of the Company, and does not presently have such intent, (2) has not nominated and will not nominate for election to the Board of Directors at the meeting any person other than the Proxy Access Nominee(s) being nominated pursuant to this Article II, Section 11(c) (3)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Proxy Access Nominee(s) or a nominee of the Board of Directors, (4) will not distribute to any stockholder any form of proxy for the annual meeting of stockholders other than the form distributed by the corporation, and (5)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4"/>
          </w:cols>
          <w:pgMar w:left="976" w:top="1413" w:right="339" w:bottom="1440" w:gutter="0" w:footer="0" w:header="0"/>
        </w:sectPr>
      </w:pPr>
    </w:p>
    <w:bookmarkStart w:id="13" w:name="page14"/>
    <w:bookmarkEnd w:id="13"/>
    <w:p>
      <w:pPr>
        <w:ind w:right="20"/>
        <w:spacing w:after="0" w:line="236" w:lineRule="auto"/>
        <w:rPr>
          <w:sz w:val="20"/>
          <w:szCs w:val="20"/>
          <w:color w:val="auto"/>
        </w:rPr>
      </w:pPr>
      <w:r>
        <w:rPr>
          <w:rFonts w:ascii="Arial" w:cs="Arial" w:eastAsia="Arial" w:hAnsi="Arial"/>
          <w:sz w:val="18"/>
          <w:szCs w:val="18"/>
          <w:color w:val="auto"/>
        </w:rPr>
        <w:t>light of the circumstances under which they were made, not misleading; (E) a description of all agreements, arrangements or understandings between the Eligible Stockholder and each Stockholder Nominee and any other person or persons, including the Stockholder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Stockholder Nominee were a director or executive officer of such registrant (the “Related Person Agreements”); (F) the written consent of each Proxy Access Nominee to be named in the corporation’s proxy statement as a nominee and to serve as a director if elected; (G) a copy of the Schedule 14N that has been filed with the SEC as required by Rule 14a-18 under the Exchange Act; (H) in the case of a nomination by a group of stockholders that together is an Eligible Stockholder, the designation by all group members of one group member that is authorized to act on behalf of all members of the nominating stockholder group with respect to the nominations and matters related thereto, including withdrawal of the nomination; and (I)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Company, (2) indemnify and hold harmless the Company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solicitation or other activity by the Eligible Stockholder in connection with its efforts to elect the Proxy Access Nominee pursuant to this Article II, Section 11(c), (3) file with the SEC any solicitation with the corporation’s stockholders relating to the meeting at which the Proxy Access Nominee will be nominated, regardless of whether any such filing is required pursuant to the proxy rules of the SEC or whether any exemption from filing is available for such solicitation pursuant to the proxy rules of the SEC, and (4) comply with all other applicable laws, rules, regulations and listing standards with respect to any solicitation in connection with the meeting.</w:t>
      </w:r>
    </w:p>
    <w:p>
      <w:pPr>
        <w:spacing w:after="0" w:line="219" w:lineRule="exact"/>
        <w:rPr>
          <w:sz w:val="20"/>
          <w:szCs w:val="20"/>
          <w:color w:val="auto"/>
        </w:rPr>
      </w:pPr>
    </w:p>
    <w:p>
      <w:pPr>
        <w:ind w:firstLine="644"/>
        <w:spacing w:after="0" w:line="245" w:lineRule="auto"/>
        <w:tabs>
          <w:tab w:leader="none" w:pos="10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Eligible Stockholder may with its Proxy Access Nomination Notice, provide to the Secretary, a written statement for inclusion in the corporation’s proxy statement for the annual meeting of stockholders, not to exceed 500 words per Proxy Access Nominee, in support of each Proxy Access Nominee it names in its Notice (the “Statement”). Notwithstanding anything to the contrary contained in this Article II, Section 11(c) the corporation may omit from its proxy statement any information or Statement that it believes would violate any applicable law, rule, regulation, or listing standard.</w:t>
      </w:r>
    </w:p>
    <w:p>
      <w:pPr>
        <w:spacing w:after="0" w:line="199" w:lineRule="exact"/>
        <w:rPr>
          <w:rFonts w:ascii="Arial" w:cs="Arial" w:eastAsia="Arial" w:hAnsi="Arial"/>
          <w:sz w:val="18"/>
          <w:szCs w:val="18"/>
          <w:color w:val="auto"/>
        </w:rPr>
      </w:pPr>
    </w:p>
    <w:p>
      <w:pPr>
        <w:ind w:right="260" w:firstLine="644"/>
        <w:spacing w:after="0" w:line="245" w:lineRule="auto"/>
        <w:tabs>
          <w:tab w:leader="none" w:pos="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true and correct.</w:t>
      </w:r>
    </w:p>
    <w:p>
      <w:pPr>
        <w:spacing w:after="0" w:line="199" w:lineRule="exact"/>
        <w:rPr>
          <w:rFonts w:ascii="Arial" w:cs="Arial" w:eastAsia="Arial" w:hAnsi="Arial"/>
          <w:sz w:val="18"/>
          <w:szCs w:val="18"/>
          <w:color w:val="auto"/>
        </w:rPr>
      </w:pPr>
    </w:p>
    <w:p>
      <w:pPr>
        <w:ind w:right="20" w:firstLine="644"/>
        <w:spacing w:after="0" w:line="260" w:lineRule="auto"/>
        <w:tabs>
          <w:tab w:leader="none" w:pos="90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corporation shall not be required to include pursuant to this Article II, Section 11(c) any Proxy Access Nominee in its proxy materials (or, if the proxy materials have already been filed, to allow the nomination of a Proxy Access Nominee, notwithstanding that proxies in respect of such vote may have been received by the corporation) if (A) the Secretary receives a notice that any stockholder has nominated any person for election to the Board of Directors at such meeting pursuant to the advance notice requirements set forth in Article II, Section 11(b); (B) the Eligible Stockholder has or is engaged in, or has been or is a “participant” in another person’s, “solicitation” within the meaning of Rule 14a-1(l) under the Exchange Act in support of the election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980" w:top="1413" w:right="359" w:bottom="1440" w:gutter="0" w:footer="0" w:header="0"/>
        </w:sectPr>
      </w:pPr>
    </w:p>
    <w:bookmarkStart w:id="14" w:name="page15"/>
    <w:bookmarkEnd w:id="14"/>
    <w:p>
      <w:pPr>
        <w:ind w:left="640" w:right="20"/>
        <w:spacing w:after="0" w:line="238" w:lineRule="auto"/>
        <w:rPr>
          <w:sz w:val="20"/>
          <w:szCs w:val="20"/>
          <w:color w:val="auto"/>
        </w:rPr>
      </w:pPr>
      <w:r>
        <w:rPr>
          <w:rFonts w:ascii="Arial" w:cs="Arial" w:eastAsia="Arial" w:hAnsi="Arial"/>
          <w:sz w:val="18"/>
          <w:szCs w:val="18"/>
          <w:color w:val="auto"/>
        </w:rPr>
        <w:t>of any individual as a director at the annual meeting of stockholders other than its Proxy Access Nominee(s) or any other nominee of the Board of Directors, (C) the Proxy Access Nominee is determined by the Board of Directors not to be independent under the Independence Standards, (D) the Proxy Access Nominee’s election as a director would cause the corporation to be in violation of these Bylaws, the corporation’s certificate of incorporation, the Board Qualifications, the listing standards of the principal exchange upon which the corporation’s shares are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defined in Section 8 of the Clayton Antitrust Act of 1914, (G) the Proxy Access Nominee is a named subject of a pending criminal proceeding (excluding traffic violations and other minor offenses) or has been convicted in such a criminal proceeding within the past ten years, (H) the Proxy Access Nominee is subject to any order of the type specified in Rule 506(d) of Regulation D under the Securities Act, or (I)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Article II, Section 11(c).</w:t>
      </w:r>
    </w:p>
    <w:p>
      <w:pPr>
        <w:spacing w:after="0" w:line="204" w:lineRule="exact"/>
        <w:rPr>
          <w:sz w:val="20"/>
          <w:szCs w:val="20"/>
          <w:color w:val="auto"/>
        </w:rPr>
      </w:pPr>
    </w:p>
    <w:p>
      <w:pPr>
        <w:ind w:left="640" w:firstLine="644"/>
        <w:spacing w:after="0"/>
        <w:tabs>
          <w:tab w:leader="none" w:pos="15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if (A) the Proxy Access Nominee and/or the applicable Eligible Stockholder shall have breached its or their agreements, representations, undertakings and/or obligations pursuant to this Article II, Section 11(c) as determined by the Board of Directors or the person presiding at the meeting, or (B) the Eligible Stockholder (or a qualified representative thereof) does not appear at the meeting to present any nomination pursuant to this Article II, Section 11(c),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the corporation shall not be required to include in its proxy statement any successor or replacement nominee proposed by the applicable Eligible Stockholder or any other Eligible Stockholder.</w:t>
      </w:r>
    </w:p>
    <w:p>
      <w:pPr>
        <w:spacing w:after="0" w:line="207" w:lineRule="exact"/>
        <w:rPr>
          <w:rFonts w:ascii="Arial" w:cs="Arial" w:eastAsia="Arial" w:hAnsi="Arial"/>
          <w:sz w:val="18"/>
          <w:szCs w:val="18"/>
          <w:color w:val="auto"/>
        </w:rPr>
      </w:pPr>
    </w:p>
    <w:p>
      <w:pPr>
        <w:ind w:left="640" w:firstLine="644"/>
        <w:spacing w:after="0" w:line="245" w:lineRule="auto"/>
        <w:tabs>
          <w:tab w:leader="none" w:pos="162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Stockholder Nominee who is included in the corporation’s proxy materials for a particular annual meeting of stockholders but either (A) withdraws from or becomes ineligible or unavailable for election at the meeting, or (B) does not receive at least twenty percent (20%) of the votes cast in favor of the Proxy Access Nominee’s election, shall be ineligible to be a Proxy Access Nominee pursuant to this Article II, Section 11(c) for the next two annual meetings of stockholders following the meeting for which the Stockholder Nominee has been nominated for election.</w:t>
      </w:r>
    </w:p>
    <w:p>
      <w:pPr>
        <w:spacing w:after="0" w:line="199" w:lineRule="exact"/>
        <w:rPr>
          <w:rFonts w:ascii="Arial" w:cs="Arial" w:eastAsia="Arial" w:hAnsi="Arial"/>
          <w:sz w:val="18"/>
          <w:szCs w:val="18"/>
          <w:color w:val="auto"/>
        </w:rPr>
      </w:pPr>
    </w:p>
    <w:p>
      <w:pPr>
        <w:ind w:left="640" w:right="500" w:firstLine="644"/>
        <w:spacing w:after="0" w:line="276" w:lineRule="auto"/>
        <w:tabs>
          <w:tab w:leader="none" w:pos="16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This Article II, Section 11(c) provides the exclusive method for stockholders to include nominees for director in the corporation’s proxy materials with respect to an annual meeting of stockholders.</w:t>
      </w:r>
    </w:p>
    <w:p>
      <w:pPr>
        <w:spacing w:after="0" w:line="171" w:lineRule="exact"/>
        <w:rPr>
          <w:rFonts w:ascii="Arial" w:cs="Arial" w:eastAsia="Arial" w:hAnsi="Arial"/>
          <w:sz w:val="18"/>
          <w:szCs w:val="18"/>
          <w:color w:val="auto"/>
        </w:rPr>
      </w:pPr>
    </w:p>
    <w:p>
      <w:pPr>
        <w:ind w:left="-20" w:right="500" w:firstLine="656"/>
        <w:spacing w:after="0" w:line="276" w:lineRule="auto"/>
        <w:tabs>
          <w:tab w:leader="none" w:pos="8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all business other than director nominations, a stockholder's notice to the Secretary shall set forth as to each matter the stockholder proposes to bring before the annual meeting or properly called special meeting:</w:t>
      </w:r>
    </w:p>
    <w:p>
      <w:pPr>
        <w:spacing w:after="0" w:line="171" w:lineRule="exact"/>
        <w:rPr>
          <w:rFonts w:ascii="Arial" w:cs="Arial" w:eastAsia="Arial" w:hAnsi="Arial"/>
          <w:sz w:val="18"/>
          <w:szCs w:val="18"/>
          <w:color w:val="auto"/>
        </w:rPr>
      </w:pPr>
    </w:p>
    <w:p>
      <w:pPr>
        <w:ind w:left="640" w:right="20" w:firstLine="644"/>
        <w:spacing w:after="0" w:line="276" w:lineRule="auto"/>
        <w:tabs>
          <w:tab w:leader="none" w:pos="149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and the reasons for conducting such business at the meeting,</w:t>
      </w:r>
    </w:p>
    <w:p>
      <w:pPr>
        <w:spacing w:after="0" w:line="171" w:lineRule="exact"/>
        <w:rPr>
          <w:rFonts w:ascii="Arial" w:cs="Arial" w:eastAsia="Arial" w:hAnsi="Arial"/>
          <w:sz w:val="18"/>
          <w:szCs w:val="18"/>
          <w:color w:val="auto"/>
        </w:rPr>
      </w:pPr>
    </w:p>
    <w:p>
      <w:pPr>
        <w:ind w:left="640" w:right="320" w:firstLine="644"/>
        <w:spacing w:after="0" w:line="248" w:lineRule="auto"/>
        <w:tabs>
          <w:tab w:leader="none" w:pos="15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other information relating to the proposing stockholder or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40" w:top="1413" w:right="359" w:bottom="1440" w:gutter="0" w:footer="0" w:header="0"/>
        </w:sectPr>
      </w:pPr>
    </w:p>
    <w:bookmarkStart w:id="15" w:name="page16"/>
    <w:bookmarkEnd w:id="15"/>
    <w:p>
      <w:pPr>
        <w:spacing w:after="0" w:line="216" w:lineRule="exact"/>
        <w:rPr>
          <w:sz w:val="20"/>
          <w:szCs w:val="20"/>
          <w:color w:val="auto"/>
        </w:rPr>
      </w:pPr>
    </w:p>
    <w:p>
      <w:pPr>
        <w:jc w:val="both"/>
        <w:ind w:left="660" w:right="40" w:firstLine="644"/>
        <w:spacing w:after="0" w:line="264" w:lineRule="auto"/>
        <w:tabs>
          <w:tab w:leader="none" w:pos="15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spacing w:after="0" w:line="196" w:lineRule="exact"/>
        <w:rPr>
          <w:rFonts w:ascii="Arial" w:cs="Arial" w:eastAsia="Arial" w:hAnsi="Arial"/>
          <w:sz w:val="18"/>
          <w:szCs w:val="18"/>
          <w:color w:val="auto"/>
        </w:rPr>
      </w:pPr>
    </w:p>
    <w:p>
      <w:pPr>
        <w:ind w:left="1600" w:hanging="296"/>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required by Article II, Section 11(b)(vi) above.</w:t>
      </w:r>
    </w:p>
    <w:p>
      <w:pPr>
        <w:spacing w:after="0" w:line="23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w:t>
      </w:r>
    </w:p>
    <w:p>
      <w:pPr>
        <w:spacing w:after="0" w:line="172" w:lineRule="exact"/>
        <w:rPr>
          <w:sz w:val="20"/>
          <w:szCs w:val="20"/>
          <w:color w:val="auto"/>
        </w:rPr>
      </w:pPr>
    </w:p>
    <w:p>
      <w:pPr>
        <w:jc w:val="both"/>
        <w:ind w:right="500" w:firstLine="656"/>
        <w:spacing w:after="0" w:line="255" w:lineRule="auto"/>
        <w:tabs>
          <w:tab w:leader="none" w:pos="9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w:t>
      </w:r>
    </w:p>
    <w:p>
      <w:pPr>
        <w:spacing w:after="0" w:line="190" w:lineRule="exact"/>
        <w:rPr>
          <w:rFonts w:ascii="Arial" w:cs="Arial" w:eastAsia="Arial" w:hAnsi="Arial"/>
          <w:sz w:val="18"/>
          <w:szCs w:val="18"/>
          <w:color w:val="auto"/>
        </w:rPr>
      </w:pPr>
    </w:p>
    <w:p>
      <w:pPr>
        <w:ind w:left="1520" w:hanging="216"/>
        <w:spacing w:after="0"/>
        <w:tabs>
          <w:tab w:leader="none" w:pos="15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 any committee thereof (or stockholders pursuant to Article II, Section 5</w:t>
      </w:r>
    </w:p>
    <w:p>
      <w:pPr>
        <w:spacing w:after="0" w:line="1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above), or</w:t>
      </w:r>
    </w:p>
    <w:p>
      <w:pPr>
        <w:spacing w:after="0" w:line="216" w:lineRule="exact"/>
        <w:rPr>
          <w:rFonts w:ascii="Arial" w:cs="Arial" w:eastAsia="Arial" w:hAnsi="Arial"/>
          <w:sz w:val="18"/>
          <w:szCs w:val="18"/>
          <w:color w:val="auto"/>
        </w:rPr>
      </w:pPr>
    </w:p>
    <w:p>
      <w:pPr>
        <w:jc w:val="both"/>
        <w:ind w:left="660" w:right="20" w:firstLine="644"/>
        <w:spacing w:after="0" w:line="248" w:lineRule="auto"/>
        <w:tabs>
          <w:tab w:leader="none" w:pos="15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provided that the Board of Directors (or stockholders pursuant to Article II, Section 5 above) has determined that directors shall be elected at such meeting, by any stockholder of the corporation who is a stockholder of record at the time the notice provided for in this Article II, Section 11 is delivered to the Secretary, who is entitled to vote at the meeting and upon such election and who complies with the notice procedures set forth in this Article II, Section 11.</w:t>
      </w:r>
    </w:p>
    <w:p>
      <w:pPr>
        <w:spacing w:after="0" w:line="197"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Article II, Section 11 shall be delivered to the Secretary at the principal executive offices of the corporation not later than the close of business on the tenth (10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day on which notice of the date of the special meeting was mailed or public disclosure of the date of the special meeting was made by the corporation, whichever first occurs. In no event shall any adjournment or postponement of a special meeting, or the public disclosure thereof, commence a new time period (or extend any notice time period).</w:t>
      </w:r>
    </w:p>
    <w:p>
      <w:pPr>
        <w:spacing w:after="0" w:line="204"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w:t>
      </w:r>
    </w:p>
    <w:p>
      <w:pPr>
        <w:spacing w:after="0" w:line="238" w:lineRule="exact"/>
        <w:rPr>
          <w:rFonts w:ascii="Arial" w:cs="Arial" w:eastAsia="Arial" w:hAnsi="Arial"/>
          <w:sz w:val="18"/>
          <w:szCs w:val="18"/>
          <w:color w:val="auto"/>
        </w:rPr>
      </w:pPr>
    </w:p>
    <w:p>
      <w:pPr>
        <w:ind w:left="660" w:right="700" w:firstLine="644"/>
        <w:spacing w:after="0" w:line="276" w:lineRule="auto"/>
        <w:tabs>
          <w:tab w:leader="none" w:pos="1518"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 nominations shall be made or business shall be conducted at any annual meeting or special meeting except in accordance with the procedures set forth in this Article II, Section 11, and</w:t>
      </w:r>
    </w:p>
    <w:p>
      <w:pPr>
        <w:spacing w:after="0" w:line="171" w:lineRule="exact"/>
        <w:rPr>
          <w:rFonts w:ascii="Arial" w:cs="Arial" w:eastAsia="Arial" w:hAnsi="Arial"/>
          <w:sz w:val="18"/>
          <w:szCs w:val="18"/>
          <w:color w:val="auto"/>
        </w:rPr>
      </w:pPr>
    </w:p>
    <w:p>
      <w:pPr>
        <w:ind w:left="660" w:firstLine="644"/>
        <w:spacing w:after="0"/>
        <w:tabs>
          <w:tab w:leader="none" w:pos="1558" w:val="left"/>
        </w:tabs>
        <w:numPr>
          <w:ilvl w:val="1"/>
          <w:numId w:val="19"/>
        </w:numPr>
        <w:rPr>
          <w:rFonts w:ascii="Arial" w:cs="Arial" w:eastAsia="Arial" w:hAnsi="Arial"/>
          <w:sz w:val="18"/>
          <w:szCs w:val="18"/>
          <w:color w:val="auto"/>
        </w:rPr>
      </w:pPr>
      <w:r>
        <w:rPr>
          <w:rFonts w:ascii="Arial" w:cs="Arial" w:eastAsia="Arial" w:hAnsi="Arial"/>
          <w:sz w:val="18"/>
          <w:szCs w:val="18"/>
          <w:color w:val="auto"/>
        </w:rPr>
        <w:t>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at the meeting to present the proposed business or nominations, such business or nominations shall not be considered, notwithstanding that proxies in respect of such business or nominations may have been received by the corporation. The Chairman of the meeting shall, if the facts warrant, determine and declare at the meeting that any nomination or business, as the case may be, was not properly brought before the meeting and in accordance with the provisions of this Article II, Section 11, and, if he should so determine, he shall so declare at the meeting that any such nomination or business, as the case may be, not properly brought before the meeting shall not be transacted.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440" w:right="359" w:bottom="1440" w:gutter="0" w:footer="0" w:header="0"/>
        </w:sectPr>
      </w:pPr>
    </w:p>
    <w:bookmarkStart w:id="16" w:name="page17"/>
    <w:bookmarkEnd w:id="16"/>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 Conduct of Meetings.</w:t>
      </w:r>
    </w:p>
    <w:p>
      <w:pPr>
        <w:spacing w:after="0" w:line="241" w:lineRule="exact"/>
        <w:rPr>
          <w:sz w:val="20"/>
          <w:szCs w:val="20"/>
          <w:color w:val="auto"/>
        </w:rPr>
      </w:pPr>
    </w:p>
    <w:p>
      <w:pPr>
        <w:ind w:firstLine="656"/>
        <w:spacing w:after="0" w:line="248" w:lineRule="auto"/>
        <w:tabs>
          <w:tab w:leader="none" w:pos="9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of Directors, if any, or in his or her absence, the Chief Executive Officer, if any, or in his or her absence by the President, if any,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97" w:lineRule="exact"/>
        <w:rPr>
          <w:rFonts w:ascii="Arial" w:cs="Arial" w:eastAsia="Arial" w:hAnsi="Arial"/>
          <w:sz w:val="18"/>
          <w:szCs w:val="18"/>
          <w:color w:val="auto"/>
        </w:rPr>
      </w:pPr>
    </w:p>
    <w:p>
      <w:pPr>
        <w:ind w:firstLine="656"/>
        <w:spacing w:after="0" w:line="237" w:lineRule="auto"/>
        <w:tabs>
          <w:tab w:leader="none" w:pos="9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 Inspector of Elections.</w:t>
      </w:r>
    </w:p>
    <w:p>
      <w:pPr>
        <w:spacing w:after="0" w:line="241"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color w:val="auto"/>
        </w:rPr>
        <w:t>Section 1. Number of Directors.</w:t>
      </w:r>
    </w:p>
    <w:p>
      <w:pPr>
        <w:spacing w:after="0" w:line="241" w:lineRule="exact"/>
        <w:rPr>
          <w:sz w:val="20"/>
          <w:szCs w:val="20"/>
          <w:color w:val="auto"/>
        </w:rPr>
      </w:pPr>
    </w:p>
    <w:p>
      <w:pPr>
        <w:jc w:val="both"/>
        <w:ind w:right="260" w:firstLine="648"/>
        <w:spacing w:after="0" w:line="255" w:lineRule="auto"/>
        <w:rPr>
          <w:sz w:val="20"/>
          <w:szCs w:val="20"/>
          <w:color w:val="auto"/>
        </w:rPr>
      </w:pPr>
      <w:r>
        <w:rPr>
          <w:rFonts w:ascii="Arial" w:cs="Arial" w:eastAsia="Arial" w:hAnsi="Arial"/>
          <w:sz w:val="18"/>
          <w:szCs w:val="18"/>
          <w:color w:val="auto"/>
        </w:rPr>
        <w:t>The authorized number of directors of the corporation shall be seven.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Election of Directors.</w:t>
      </w:r>
    </w:p>
    <w:p>
      <w:pPr>
        <w:spacing w:after="0" w:line="241"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All directors shall hold office until the expiration of the term for which elected and qualified and until their respective successors are elected, except in the case of death, resignation or removal of any director. A director need not be a stockholder.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Majority Voting.</w:t>
      </w:r>
    </w:p>
    <w:p>
      <w:pPr>
        <w:spacing w:after="0" w:line="241"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Except as provided in Section 5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not counted as a vote cast either “for” or “against” that director’s election). The Governance Committee has established procedures under which any incumbent director that fails to receive a majority of the votes cast in an election that is not a Contested Election shall offer to tender his or her resignation to the Board. The Governance Committee shall make a recommendation to the Board on whether to accept or reject the resignation of such incumbent director, or whether other action should be taken. The Board shall act on the resignation, taking into account the Governance Committee’s recommendation, and publicly disclose its decision and the rationale behind it within ninety (90) days from the date of the certification of the election results.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Resignation of Directors.</w:t>
      </w:r>
    </w:p>
    <w:p>
      <w:pPr>
        <w:spacing w:after="0" w:line="241"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7"/>
          <w:szCs w:val="17"/>
          <w:color w:val="auto"/>
        </w:rPr>
        <w:t>Any director may resign effective upon giving notice in writing or by electronic transmission to the Chairman of the Board, the Chief Executive Officer, the President, the Secretary or the Board of Directors, unless the notice specifies a later time for the effectiveness of such resignation. If the resignation is effective at a future time, a successor may be elected to take office when the resignation becomes effective.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Removal of Directors.</w:t>
      </w:r>
    </w:p>
    <w:p>
      <w:pPr>
        <w:spacing w:after="0" w:line="241" w:lineRule="exact"/>
        <w:rPr>
          <w:sz w:val="20"/>
          <w:szCs w:val="20"/>
          <w:color w:val="auto"/>
        </w:rPr>
      </w:pPr>
    </w:p>
    <w:p>
      <w:pPr>
        <w:jc w:val="both"/>
        <w:ind w:right="180" w:firstLine="648"/>
        <w:spacing w:after="0" w:line="248" w:lineRule="auto"/>
        <w:rPr>
          <w:sz w:val="20"/>
          <w:szCs w:val="20"/>
          <w:color w:val="auto"/>
        </w:rPr>
      </w:pPr>
      <w:r>
        <w:rPr>
          <w:rFonts w:ascii="Arial" w:cs="Arial" w:eastAsia="Arial" w:hAnsi="Arial"/>
          <w:sz w:val="18"/>
          <w:szCs w:val="18"/>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Vacancies.</w:t>
      </w:r>
    </w:p>
    <w:p>
      <w:pPr>
        <w:spacing w:after="0" w:line="241" w:lineRule="exact"/>
        <w:rPr>
          <w:sz w:val="20"/>
          <w:szCs w:val="20"/>
          <w:color w:val="auto"/>
        </w:rPr>
      </w:pPr>
    </w:p>
    <w:p>
      <w:pPr>
        <w:jc w:val="both"/>
        <w:ind w:right="180" w:firstLine="648"/>
        <w:spacing w:after="0" w:line="255" w:lineRule="auto"/>
        <w:rPr>
          <w:sz w:val="20"/>
          <w:szCs w:val="20"/>
          <w:color w:val="auto"/>
        </w:rPr>
      </w:pPr>
      <w:r>
        <w:rPr>
          <w:rFonts w:ascii="Arial" w:cs="Arial" w:eastAsia="Arial" w:hAnsi="Arial"/>
          <w:sz w:val="18"/>
          <w:szCs w:val="18"/>
          <w:color w:val="auto"/>
        </w:rPr>
        <w:t>Unless otherwise provided by law or the Certificate of Incorporation, any newly created directorship or any vacancy occurring in the Board of Directors for any reason shall be filled by a majority of the directors then in office, whether or not less than a quorum, or by a sole remaining director. Each</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11" w:right="339" w:bottom="1440" w:gutter="0" w:footer="0" w:header="0"/>
        </w:sectPr>
      </w:pPr>
    </w:p>
    <w:bookmarkStart w:id="18" w:name="page19"/>
    <w:bookmarkEnd w:id="18"/>
    <w:p>
      <w:pPr>
        <w:ind w:right="280"/>
        <w:spacing w:after="0" w:line="276" w:lineRule="auto"/>
        <w:rPr>
          <w:sz w:val="20"/>
          <w:szCs w:val="20"/>
          <w:color w:val="auto"/>
        </w:rPr>
      </w:pPr>
      <w:r>
        <w:rPr>
          <w:rFonts w:ascii="Arial" w:cs="Arial" w:eastAsia="Arial" w:hAnsi="Arial"/>
          <w:sz w:val="18"/>
          <w:szCs w:val="18"/>
          <w:color w:val="auto"/>
        </w:rPr>
        <w:t>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172"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Powers.</w:t>
      </w:r>
    </w:p>
    <w:p>
      <w:pPr>
        <w:spacing w:after="0" w:line="24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Place of Meetings.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the corporation may hold meetings, both regular and special, either within or without the State of Delaware.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 Notice.</w:t>
      </w:r>
    </w:p>
    <w:p>
      <w:pPr>
        <w:spacing w:after="0" w:line="241" w:lineRule="exact"/>
        <w:rPr>
          <w:sz w:val="20"/>
          <w:szCs w:val="20"/>
          <w:color w:val="auto"/>
        </w:rPr>
      </w:pPr>
    </w:p>
    <w:p>
      <w:pPr>
        <w:ind w:right="220" w:firstLine="648"/>
        <w:spacing w:after="0" w:line="276"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 Special Meetings.</w:t>
      </w:r>
    </w:p>
    <w:p>
      <w:pPr>
        <w:spacing w:after="0" w:line="241"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Special meetings of the Board may be called by the Chairman of the Board of Directors or the Chief Executive Officer on two (2) days' notice to each director, either personally or by mail or by phone, facsimile or other electronic transmission; special meetings shall be called by the Chief Executive Officer or Secretary in like manner and on like notice on the request of the Chairman of the Board of Directors or two (2) directors.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Quorum.</w:t>
      </w:r>
    </w:p>
    <w:p>
      <w:pPr>
        <w:spacing w:after="0" w:line="241"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 Written Consent.</w:t>
      </w:r>
    </w:p>
    <w:p>
      <w:pPr>
        <w:spacing w:after="0" w:line="241" w:lineRule="exact"/>
        <w:rPr>
          <w:sz w:val="20"/>
          <w:szCs w:val="20"/>
          <w:color w:val="auto"/>
        </w:rPr>
      </w:pPr>
    </w:p>
    <w:p>
      <w:pPr>
        <w:ind w:right="100" w:firstLine="648"/>
        <w:spacing w:after="0" w:line="248"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of Directors or committee in accordance with applicable law.</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 Meeting by 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13" w:right="339" w:bottom="1440" w:gutter="0" w:footer="0" w:header="0"/>
        </w:sectPr>
      </w:pPr>
    </w:p>
    <w:bookmarkStart w:id="19" w:name="page20"/>
    <w:bookmarkEnd w:id="19"/>
    <w:p>
      <w:pPr>
        <w:spacing w:after="0" w:line="216"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14. Board Committees.</w:t>
      </w:r>
    </w:p>
    <w:p>
      <w:pPr>
        <w:spacing w:after="0" w:line="241" w:lineRule="exact"/>
        <w:rPr>
          <w:sz w:val="20"/>
          <w:szCs w:val="20"/>
          <w:color w:val="auto"/>
        </w:rPr>
      </w:pPr>
    </w:p>
    <w:p>
      <w:pPr>
        <w:ind w:firstLine="656"/>
        <w:spacing w:after="0"/>
        <w:tabs>
          <w:tab w:leader="none" w:pos="91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Executive Committee. </w:t>
      </w:r>
      <w:r>
        <w:rPr>
          <w:rFonts w:ascii="Arial" w:cs="Arial" w:eastAsia="Arial" w:hAnsi="Arial"/>
          <w:sz w:val="18"/>
          <w:szCs w:val="18"/>
          <w:color w:val="auto"/>
        </w:rPr>
        <w:t>The Board of Directors may designate an executive committee consisting of one or more of the directors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The Board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207" w:lineRule="exact"/>
        <w:rPr>
          <w:rFonts w:ascii="Arial" w:cs="Arial" w:eastAsia="Arial" w:hAnsi="Arial"/>
          <w:sz w:val="18"/>
          <w:szCs w:val="18"/>
          <w:color w:val="auto"/>
        </w:rPr>
      </w:pPr>
    </w:p>
    <w:p>
      <w:pPr>
        <w:ind w:right="60" w:firstLine="656"/>
        <w:spacing w:after="0" w:line="239" w:lineRule="auto"/>
        <w:tabs>
          <w:tab w:leader="none" w:pos="91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Other Committees. </w:t>
      </w:r>
      <w:r>
        <w:rPr>
          <w:rFonts w:ascii="Arial" w:cs="Arial" w:eastAsia="Arial" w:hAnsi="Arial"/>
          <w:sz w:val="18"/>
          <w:szCs w:val="18"/>
          <w:color w:val="auto"/>
        </w:rPr>
        <w:t>The Board of Directors may designate such other committees, each consisting of one or more directors, as it</w:t>
      </w:r>
      <w:r>
        <w:rPr>
          <w:rFonts w:ascii="Arial" w:cs="Arial" w:eastAsia="Arial" w:hAnsi="Arial"/>
          <w:sz w:val="18"/>
          <w:szCs w:val="18"/>
          <w:i w:val="1"/>
          <w:iCs w:val="1"/>
          <w:color w:val="auto"/>
        </w:rPr>
        <w:t xml:space="preserve"> </w:t>
      </w:r>
      <w:r>
        <w:rPr>
          <w:rFonts w:ascii="Arial" w:cs="Arial" w:eastAsia="Arial" w:hAnsi="Arial"/>
          <w:sz w:val="18"/>
          <w:szCs w:val="18"/>
          <w:color w:val="auto"/>
        </w:rPr>
        <w:t>may from time to time deem advisable to perform such general or special duties as may from time to time be delegated to any such committee by the Board of Directors, subject to the limitations imposed by law, the Certificate of Incorporation or by these Bylaws. The Board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206" w:lineRule="exact"/>
        <w:rPr>
          <w:rFonts w:ascii="Arial" w:cs="Arial" w:eastAsia="Arial" w:hAnsi="Arial"/>
          <w:sz w:val="18"/>
          <w:szCs w:val="18"/>
          <w:color w:val="auto"/>
        </w:rPr>
      </w:pPr>
    </w:p>
    <w:p>
      <w:pPr>
        <w:ind w:right="180" w:firstLine="656"/>
        <w:spacing w:after="0" w:line="248" w:lineRule="auto"/>
        <w:tabs>
          <w:tab w:leader="none" w:pos="90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Conduct of Committee Meetings. </w:t>
      </w:r>
      <w:r>
        <w:rPr>
          <w:rFonts w:ascii="Arial" w:cs="Arial" w:eastAsia="Arial" w:hAnsi="Arial"/>
          <w:sz w:val="18"/>
          <w:szCs w:val="18"/>
          <w:color w:val="auto"/>
        </w:rPr>
        <w:t>Unless the Board of Directors otherwise provides, each committee designated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make, alter and 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15. Compensation of Directors.</w:t>
      </w:r>
    </w:p>
    <w:p>
      <w:pPr>
        <w:spacing w:after="0" w:line="241" w:lineRule="exact"/>
        <w:rPr>
          <w:sz w:val="20"/>
          <w:szCs w:val="20"/>
          <w:color w:val="auto"/>
        </w:rPr>
      </w:pPr>
    </w:p>
    <w:p>
      <w:pPr>
        <w:ind w:right="80" w:firstLine="648"/>
        <w:spacing w:after="0" w:line="245"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19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ARTICLE IV - NOTICES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Notice to Directors and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ind w:right="140" w:firstLine="648"/>
        <w:spacing w:after="0" w:line="243" w:lineRule="auto"/>
        <w:rPr>
          <w:sz w:val="20"/>
          <w:szCs w:val="20"/>
          <w:color w:val="auto"/>
        </w:rPr>
      </w:pPr>
      <w:r>
        <w:rPr>
          <w:rFonts w:ascii="Arial" w:cs="Arial" w:eastAsia="Arial" w:hAnsi="Arial"/>
          <w:sz w:val="18"/>
          <w:szCs w:val="18"/>
          <w:color w:val="auto"/>
        </w:rPr>
        <w:t>Whenever, under any provision of applicable law, the Certificate of Incorporation or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facsimile or by other forms of electronic transmission. Notice to stockholders may also be given by electronic transmission in compliance with applicable law.</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Waiver of Notice.</w:t>
      </w:r>
    </w:p>
    <w:p>
      <w:pPr>
        <w:spacing w:after="0" w:line="241"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Whenever any notice is required to be given under any provision of Delaware law, the Certificate of Incorporation or these Bylaws, a waiver thereof in writing, signed by the person entitled to notice, or a waiver thereof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 - OFFICERS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Officers.</w:t>
      </w:r>
    </w:p>
    <w:p>
      <w:pPr>
        <w:spacing w:after="0" w:line="241"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The officers of the corporation shall be a Chief Executive Officer and a Secretary. The corporation may also have, at the discretion of the Board of Directors, a Chairman of the Board of Directors, a Vice Chairman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Appointment of Officers.</w:t>
      </w:r>
    </w:p>
    <w:p>
      <w:pPr>
        <w:spacing w:after="0" w:line="24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The Board of Directors shall appoint the officers of the corporation, including such officers as may be appointed in accordance with the provisions of Article V, Section 3 of these Bylaws, subject to the rights, if any, of an officer under any contract of employment.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Subordinate Officers.</w:t>
      </w:r>
    </w:p>
    <w:p>
      <w:pPr>
        <w:spacing w:after="0" w:line="241"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The Board of Directors or Chief Executive Officer may appoint, or in the absence of a Chief Executive Officer the President may appoint, subordinate officers and agents as the business of the corporation may require. Each of such officers and agents shall hold office for such period, have such authority, and perform such duties as are provided in these Bylaws or as the Board of Directors, Chief Executive Officer or President may from time to time determine.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Removal and Resignation of Officers.</w:t>
      </w:r>
    </w:p>
    <w:p>
      <w:pPr>
        <w:spacing w:after="0" w:line="241" w:lineRule="exact"/>
        <w:rPr>
          <w:sz w:val="20"/>
          <w:szCs w:val="20"/>
          <w:color w:val="auto"/>
        </w:rPr>
      </w:pPr>
    </w:p>
    <w:p>
      <w:pPr>
        <w:ind w:right="100" w:firstLine="656"/>
        <w:spacing w:after="0" w:line="245" w:lineRule="auto"/>
        <w:tabs>
          <w:tab w:leader="none" w:pos="91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Removal</w:t>
      </w:r>
      <w:r>
        <w:rPr>
          <w:rFonts w:ascii="Arial" w:cs="Arial" w:eastAsia="Arial" w:hAnsi="Arial"/>
          <w:sz w:val="18"/>
          <w:szCs w:val="18"/>
          <w:color w:val="auto"/>
        </w:rPr>
        <w:t>. Subject to the rights, if any, of an officer under any contract of employment, any officer may be removed, either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An officer appointed by the Chief Executive Officer or President pursuant to Article V, Section 3, may be removed by the Chief Executive Officer or President.</w:t>
      </w:r>
    </w:p>
    <w:p>
      <w:pPr>
        <w:spacing w:after="0" w:line="199" w:lineRule="exact"/>
        <w:rPr>
          <w:rFonts w:ascii="Arial" w:cs="Arial" w:eastAsia="Arial" w:hAnsi="Arial"/>
          <w:sz w:val="18"/>
          <w:szCs w:val="18"/>
          <w:color w:val="auto"/>
        </w:rPr>
      </w:pPr>
    </w:p>
    <w:p>
      <w:pPr>
        <w:ind w:right="80" w:firstLine="656"/>
        <w:spacing w:after="0" w:line="276" w:lineRule="auto"/>
        <w:tabs>
          <w:tab w:leader="none" w:pos="91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Resignation. </w:t>
      </w:r>
      <w:r>
        <w:rPr>
          <w:rFonts w:ascii="Arial" w:cs="Arial" w:eastAsia="Arial" w:hAnsi="Arial"/>
          <w:sz w:val="18"/>
          <w:szCs w:val="18"/>
          <w:color w:val="auto"/>
        </w:rPr>
        <w:t>Any officer may resign at any time by giving written notice to the corporation. Any resignation shall take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receipt of that notice or at any later time specified in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413" w:right="359" w:bottom="1440" w:gutter="0" w:footer="0" w:header="0"/>
        </w:sectPr>
      </w:pPr>
    </w:p>
    <w:bookmarkStart w:id="21" w:name="page22"/>
    <w:bookmarkEnd w:id="21"/>
    <w:p>
      <w:pPr>
        <w:ind w:right="600"/>
        <w:spacing w:after="0" w:line="276" w:lineRule="auto"/>
        <w:rPr>
          <w:sz w:val="20"/>
          <w:szCs w:val="20"/>
          <w:color w:val="auto"/>
        </w:rPr>
      </w:pPr>
      <w:r>
        <w:rPr>
          <w:rFonts w:ascii="Arial" w:cs="Arial" w:eastAsia="Arial" w:hAnsi="Arial"/>
          <w:sz w:val="18"/>
          <w:szCs w:val="18"/>
          <w:color w:val="auto"/>
        </w:rPr>
        <w:t>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Vacancies in Office.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Article V, Section 3.</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Representation of Shares of Other Corporations.</w:t>
      </w:r>
    </w:p>
    <w:p>
      <w:pPr>
        <w:spacing w:after="0" w:line="241"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The Chairman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Authority and Duties of Officers.</w:t>
      </w:r>
    </w:p>
    <w:p>
      <w:pPr>
        <w:spacing w:after="0" w:line="241" w:lineRule="exact"/>
        <w:rPr>
          <w:sz w:val="20"/>
          <w:szCs w:val="20"/>
          <w:color w:val="auto"/>
        </w:rPr>
      </w:pPr>
    </w:p>
    <w:p>
      <w:pPr>
        <w:jc w:val="both"/>
        <w:ind w:right="220" w:firstLine="648"/>
        <w:spacing w:after="0" w:line="255"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 CERTIFICATES OF STOCK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Certificates.</w:t>
      </w:r>
    </w:p>
    <w:p>
      <w:pPr>
        <w:spacing w:after="0" w:line="241"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 Chairman of the Board of Directors, if any, or the President or a Vice President and the Treasurer or an Assistant Treasurer, or the Secretary or an Assistant Secretary certifying the number of shares owned by such holder in the corporation.</w:t>
      </w:r>
    </w:p>
    <w:p>
      <w:pPr>
        <w:spacing w:after="0" w:line="20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Signatures on Certificates.</w:t>
      </w:r>
    </w:p>
    <w:p>
      <w:pPr>
        <w:spacing w:after="0" w:line="241" w:lineRule="exact"/>
        <w:rPr>
          <w:sz w:val="20"/>
          <w:szCs w:val="20"/>
          <w:color w:val="auto"/>
        </w:rPr>
      </w:pPr>
    </w:p>
    <w:p>
      <w:pPr>
        <w:ind w:right="360" w:firstLine="648"/>
        <w:spacing w:after="0" w:line="255" w:lineRule="auto"/>
        <w:rPr>
          <w:sz w:val="20"/>
          <w:szCs w:val="20"/>
          <w:color w:val="auto"/>
        </w:rPr>
      </w:pPr>
      <w:r>
        <w:rPr>
          <w:rFonts w:ascii="Arial" w:cs="Arial" w:eastAsia="Arial" w:hAnsi="Arial"/>
          <w:sz w:val="18"/>
          <w:szCs w:val="18"/>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1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corporation with the same effect as if such person were such officer, transfer agent or registrar at the date of issue.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Lost Certificates.</w:t>
      </w:r>
    </w:p>
    <w:p>
      <w:pPr>
        <w:spacing w:after="0" w:line="241"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The Board of Directors may direct a new certificate or certificates of stock or uncertificated shares to be issued in place of any certificate or certificates theretofore issued by the corporation, alleged to have been lost, stolen or destroyed, upon the making of an affidavit to that fact by the person claiming the certificate of stock to be lost, stolen or destroyed. When authorizing such issue of a new certificate or certificates of stock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Transfer of Stock.</w:t>
      </w:r>
    </w:p>
    <w:p>
      <w:pPr>
        <w:spacing w:after="0" w:line="241" w:lineRule="exact"/>
        <w:rPr>
          <w:sz w:val="20"/>
          <w:szCs w:val="20"/>
          <w:color w:val="auto"/>
        </w:rPr>
      </w:pPr>
    </w:p>
    <w:p>
      <w:pPr>
        <w:ind w:right="80" w:firstLine="648"/>
        <w:spacing w:after="0" w:line="245" w:lineRule="auto"/>
        <w:rPr>
          <w:sz w:val="20"/>
          <w:szCs w:val="20"/>
          <w:color w:val="auto"/>
        </w:rPr>
      </w:pPr>
      <w:r>
        <w:rPr>
          <w:rFonts w:ascii="Arial" w:cs="Arial" w:eastAsia="Arial" w:hAnsi="Arial"/>
          <w:sz w:val="18"/>
          <w:szCs w:val="18"/>
          <w:color w:val="auto"/>
        </w:rPr>
        <w:t>Transfer of shares of stock of the corporation shall be made only on the transfer books of the corporation upon authorization by the registered holder thereof or by such holder’s attorney thereunto authorized by a power of attorney duly executed and filed with the Secretary or a transfer agent of such stock, and if such shares are represented by a certificate, upon surrender of the certificate or certificates for such shares properly endorsed or accompanied by a duly executed stock transfer power and payment of any taxes thereon; provided however, that the corporation shall be entitled to recognize any lawful restriction on transfer.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Record Date.</w:t>
      </w:r>
    </w:p>
    <w:p>
      <w:pPr>
        <w:spacing w:after="0" w:line="241" w:lineRule="exact"/>
        <w:rPr>
          <w:sz w:val="20"/>
          <w:szCs w:val="20"/>
          <w:color w:val="auto"/>
        </w:rPr>
      </w:pPr>
    </w:p>
    <w:p>
      <w:pPr>
        <w:ind w:right="20" w:firstLine="656"/>
        <w:spacing w:after="0" w:line="238" w:lineRule="auto"/>
        <w:tabs>
          <w:tab w:leader="none" w:pos="9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herewith at the reconvened meeting.</w:t>
      </w:r>
    </w:p>
    <w:p>
      <w:pPr>
        <w:spacing w:after="0" w:line="207" w:lineRule="exact"/>
        <w:rPr>
          <w:rFonts w:ascii="Arial" w:cs="Arial" w:eastAsia="Arial" w:hAnsi="Arial"/>
          <w:sz w:val="18"/>
          <w:szCs w:val="18"/>
          <w:color w:val="auto"/>
        </w:rPr>
      </w:pPr>
    </w:p>
    <w:p>
      <w:pPr>
        <w:ind w:firstLine="656"/>
        <w:spacing w:after="0" w:line="243" w:lineRule="auto"/>
        <w:tabs>
          <w:tab w:leader="none" w:pos="9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Registered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13" w:right="359" w:bottom="1440" w:gutter="0" w:footer="0" w:header="0"/>
        </w:sectPr>
      </w:pPr>
    </w:p>
    <w:bookmarkStart w:id="23" w:name="page24"/>
    <w:bookmarkEnd w:id="23"/>
    <w:p>
      <w:pPr>
        <w:ind w:right="180" w:firstLine="648"/>
        <w:spacing w:after="0" w:line="248"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 - FORUM FOR DISPUTES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Forum for Disputes.</w:t>
      </w:r>
    </w:p>
    <w:p>
      <w:pPr>
        <w:spacing w:after="0" w:line="241" w:lineRule="exact"/>
        <w:rPr>
          <w:sz w:val="20"/>
          <w:szCs w:val="20"/>
          <w:color w:val="auto"/>
        </w:rPr>
      </w:pPr>
    </w:p>
    <w:p>
      <w:pPr>
        <w:ind w:firstLine="656"/>
        <w:spacing w:after="0" w:line="245" w:lineRule="auto"/>
        <w:tabs>
          <w:tab w:leader="none" w:pos="9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Delaware, or (iv) any action asserting a claim governed by the internal affairs doctrine.</w:t>
      </w:r>
    </w:p>
    <w:p>
      <w:pPr>
        <w:spacing w:after="0" w:line="199" w:lineRule="exact"/>
        <w:rPr>
          <w:rFonts w:ascii="Arial" w:cs="Arial" w:eastAsia="Arial" w:hAnsi="Arial"/>
          <w:sz w:val="18"/>
          <w:szCs w:val="18"/>
          <w:color w:val="auto"/>
        </w:rPr>
      </w:pPr>
    </w:p>
    <w:p>
      <w:pPr>
        <w:ind w:right="160" w:firstLine="656"/>
        <w:spacing w:after="0" w:line="243" w:lineRule="auto"/>
        <w:tabs>
          <w:tab w:leader="none" w:pos="9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any action the subject matter of which is within the scope of Article VII, Section 1(a)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Article VII, Section 1(a) above (an “FSC Enforcement Action”) and (ii) having service of process made upon such stockholder in any such FSC Enforcement Action by service upon such stockholder’s counsel in the Foreign Action as agent for such stockholder.</w:t>
      </w:r>
    </w:p>
    <w:p>
      <w:pPr>
        <w:spacing w:after="0" w:line="200" w:lineRule="exact"/>
        <w:rPr>
          <w:rFonts w:ascii="Arial" w:cs="Arial" w:eastAsia="Arial" w:hAnsi="Arial"/>
          <w:sz w:val="18"/>
          <w:szCs w:val="18"/>
          <w:color w:val="auto"/>
        </w:rPr>
      </w:pPr>
    </w:p>
    <w:p>
      <w:pPr>
        <w:ind w:right="160" w:firstLine="656"/>
        <w:spacing w:after="0" w:line="276" w:lineRule="auto"/>
        <w:tabs>
          <w:tab w:leader="none" w:pos="9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enforce the foregoing provisions would cause the corporation irreparable harm and the corporation shall be entitled to equitable relief, including injunctive relief and specific performance, to enforce the foregoing provisions.</w:t>
      </w:r>
    </w:p>
    <w:p>
      <w:pPr>
        <w:spacing w:after="0" w:line="171" w:lineRule="exact"/>
        <w:rPr>
          <w:rFonts w:ascii="Arial" w:cs="Arial" w:eastAsia="Arial" w:hAnsi="Arial"/>
          <w:sz w:val="18"/>
          <w:szCs w:val="18"/>
          <w:color w:val="auto"/>
        </w:rPr>
      </w:pPr>
    </w:p>
    <w:p>
      <w:pPr>
        <w:ind w:right="120" w:firstLine="656"/>
        <w:spacing w:after="0" w:line="276" w:lineRule="auto"/>
        <w:tabs>
          <w:tab w:leader="none" w:pos="9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any interest in shares of capital stock of the corporation shall be deemed to have notice of and consented to the provisions of this Article VII Section 2.</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 - GENERAL PROVISIONS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Dividends.</w:t>
      </w:r>
    </w:p>
    <w:p>
      <w:pPr>
        <w:spacing w:after="0" w:line="241" w:lineRule="exact"/>
        <w:rPr>
          <w:sz w:val="20"/>
          <w:szCs w:val="20"/>
          <w:color w:val="auto"/>
        </w:rPr>
      </w:pPr>
    </w:p>
    <w:p>
      <w:pPr>
        <w:ind w:right="80" w:firstLine="656"/>
        <w:spacing w:after="0" w:line="255" w:lineRule="auto"/>
        <w:tabs>
          <w:tab w:leader="none" w:pos="91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Declaration of Dividends</w:t>
      </w:r>
      <w:r>
        <w:rPr>
          <w:rFonts w:ascii="Arial" w:cs="Arial" w:eastAsia="Arial" w:hAnsi="Arial"/>
          <w:sz w:val="18"/>
          <w:szCs w:val="18"/>
          <w:color w:val="auto"/>
        </w:rPr>
        <w:t>. Dividends upon the capital stock of the corporation, subject to the provision of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90" w:lineRule="exact"/>
        <w:rPr>
          <w:rFonts w:ascii="Arial" w:cs="Arial" w:eastAsia="Arial" w:hAnsi="Arial"/>
          <w:sz w:val="18"/>
          <w:szCs w:val="18"/>
          <w:color w:val="auto"/>
        </w:rPr>
      </w:pPr>
    </w:p>
    <w:p>
      <w:pPr>
        <w:ind w:right="200" w:firstLine="656"/>
        <w:spacing w:after="0" w:line="245" w:lineRule="auto"/>
        <w:tabs>
          <w:tab w:leader="none" w:pos="91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Payment of Dividends. </w:t>
      </w:r>
      <w:r>
        <w:rPr>
          <w:rFonts w:ascii="Arial" w:cs="Arial" w:eastAsia="Arial" w:hAnsi="Arial"/>
          <w:sz w:val="18"/>
          <w:szCs w:val="18"/>
          <w:color w:val="auto"/>
        </w:rPr>
        <w:t>Before payment of any dividend, there may be set aside out of funds of the corporation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Checks.</w:t>
      </w:r>
    </w:p>
    <w:p>
      <w:pPr>
        <w:spacing w:after="0" w:line="241" w:lineRule="exact"/>
        <w:rPr>
          <w:sz w:val="20"/>
          <w:szCs w:val="20"/>
          <w:color w:val="auto"/>
        </w:rPr>
      </w:pPr>
    </w:p>
    <w:p>
      <w:pPr>
        <w:ind w:right="380" w:firstLine="648"/>
        <w:spacing w:after="0" w:line="276" w:lineRule="auto"/>
        <w:rPr>
          <w:sz w:val="20"/>
          <w:szCs w:val="20"/>
          <w:color w:val="auto"/>
        </w:rPr>
      </w:pPr>
      <w:r>
        <w:rPr>
          <w:rFonts w:ascii="Arial" w:cs="Arial" w:eastAsia="Arial" w:hAnsi="Arial"/>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413" w:right="379" w:bottom="1440" w:gutter="0" w:footer="0" w:header="0"/>
        </w:sectPr>
      </w:pPr>
    </w:p>
    <w:bookmarkStart w:id="24" w:name="page25"/>
    <w:bookmarkEnd w:id="24"/>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Fiscal Year.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of Directors.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Corporate Seal</w:t>
      </w:r>
      <w:r>
        <w:rPr>
          <w:rFonts w:ascii="Arial" w:cs="Arial" w:eastAsia="Arial" w:hAnsi="Arial"/>
          <w:sz w:val="18"/>
          <w:szCs w:val="18"/>
          <w:color w:val="auto"/>
        </w:rPr>
        <w:t>.</w:t>
      </w:r>
    </w:p>
    <w:p>
      <w:pPr>
        <w:spacing w:after="0" w:line="241" w:lineRule="exact"/>
        <w:rPr>
          <w:sz w:val="20"/>
          <w:szCs w:val="20"/>
          <w:color w:val="auto"/>
        </w:rPr>
      </w:pPr>
    </w:p>
    <w:p>
      <w:pPr>
        <w:ind w:right="220" w:firstLine="648"/>
        <w:spacing w:after="0" w:line="276" w:lineRule="auto"/>
        <w:rPr>
          <w:sz w:val="20"/>
          <w:szCs w:val="20"/>
          <w:color w:val="auto"/>
        </w:rPr>
      </w:pPr>
      <w:r>
        <w:rPr>
          <w:rFonts w:ascii="Arial" w:cs="Arial" w:eastAsia="Arial" w:hAnsi="Arial"/>
          <w:sz w:val="18"/>
          <w:szCs w:val="18"/>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Indemnification.</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indemnify its officers, directors, employees and agents to the extent set forth in the Certificate of Incorporation.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Advancement of Expenses.</w:t>
      </w:r>
    </w:p>
    <w:p>
      <w:pPr>
        <w:spacing w:after="0" w:line="241"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corporation shall, to the fullest extent not prohibited by applicable law, pay the expenses (including attorneys’ fees) incurred by a director or officer in defending any action, suit or proceeding, whether civil, criminal, administrative or investigative (a “proceeding”) in advance of its final disposition,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Amendment.</w:t>
      </w:r>
    </w:p>
    <w:p>
      <w:pPr>
        <w:spacing w:after="0" w:line="24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3"/>
    </w:lvl>
  </w:abstractNum>
  <w:abstractNum w:abstractNumId="5">
    <w:nsid w:val="41A7C4C9"/>
    <w:multiLevelType w:val="hybridMultilevel"/>
    <w:lvl w:ilvl="0">
      <w:lvlJc w:val="left"/>
      <w:lvlText w:val="(%1)"/>
      <w:numFmt w:val="lowerLetter"/>
      <w:start w:val="1"/>
    </w:lvl>
    <w:lvl w:ilvl="1">
      <w:lvlJc w:val="left"/>
      <w:lvlText w:val="(%2)"/>
      <w:numFmt w:val="lowerRoman"/>
      <w:start w:val="1"/>
    </w:lvl>
  </w:abstractNum>
  <w:abstractNum w:abstractNumId="6">
    <w:nsid w:val="6B68079A"/>
    <w:multiLevelType w:val="hybridMultilevel"/>
    <w:lvl w:ilvl="0">
      <w:lvlJc w:val="left"/>
      <w:lvlText w:val="(%1)"/>
      <w:numFmt w:val="lowerLetter"/>
      <w:start w:val="2"/>
    </w:lvl>
    <w:lvl w:ilvl="1">
      <w:lvlJc w:val="left"/>
      <w:lvlText w:val="(%2)"/>
      <w:numFmt w:val="lowerRoman"/>
      <w:start w:val="1"/>
    </w:lvl>
  </w:abstractNum>
  <w:abstractNum w:abstractNumId="7">
    <w:nsid w:val="4E6AFB66"/>
    <w:multiLevelType w:val="hybridMultilevel"/>
    <w:lvl w:ilvl="0">
      <w:lvlJc w:val="left"/>
      <w:lvlText w:val="(%1)"/>
      <w:numFmt w:val="lowerLetter"/>
      <w:start w:val="3"/>
    </w:lvl>
    <w:lvl w:ilvl="1">
      <w:lvlJc w:val="left"/>
      <w:lvlText w:val="(%2)"/>
      <w:numFmt w:val="lowerLetter"/>
      <w:start w:val="35"/>
    </w:lvl>
  </w:abstractNum>
  <w:abstractNum w:abstractNumId="8">
    <w:nsid w:val="25E45D32"/>
    <w:multiLevelType w:val="hybridMultilevel"/>
    <w:lvl w:ilvl="0">
      <w:lvlJc w:val="left"/>
      <w:lvlText w:val="%"/>
      <w:numFmt w:val="bullet"/>
      <w:start w:val="1"/>
    </w:lvl>
    <w:lvl w:ilvl="1">
      <w:lvlJc w:val="left"/>
      <w:lvlText w:val="(%2)"/>
      <w:numFmt w:val="lowerRoman"/>
      <w:start w:val="3"/>
    </w:lvl>
    <w:lvl w:ilvl="2">
      <w:lvlJc w:val="left"/>
      <w:lvlText w:val="(%3)"/>
      <w:numFmt w:val="upperLetter"/>
      <w:start w:val="1"/>
    </w:lvl>
  </w:abstractNum>
  <w:abstractNum w:abstractNumId="9">
    <w:nsid w:val="519B500D"/>
    <w:multiLevelType w:val="hybridMultilevel"/>
    <w:lvl w:ilvl="0">
      <w:lvlJc w:val="left"/>
      <w:lvlText w:val="(%1)"/>
      <w:numFmt w:val="lowerRoman"/>
      <w:start w:val="5"/>
    </w:lvl>
  </w:abstractNum>
  <w:abstractNum w:abstractNumId="10">
    <w:nsid w:val="431BD7B7"/>
    <w:multiLevelType w:val="hybridMultilevel"/>
    <w:lvl w:ilvl="0">
      <w:lvlJc w:val="left"/>
      <w:lvlText w:val="(%1)"/>
      <w:numFmt w:val="lowerRoman"/>
      <w:start w:val="6"/>
    </w:lvl>
  </w:abstractNum>
  <w:abstractNum w:abstractNumId="11">
    <w:nsid w:val="3F2DBA31"/>
    <w:multiLevelType w:val="hybridMultilevel"/>
    <w:lvl w:ilvl="0">
      <w:lvlJc w:val="left"/>
      <w:lvlText w:val="%1"/>
      <w:numFmt w:val="upperLetter"/>
      <w:start w:val="1"/>
    </w:lvl>
    <w:lvl w:ilvl="1">
      <w:lvlJc w:val="left"/>
      <w:lvlText w:val="(%2)"/>
      <w:numFmt w:val="lowerRoman"/>
      <w:start w:val="7"/>
    </w:lvl>
  </w:abstractNum>
  <w:abstractNum w:abstractNumId="12">
    <w:nsid w:val="7C83E458"/>
    <w:multiLevelType w:val="hybridMultilevel"/>
    <w:lvl w:ilvl="0">
      <w:lvlJc w:val="left"/>
      <w:lvlText w:val="(%1)"/>
      <w:numFmt w:val="upperLetter"/>
      <w:start w:val="3"/>
    </w:lvl>
    <w:lvl w:ilvl="1">
      <w:lvlJc w:val="left"/>
      <w:lvlText w:val="%2"/>
      <w:numFmt w:val="lowerRoman"/>
      <w:start w:val="1"/>
    </w:lvl>
  </w:abstractNum>
  <w:abstractNum w:abstractNumId="13">
    <w:nsid w:val="257130A3"/>
    <w:multiLevelType w:val="hybridMultilevel"/>
    <w:lvl w:ilvl="0">
      <w:lvlJc w:val="left"/>
      <w:lvlText w:val="(%1)"/>
      <w:numFmt w:val="lowerRoman"/>
      <w:start w:val="8"/>
    </w:lvl>
  </w:abstractNum>
  <w:abstractNum w:abstractNumId="14">
    <w:nsid w:val="62BBD95A"/>
    <w:multiLevelType w:val="hybridMultilevel"/>
    <w:lvl w:ilvl="0">
      <w:lvlJc w:val="left"/>
      <w:lvlText w:val="%1"/>
      <w:numFmt w:val="lowerLetter"/>
      <w:start w:val="1"/>
    </w:lvl>
    <w:lvl w:ilvl="1">
      <w:lvlJc w:val="left"/>
      <w:lvlText w:val="(%2)"/>
      <w:numFmt w:val="lowerRoman"/>
      <w:start w:val="11"/>
    </w:lvl>
  </w:abstractNum>
  <w:abstractNum w:abstractNumId="15">
    <w:nsid w:val="436C6125"/>
    <w:multiLevelType w:val="hybridMultilevel"/>
    <w:lvl w:ilvl="0">
      <w:lvlJc w:val="left"/>
      <w:lvlText w:val="(%1)"/>
      <w:numFmt w:val="lowerLetter"/>
      <w:start w:val="4"/>
    </w:lvl>
    <w:lvl w:ilvl="1">
      <w:lvlJc w:val="left"/>
      <w:lvlText w:val="(%2)"/>
      <w:numFmt w:val="lowerRoman"/>
      <w:start w:val="1"/>
    </w:lvl>
  </w:abstractNum>
  <w:abstractNum w:abstractNumId="16">
    <w:nsid w:val="628C895D"/>
    <w:multiLevelType w:val="hybridMultilevel"/>
    <w:lvl w:ilvl="0">
      <w:lvlJc w:val="left"/>
      <w:lvlText w:val="(%1)"/>
      <w:numFmt w:val="lowerRoman"/>
      <w:start w:val="3"/>
    </w:lvl>
  </w:abstractNum>
  <w:abstractNum w:abstractNumId="17">
    <w:nsid w:val="333AB105"/>
    <w:multiLevelType w:val="hybridMultilevel"/>
    <w:lvl w:ilvl="0">
      <w:lvlJc w:val="left"/>
      <w:lvlText w:val="(%1)"/>
      <w:numFmt w:val="lowerLetter"/>
      <w:start w:val="5"/>
    </w:lvl>
    <w:lvl w:ilvl="1">
      <w:lvlJc w:val="left"/>
      <w:lvlText w:val="(%2)"/>
      <w:numFmt w:val="lowerRoman"/>
      <w:start w:val="1"/>
    </w:lvl>
  </w:abstractNum>
  <w:abstractNum w:abstractNumId="18">
    <w:nsid w:val="721DA317"/>
    <w:multiLevelType w:val="hybridMultilevel"/>
    <w:lvl w:ilvl="0">
      <w:lvlJc w:val="left"/>
      <w:lvlText w:val="(%1)"/>
      <w:numFmt w:val="lowerLetter"/>
      <w:start w:val="6"/>
    </w:lvl>
    <w:lvl w:ilvl="1">
      <w:lvlJc w:val="left"/>
      <w:lvlText w:val="(%2)"/>
      <w:numFmt w:val="lowerRoman"/>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8" Type="http://schemas.openxmlformats.org/officeDocument/2006/relationships/hyperlink" Target="https://www.sec.gov/Archives/edgar/data/723125/000072312520000091/a2020definitiveproxy.htm#i9efa54f8cda348dca7e1a84d2a2067d2_9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2021-01-15T15:02:55Z</dcterms:created>
  <dcterms:modified xsi:type="dcterms:W3CDTF">2021-01-15T15:02:55Z</dcterms:modified>
</cp:coreProperties>
</file>