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14,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40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151130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168275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2" w:right="239" w:bottom="1440" w:gutter="0" w:footer="0" w:header="0"/>
        </w:sectPr>
      </w:pPr>
    </w:p>
    <w:bookmarkStart w:id="1" w:name="page2"/>
    <w:bookmarkEnd w:id="1"/>
    <w:p>
      <w:pPr>
        <w:ind w:left="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ind w:right="360" w:firstLine="324"/>
        <w:spacing w:after="0" w:line="313" w:lineRule="auto"/>
        <w:rPr>
          <w:sz w:val="20"/>
          <w:szCs w:val="20"/>
          <w:color w:val="auto"/>
        </w:rPr>
      </w:pPr>
      <w:r>
        <w:rPr>
          <w:rFonts w:ascii="Times New Roman" w:cs="Times New Roman" w:eastAsia="Times New Roman" w:hAnsi="Times New Roman"/>
          <w:sz w:val="17"/>
          <w:szCs w:val="17"/>
          <w:color w:val="auto"/>
        </w:rPr>
        <w:t>On January 14, 2019, Micron Technology, Inc. announced it is exercising its right to purchase Intel Corporation’s interest in IM Flash Technologies, LLC. The full text of the press release issued in connection with the announcement is attached as Exhibit 99.1 to this Current Report on Form 8-K.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 Exhibits.</w:t>
            </w:r>
          </w:p>
        </w:tc>
      </w:tr>
      <w:tr>
        <w:trPr>
          <w:trHeight w:val="621"/>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issued on January 14, 2019</w:t>
            </w:r>
          </w:p>
        </w:tc>
        <w:tc>
          <w:tcPr>
            <w:tcW w:w="6740" w:type="dxa"/>
            <w:vAlign w:val="bottom"/>
          </w:tcPr>
          <w:p>
            <w:pPr>
              <w:spacing w:after="0"/>
              <w:rPr>
                <w:sz w:val="17"/>
                <w:szCs w:val="17"/>
                <w:color w:val="auto"/>
              </w:rPr>
            </w:pPr>
          </w:p>
        </w:tc>
      </w:tr>
    </w:tbl>
    <w:p>
      <w:pPr>
        <w:sectPr>
          <w:pgSz w:w="11900" w:h="16838" w:orient="portrait"/>
          <w:cols w:equalWidth="0" w:num="1">
            <w:col w:w="11360"/>
          </w:cols>
          <w:pgMar w:left="240" w:top="954" w:right="29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14, 2019</w:t>
            </w:r>
          </w:p>
        </w:tc>
        <w:tc>
          <w:tcPr>
            <w:tcW w:w="27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76" w:right="799" w:bottom="1440" w:gutter="0" w:footer="0" w:header="0"/>
        </w:sectPr>
      </w:pPr>
    </w:p>
    <w:bookmarkStart w:id="3" w:name="page4"/>
    <w:bookmarkEnd w:id="3"/>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53975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issued on January 14, 2019</w:t>
      </w:r>
    </w:p>
    <w:p>
      <w:pPr>
        <w:sectPr>
          <w:pgSz w:w="11900" w:h="16838" w:orient="portrait"/>
          <w:cols w:equalWidth="0" w:num="1">
            <w:col w:w="9739"/>
          </w:cols>
          <w:pgMar w:left="720" w:top="60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Contacts:</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Farhan Ahmad</w:t>
            </w: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Erica Pompen</w:t>
            </w:r>
          </w:p>
        </w:tc>
      </w:tr>
      <w:tr>
        <w:trPr>
          <w:trHeight w:val="270"/>
        </w:trPr>
        <w:tc>
          <w:tcPr>
            <w:tcW w:w="126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Media Relations</w:t>
            </w:r>
          </w:p>
        </w:tc>
      </w:tr>
      <w:tr>
        <w:trPr>
          <w:trHeight w:val="230"/>
        </w:trPr>
        <w:tc>
          <w:tcPr>
            <w:tcW w:w="12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farhanahmad@micron.com</w:t>
            </w: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w w:val="99"/>
              </w:rPr>
              <w:t>epompen@micron.com</w:t>
            </w:r>
          </w:p>
        </w:tc>
      </w:tr>
      <w:tr>
        <w:trPr>
          <w:trHeight w:val="291"/>
        </w:trPr>
        <w:tc>
          <w:tcPr>
            <w:tcW w:w="1260" w:type="dxa"/>
            <w:vAlign w:val="bottom"/>
          </w:tcPr>
          <w:p>
            <w:pPr>
              <w:spacing w:after="0"/>
              <w:rPr>
                <w:sz w:val="24"/>
                <w:szCs w:val="24"/>
                <w:color w:val="auto"/>
              </w:rPr>
            </w:pPr>
          </w:p>
        </w:tc>
        <w:tc>
          <w:tcPr>
            <w:tcW w:w="1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(408) 834-1927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(408) 834-1873</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22222"/>
        </w:rPr>
        <w:t>Micron Exercises Call Option to Acquire Remaining</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22222"/>
        </w:rPr>
        <w:t>Interest in IM Flash Technologies Joint Venture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222222"/>
        </w:rPr>
        <w:t>Utah Facility Acquisition to Strengthen Micron’s Portfolio</w:t>
      </w: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222222"/>
        </w:rPr>
        <w:t xml:space="preserve">BOISE, Idaho, Jan. 14, 2019 - </w:t>
      </w:r>
      <w:r>
        <w:rPr>
          <w:rFonts w:ascii="Times New Roman" w:cs="Times New Roman" w:eastAsia="Times New Roman" w:hAnsi="Times New Roman"/>
          <w:sz w:val="18"/>
          <w:szCs w:val="18"/>
          <w:color w:val="222222"/>
        </w:rPr>
        <w:t>Micron Technology, Inc., (NASDAQ: MU) today announced</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the company is exercising its right to purchase Intel’s interest in</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the parties’ joint venture, IM Flash Technologies, LLC (IM Flash). On Oct. 18, 2018, Micron disclosed its intention to exercise the option.</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 Flash acquisition will enable Micron to accelerate our R&amp;D and optimize our manufacturing plan for 3D XPoint,” said Micron Technology President and CEO Sanjay Mehrotra. “The Utah-based facility provides us with the manufacturing flexibility and highly skilled talent to drive 3D XPoint development and innovation, and to deliver on our emerging technology roadmap.”</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Micron anticipates that the pending acquisition will have no meaningful impact on overall non-GAAP financial results and foresees no changes to the company’s fiscal 2019 capital expenditures or long-term capital expenditure target. Micron has already consolidated the IM Flash joint venture, as reflected in its most recently reported financial statements. The transaction will close on a date in the next six to 12 months to be selected by Intel. At the time of close, Micron expects to pay approximately $1.5 billion in cash for the transaction. The payment will end Intel’s noncontrolling interest in IM Flash and eliminate IM Flash member debt on Micron’s balance sheet, which was $1 billion as of Nov. 29,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About Micron Technology, Inc.</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 Our common stock is traded on the NASDAQ under the MU symbol. To learn more about Micron Technology, Inc., visit </w:t>
      </w:r>
      <w:r>
        <w:rPr>
          <w:rFonts w:ascii="Times New Roman" w:cs="Times New Roman" w:eastAsia="Times New Roman" w:hAnsi="Times New Roman"/>
          <w:sz w:val="18"/>
          <w:szCs w:val="18"/>
          <w:u w:val="single" w:color="auto"/>
          <w:color w:val="0000FF"/>
        </w:rPr>
        <w:t>www.micron.com</w:t>
      </w:r>
      <w:r>
        <w:rPr>
          <w:rFonts w:ascii="Times New Roman" w:cs="Times New Roman" w:eastAsia="Times New Roman" w:hAnsi="Times New Roman"/>
          <w:sz w:val="18"/>
          <w:szCs w:val="18"/>
          <w:color w:val="222222"/>
          <w:highlight w:val="white"/>
        </w:rPr>
        <w:t>.</w:t>
      </w:r>
    </w:p>
    <w:p>
      <w:pPr>
        <w:spacing w:after="0" w:line="185"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7"/>
          <w:szCs w:val="17"/>
          <w:i w:val="1"/>
          <w:iCs w:val="1"/>
          <w:color w:val="auto"/>
        </w:rPr>
        <w:t>©2019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Times New Roman" w:cs="Times New Roman" w:eastAsia="Times New Roman" w:hAnsi="Times New Roman"/>
          <w:sz w:val="18"/>
          <w:szCs w:val="18"/>
          <w:i w:val="1"/>
          <w:iCs w:val="1"/>
          <w:u w:val="single" w:color="auto"/>
          <w:color w:val="006EBF"/>
        </w:rPr>
        <w:t>www.micron.com/certainfactors</w:t>
      </w:r>
      <w:r>
        <w:rPr>
          <w:rFonts w:ascii="Times New Roman" w:cs="Times New Roman" w:eastAsia="Times New Roman" w:hAnsi="Times New Roman"/>
          <w:sz w:val="18"/>
          <w:szCs w:val="18"/>
          <w:i w:val="1"/>
          <w:iCs w:val="1"/>
          <w:color w:val="000000"/>
        </w:rPr>
        <w:t>. Although we believe that the expectations reflected in the forward-looking statements are reasonable, we cannot guarantee</w:t>
      </w:r>
      <w:r>
        <w:rPr>
          <w:rFonts w:ascii="Times New Roman" w:cs="Times New Roman" w:eastAsia="Times New Roman" w:hAnsi="Times New Roman"/>
          <w:sz w:val="18"/>
          <w:szCs w:val="18"/>
          <w:i w:val="1"/>
          <w:iCs w:val="1"/>
          <w:color w:val="006EBF"/>
        </w:rPr>
        <w:t xml:space="preserve"> </w:t>
      </w:r>
      <w:r>
        <w:rPr>
          <w:rFonts w:ascii="Times New Roman" w:cs="Times New Roman" w:eastAsia="Times New Roman" w:hAnsi="Times New Roman"/>
          <w:sz w:val="18"/>
          <w:szCs w:val="18"/>
          <w:i w:val="1"/>
          <w:iCs w:val="1"/>
          <w:color w:val="000000"/>
        </w:rPr>
        <w:t>future results, levels of activity, performance or achievements. We are under no duty to update any of the forward-looking statements after the date of this release to conform these statements to actual results.</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2019-12-28T17:07:46Z</dcterms:created>
  <dcterms:modified xsi:type="dcterms:W3CDTF">2019-12-28T17:07:46Z</dcterms:modified>
</cp:coreProperties>
</file>