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28,731,051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28,770,957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28,770,957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34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Micron Technology, Inc.</w:t>
      </w:r>
    </w:p>
    <w:p>
      <w:pPr>
        <w:spacing w:after="0" w:line="45" w:lineRule="exact"/>
        <w:rPr>
          <w:rFonts w:ascii="Times New Roman" w:cs="Times New Roman" w:eastAsia="Times New Roman" w:hAnsi="Times New Roman"/>
          <w:sz w:val="21"/>
          <w:szCs w:val="21"/>
          <w:b w:val="1"/>
          <w:bCs w:val="1"/>
          <w:color w:val="auto"/>
        </w:rPr>
      </w:pPr>
    </w:p>
    <w:p>
      <w:pPr>
        <w:ind w:left="1580" w:right="516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8000 South Federal Way, Boise, ID 83716-9632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580" w:right="406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580" w:right="842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80" w:right="706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80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595112103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40"/>
            <w:col w:w="8720"/>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28,770,957 **</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20" w:right="780" w:hanging="745"/>
        <w:spacing w:after="0" w:line="185" w:lineRule="auto"/>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28,731,051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28,770,957</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80"/>
            <w:col w:w="426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2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28,770,957 shares or 2.6% of the 1,103,908,880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2024-02-09T16:57:24Z</dcterms:created>
  <dcterms:modified xsi:type="dcterms:W3CDTF">2024-02-09T16:57:24Z</dcterms:modified>
</cp:coreProperties>
</file>