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April 16,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13d-1(b)</w:t>
      </w:r>
    </w:p>
    <w:p>
      <w:pPr>
        <w:spacing w:after="0" w:line="98"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Orbis Investment Management Limited, Orbis Asset Management Limited</w:t>
      </w:r>
    </w:p>
    <w:p>
      <w:pPr>
        <w:spacing w:after="0" w:line="80" w:lineRule="exact"/>
        <w:rPr>
          <w:rFonts w:ascii="Arial" w:cs="Arial" w:eastAsia="Arial" w:hAnsi="Arial"/>
          <w:sz w:val="22"/>
          <w:szCs w:val="22"/>
          <w:color w:val="auto"/>
        </w:rPr>
      </w:pPr>
    </w:p>
    <w:p>
      <w:pPr>
        <w:ind w:left="1000" w:hanging="303"/>
        <w:spacing w:after="0"/>
        <w:tabs>
          <w:tab w:leader="none" w:pos="1000" w:val="left"/>
        </w:tabs>
        <w:numPr>
          <w:ilvl w:val="1"/>
          <w:numId w:val="2"/>
        </w:numPr>
        <w:rPr>
          <w:rFonts w:ascii="Arial" w:cs="Arial" w:eastAsia="Arial" w:hAnsi="Arial"/>
          <w:sz w:val="22"/>
          <w:szCs w:val="22"/>
          <w:color w:val="auto"/>
        </w:rPr>
      </w:pPr>
      <w:r>
        <w:rPr>
          <w:rFonts w:ascii="Arial" w:cs="Arial" w:eastAsia="Arial" w:hAnsi="Arial"/>
          <w:sz w:val="22"/>
          <w:szCs w:val="22"/>
          <w:color w:val="auto"/>
        </w:rPr>
        <w:t>Tax ID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-1194435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-302895</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0" w:gutter="0" w:footer="0" w:header="0"/>
        </w:sectPr>
      </w:pPr>
    </w:p>
    <w:bookmarkStart w:id="1" w:name="page2"/>
    <w:bookmarkEnd w:id="1"/>
    <w:p>
      <w:pPr>
        <w:ind w:left="640" w:right="1479" w:hanging="439"/>
        <w:spacing w:after="0" w:line="183" w:lineRule="auto"/>
        <w:tabs>
          <w:tab w:leader="none" w:pos="620" w:val="left"/>
        </w:tabs>
        <w:rPr>
          <w:sz w:val="20"/>
          <w:szCs w:val="20"/>
          <w:color w:val="auto"/>
        </w:rPr>
      </w:pPr>
      <w:r>
        <w:rPr>
          <w:rFonts w:ascii="Arial" w:cs="Arial" w:eastAsia="Arial" w:hAnsi="Arial"/>
          <w:sz w:val="39"/>
          <w:szCs w:val="39"/>
          <w:color w:val="auto"/>
          <w:vertAlign w:val="subscript"/>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19050"/>
                    </a:xfrm>
                    <a:prstGeom prst="rect">
                      <a:avLst/>
                    </a:prstGeom>
                    <a:noFill/>
                  </pic:spPr>
                </pic:pic>
              </a:graphicData>
            </a:graphic>
          </wp:anchor>
        </w:drawing>
        <w:t>4.</w:t>
      </w:r>
      <w:r>
        <w:rPr>
          <w:sz w:val="20"/>
          <w:szCs w:val="20"/>
          <w:color w:val="auto"/>
        </w:rPr>
        <w:tab/>
      </w:r>
      <w:r>
        <w:rPr>
          <w:rFonts w:ascii="Arial" w:cs="Arial" w:eastAsia="Arial" w:hAnsi="Arial"/>
          <w:sz w:val="20"/>
          <w:szCs w:val="20"/>
          <w:color w:val="auto"/>
        </w:rPr>
        <w:t>Citizenship or Place of Organization The Reporting Persons are companies organized under the laws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37,530,869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652,384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38,183,253</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right="2199" w:hanging="435"/>
        <w:spacing w:after="0" w:line="328"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Orbis Investment Management Limited 37,963,129; Orbis Asset Management Limited 220,124</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5.02 %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Micron Technology, Inc.</w:t>
      </w:r>
    </w:p>
    <w:p>
      <w:pPr>
        <w:spacing w:after="0" w:line="80" w:lineRule="exact"/>
        <w:rPr>
          <w:rFonts w:ascii="Arial" w:cs="Arial" w:eastAsia="Arial" w:hAnsi="Arial"/>
          <w:sz w:val="22"/>
          <w:szCs w:val="22"/>
          <w:color w:val="auto"/>
        </w:rPr>
      </w:pPr>
    </w:p>
    <w:p>
      <w:pPr>
        <w:ind w:left="700" w:right="5039" w:hanging="374"/>
        <w:spacing w:after="0" w:line="382" w:lineRule="auto"/>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Issuer's Principal Executive Offices 8000 South Federal Way, Boise, Idaho 83716-9632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Orbis Investment Management Limited, Orbis Asset Management Limited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34 Bermudiana Road, Hamilton, HM 11, Bermuda</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The Reporting Persons are companies organized under the laws of Bermuda</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Common Stock, par value $0.10 per share</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CUSIP Number 595112103</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Broker or dealer registered under section 15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76"/>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Bank as defined in section 3(a)(6)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Insurance company as defined in section 3(a)(19)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right="1459" w:hanging="476"/>
        <w:spacing w:after="0" w:line="251" w:lineRule="auto"/>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of 1940 ]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An investment adviser in accordance with 240.13d-1(b)(1)(ii)(E);</w:t>
      </w:r>
    </w:p>
    <w:p>
      <w:pPr>
        <w:sectPr>
          <w:pgSz w:w="11900" w:h="16838" w:orient="portrait"/>
          <w:cols w:equalWidth="0" w:num="1">
            <w:col w:w="10159"/>
          </w:cols>
          <w:pgMar w:left="300" w:top="300" w:right="1440" w:bottom="0" w:gutter="0" w:footer="0" w:header="0"/>
        </w:sectPr>
      </w:pPr>
    </w:p>
    <w:bookmarkStart w:id="2" w:name="page3"/>
    <w:bookmarkEnd w:id="2"/>
    <w:p>
      <w:pPr>
        <w:ind w:left="780"/>
        <w:spacing w:after="0"/>
        <w:rPr>
          <w:sz w:val="20"/>
          <w:szCs w:val="20"/>
          <w:color w:val="auto"/>
        </w:rPr>
      </w:pPr>
      <w:r>
        <w:rPr>
          <w:rFonts w:ascii="Arial" w:cs="Arial" w:eastAsia="Arial" w:hAnsi="Arial"/>
          <w:sz w:val="22"/>
          <w:szCs w:val="22"/>
          <w:color w:val="auto"/>
        </w:rPr>
        <w:t>]</w:t>
      </w:r>
    </w:p>
    <w:p>
      <w:pPr>
        <w:spacing w:after="0" w:line="99" w:lineRule="exact"/>
        <w:rPr>
          <w:sz w:val="20"/>
          <w:szCs w:val="20"/>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An employee benefit plan or endowment fund in accordance with 240.13d-1(b)(1)(ii)(F);</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780" w:hanging="476"/>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780" w:right="1619" w:hanging="476"/>
        <w:spacing w:after="0" w:line="251" w:lineRule="auto"/>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A savings associations as defined in Section 3(b) of the Federal Deposit Insurance Act ] (12 U.S.C. 1813);</w:t>
      </w:r>
    </w:p>
    <w:p>
      <w:pPr>
        <w:spacing w:after="0" w:line="65" w:lineRule="exact"/>
        <w:rPr>
          <w:rFonts w:ascii="Arial" w:cs="Arial" w:eastAsia="Arial" w:hAnsi="Arial"/>
          <w:sz w:val="22"/>
          <w:szCs w:val="22"/>
          <w:color w:val="auto"/>
        </w:rPr>
      </w:pPr>
    </w:p>
    <w:p>
      <w:pPr>
        <w:ind w:left="780" w:right="1879" w:hanging="428"/>
        <w:spacing w:after="0" w:line="239" w:lineRule="auto"/>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A church plan that is excluded from the definition of an investment company under ] section</w:t>
      </w:r>
    </w:p>
    <w:p>
      <w:pPr>
        <w:ind w:left="106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Group, in accordance with 240.13d-1(b)(1)(ii)(J).</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600" w:right="1459" w:hanging="355"/>
        <w:spacing w:after="0" w:line="251" w:lineRule="auto"/>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Orbis Investment Management Limited 37,963,129; Orbis Asset Management Limited 220,124</w:t>
      </w:r>
    </w:p>
    <w:p>
      <w:pPr>
        <w:spacing w:after="0" w:line="65" w:lineRule="exact"/>
        <w:rPr>
          <w:rFonts w:ascii="Arial" w:cs="Arial" w:eastAsia="Arial" w:hAnsi="Arial"/>
          <w:sz w:val="22"/>
          <w:szCs w:val="22"/>
          <w:color w:val="auto"/>
        </w:rPr>
      </w:pPr>
    </w:p>
    <w:p>
      <w:pPr>
        <w:ind w:left="1600" w:hanging="355"/>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5.02%</w:t>
      </w:r>
    </w:p>
    <w:p>
      <w:pPr>
        <w:spacing w:after="0" w:line="98" w:lineRule="exact"/>
        <w:rPr>
          <w:rFonts w:ascii="Arial" w:cs="Arial" w:eastAsia="Arial" w:hAnsi="Arial"/>
          <w:sz w:val="22"/>
          <w:szCs w:val="22"/>
          <w:color w:val="auto"/>
        </w:rPr>
      </w:pPr>
    </w:p>
    <w:p>
      <w:pPr>
        <w:ind w:left="1600" w:hanging="355"/>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37,530,869</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652,384</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38,183,253</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Other</w:t>
      </w:r>
    </w:p>
    <w:p>
      <w:pPr>
        <w:spacing w:after="0" w:line="180" w:lineRule="auto"/>
        <w:rPr>
          <w:sz w:val="20"/>
          <w:szCs w:val="20"/>
          <w:color w:val="auto"/>
        </w:rPr>
      </w:pPr>
      <w:r>
        <w:rPr>
          <w:rFonts w:ascii="Arial" w:cs="Arial" w:eastAsia="Arial" w:hAnsi="Arial"/>
          <w:sz w:val="15"/>
          <w:szCs w:val="15"/>
          <w:color w:val="auto"/>
        </w:rPr>
        <w:t>persons have</w:t>
      </w:r>
    </w:p>
    <w:p>
      <w:pPr>
        <w:ind w:right="360"/>
        <w:spacing w:after="0" w:line="200"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color w:val="auto"/>
        </w:rPr>
        <w:t>the right to</w:t>
      </w:r>
    </w:p>
    <w:p>
      <w:pPr>
        <w:ind w:right="240"/>
        <w:spacing w:after="0" w:line="259" w:lineRule="auto"/>
        <w:rPr>
          <w:sz w:val="20"/>
          <w:szCs w:val="20"/>
          <w:color w:val="auto"/>
        </w:rPr>
      </w:pPr>
      <w:r>
        <w:rPr>
          <w:rFonts w:ascii="Arial" w:cs="Arial" w:eastAsia="Arial" w:hAnsi="Arial"/>
          <w:sz w:val="19"/>
          <w:szCs w:val="19"/>
          <w:color w:val="auto"/>
        </w:rPr>
        <w:t>receive and the power to</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Notdirectapplicablethe.</w:t>
      </w:r>
    </w:p>
    <w:p>
      <w:pPr>
        <w:spacing w:after="0" w:line="202" w:lineRule="auto"/>
        <w:rPr>
          <w:sz w:val="20"/>
          <w:szCs w:val="20"/>
          <w:color w:val="auto"/>
        </w:rPr>
      </w:pPr>
      <w:r>
        <w:rPr>
          <w:rFonts w:ascii="Arial" w:cs="Arial" w:eastAsia="Arial" w:hAnsi="Arial"/>
          <w:sz w:val="22"/>
          <w:szCs w:val="22"/>
          <w:color w:val="auto"/>
        </w:rPr>
        <w:t>receipt of</w:t>
      </w:r>
    </w:p>
    <w:p>
      <w:pPr>
        <w:ind w:right="480"/>
        <w:spacing w:after="0" w:line="192" w:lineRule="auto"/>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color w:val="auto"/>
        </w:rPr>
        <w:t>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200" w:lineRule="exact"/>
        <w:rPr>
          <w:sz w:val="20"/>
          <w:szCs w:val="20"/>
          <w:color w:val="auto"/>
        </w:rPr>
      </w:pPr>
    </w:p>
    <w:p>
      <w:pPr>
        <w:spacing w:after="0" w:line="297" w:lineRule="exact"/>
        <w:rPr>
          <w:sz w:val="20"/>
          <w:szCs w:val="20"/>
          <w:color w:val="auto"/>
        </w:rPr>
      </w:pPr>
    </w:p>
    <w:p>
      <w:pPr>
        <w:ind w:right="1899"/>
        <w:spacing w:after="0" w:line="243"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21" w:lineRule="exact"/>
        <w:rPr>
          <w:sz w:val="20"/>
          <w:szCs w:val="20"/>
          <w:color w:val="auto"/>
        </w:rPr>
      </w:pPr>
    </w:p>
    <w:p>
      <w:pPr>
        <w:sectPr>
          <w:pgSz w:w="11900" w:h="16838" w:orient="portrait"/>
          <w:cols w:equalWidth="0" w:num="2">
            <w:col w:w="1320" w:space="280"/>
            <w:col w:w="8559"/>
          </w:cols>
          <w:pgMar w:left="300" w:top="118" w:right="1440" w:bottom="0" w:gutter="0" w:footer="0" w:header="0"/>
          <w:type w:val="continuous"/>
        </w:sectPr>
      </w:pPr>
    </w:p>
    <w:p>
      <w:pPr>
        <w:spacing w:after="0" w:line="182" w:lineRule="auto"/>
        <w:rPr>
          <w:sz w:val="20"/>
          <w:szCs w:val="20"/>
          <w:color w:val="auto"/>
        </w:rPr>
      </w:pPr>
      <w:r>
        <w:rPr>
          <w:rFonts w:ascii="Arial" w:cs="Arial" w:eastAsia="Arial" w:hAnsi="Arial"/>
          <w:sz w:val="16"/>
          <w:szCs w:val="16"/>
          <w:color w:val="auto"/>
        </w:rPr>
        <w:t>Orbis</w:t>
      </w:r>
      <w:r>
        <w:rPr>
          <w:rFonts w:ascii="Arial" w:cs="Arial" w:eastAsia="Arial" w:hAnsi="Arial"/>
          <w:sz w:val="28"/>
          <w:szCs w:val="28"/>
          <w:color w:val="auto"/>
          <w:vertAlign w:val="subscript"/>
        </w:rPr>
        <w:t>from, or</w:t>
      </w:r>
      <w:r>
        <w:rPr>
          <w:rFonts w:ascii="Arial" w:cs="Arial" w:eastAsia="Arial" w:hAnsi="Arial"/>
          <w:sz w:val="16"/>
          <w:szCs w:val="16"/>
          <w:color w:val="auto"/>
        </w:rPr>
        <w:t>Investment</w:t>
      </w:r>
      <w:r>
        <w:rPr>
          <w:rFonts w:ascii="Arial" w:cs="Arial" w:eastAsia="Arial" w:hAnsi="Arial"/>
          <w:sz w:val="28"/>
          <w:szCs w:val="28"/>
          <w:color w:val="auto"/>
          <w:vertAlign w:val="subscript"/>
        </w:rPr>
        <w:t>the</w:t>
      </w:r>
      <w:r>
        <w:rPr>
          <w:rFonts w:ascii="Arial" w:cs="Arial" w:eastAsia="Arial" w:hAnsi="Arial"/>
          <w:sz w:val="16"/>
          <w:szCs w:val="16"/>
          <w:color w:val="auto"/>
        </w:rPr>
        <w:t xml:space="preserve"> Management Limited ("OIML") and Orbis Asset Management Limited ("OAML")</w:t>
      </w:r>
    </w:p>
    <w:p>
      <w:pPr>
        <w:ind w:right="1279"/>
        <w:spacing w:after="0" w:line="211" w:lineRule="auto"/>
        <w:rPr>
          <w:sz w:val="20"/>
          <w:szCs w:val="20"/>
          <w:color w:val="auto"/>
        </w:rPr>
      </w:pPr>
      <w:r>
        <w:rPr>
          <w:rFonts w:ascii="Arial" w:cs="Arial" w:eastAsia="Arial" w:hAnsi="Arial"/>
          <w:sz w:val="16"/>
          <w:szCs w:val="16"/>
          <w:color w:val="auto"/>
        </w:rPr>
        <w:t>are</w:t>
      </w:r>
      <w:r>
        <w:rPr>
          <w:rFonts w:ascii="Arial" w:cs="Arial" w:eastAsia="Arial" w:hAnsi="Arial"/>
          <w:sz w:val="28"/>
          <w:szCs w:val="28"/>
          <w:color w:val="auto"/>
          <w:vertAlign w:val="subscript"/>
        </w:rPr>
        <w:t>proceeds</w:t>
      </w:r>
      <w:r>
        <w:rPr>
          <w:rFonts w:ascii="Arial" w:cs="Arial" w:eastAsia="Arial" w:hAnsi="Arial"/>
          <w:sz w:val="16"/>
          <w:szCs w:val="16"/>
          <w:color w:val="auto"/>
        </w:rPr>
        <w:t>together making this filing because they may be deemed to constitute a "group" for the purposes of Section</w:t>
      </w:r>
      <w:r>
        <w:rPr>
          <w:rFonts w:ascii="Arial" w:cs="Arial" w:eastAsia="Arial" w:hAnsi="Arial"/>
          <w:sz w:val="28"/>
          <w:szCs w:val="28"/>
          <w:color w:val="auto"/>
          <w:vertAlign w:val="subscript"/>
        </w:rPr>
        <w:t>fromthe</w:t>
      </w:r>
      <w:r>
        <w:rPr>
          <w:rFonts w:ascii="Arial" w:cs="Arial" w:eastAsia="Arial" w:hAnsi="Arial"/>
          <w:sz w:val="16"/>
          <w:szCs w:val="16"/>
          <w:color w:val="auto"/>
        </w:rPr>
        <w:t>13(d)(3)</w:t>
      </w:r>
      <w:r>
        <w:rPr>
          <w:rFonts w:ascii="Arial" w:cs="Arial" w:eastAsia="Arial" w:hAnsi="Arial"/>
          <w:sz w:val="28"/>
          <w:szCs w:val="28"/>
          <w:color w:val="auto"/>
          <w:vertAlign w:val="subscript"/>
        </w:rPr>
        <w:t>sale</w:t>
      </w:r>
      <w:r>
        <w:rPr>
          <w:rFonts w:ascii="Arial" w:cs="Arial" w:eastAsia="Arial" w:hAnsi="Arial"/>
          <w:sz w:val="16"/>
          <w:szCs w:val="16"/>
          <w:color w:val="auto"/>
        </w:rPr>
        <w:t xml:space="preserve"> of the Securities Exchange Act of 1934, as amended. Information with respect to each</w:t>
      </w:r>
      <w:r>
        <w:rPr>
          <w:rFonts w:ascii="Arial" w:cs="Arial" w:eastAsia="Arial" w:hAnsi="Arial"/>
          <w:sz w:val="28"/>
          <w:szCs w:val="28"/>
          <w:color w:val="auto"/>
          <w:vertAlign w:val="subscript"/>
        </w:rPr>
        <w:t>ofte</w:t>
      </w:r>
      <w:r>
        <w:rPr>
          <w:rFonts w:ascii="Arial" w:cs="Arial" w:eastAsia="Arial" w:hAnsi="Arial"/>
          <w:sz w:val="16"/>
          <w:szCs w:val="16"/>
          <w:color w:val="auto"/>
        </w:rPr>
        <w:t>of OIML and OAML (collectively, the "Reporting Persons") is given solely by each such</w:t>
      </w:r>
    </w:p>
    <w:p>
      <w:pPr>
        <w:spacing w:after="0" w:line="1" w:lineRule="exact"/>
        <w:rPr>
          <w:sz w:val="20"/>
          <w:szCs w:val="20"/>
          <w:color w:val="auto"/>
        </w:rPr>
      </w:pPr>
    </w:p>
    <w:p>
      <w:pPr>
        <w:ind w:right="1499"/>
        <w:spacing w:after="0" w:line="181" w:lineRule="auto"/>
        <w:rPr>
          <w:sz w:val="20"/>
          <w:szCs w:val="20"/>
          <w:color w:val="auto"/>
        </w:rPr>
      </w:pPr>
      <w:r>
        <w:rPr>
          <w:rFonts w:ascii="Arial" w:cs="Arial" w:eastAsia="Arial" w:hAnsi="Arial"/>
          <w:sz w:val="16"/>
          <w:szCs w:val="16"/>
          <w:color w:val="auto"/>
        </w:rPr>
        <w:t>Reporting</w:t>
      </w:r>
      <w:r>
        <w:rPr>
          <w:rFonts w:ascii="Arial" w:cs="Arial" w:eastAsia="Arial" w:hAnsi="Arial"/>
          <w:sz w:val="28"/>
          <w:szCs w:val="28"/>
          <w:color w:val="auto"/>
          <w:vertAlign w:val="subscript"/>
        </w:rPr>
        <w:t>37,963,129</w:t>
      </w:r>
      <w:r>
        <w:rPr>
          <w:rFonts w:ascii="Arial" w:cs="Arial" w:eastAsia="Arial" w:hAnsi="Arial"/>
          <w:sz w:val="16"/>
          <w:szCs w:val="16"/>
          <w:color w:val="auto"/>
        </w:rPr>
        <w:t>Person and no Reporting Person has responsibility for the accuracy or completeness of information</w:t>
      </w:r>
      <w:r>
        <w:rPr>
          <w:rFonts w:ascii="Arial" w:cs="Arial" w:eastAsia="Arial" w:hAnsi="Arial"/>
          <w:sz w:val="28"/>
          <w:szCs w:val="28"/>
          <w:color w:val="auto"/>
          <w:vertAlign w:val="subscript"/>
        </w:rPr>
        <w:t>sharesof</w:t>
      </w:r>
      <w:r>
        <w:rPr>
          <w:rFonts w:ascii="Arial" w:cs="Arial" w:eastAsia="Arial" w:hAnsi="Arial"/>
          <w:sz w:val="16"/>
          <w:szCs w:val="16"/>
          <w:color w:val="auto"/>
        </w:rPr>
        <w:t xml:space="preserve"> supplied by the other Reporting Person. OIML is the beneficial owner of 37,963,129 shares</w:t>
      </w:r>
      <w:r>
        <w:rPr>
          <w:rFonts w:ascii="Arial" w:cs="Arial" w:eastAsia="Arial" w:hAnsi="Arial"/>
          <w:sz w:val="28"/>
          <w:szCs w:val="28"/>
          <w:color w:val="auto"/>
          <w:vertAlign w:val="subscript"/>
        </w:rPr>
        <w:t>common</w:t>
      </w:r>
      <w:r>
        <w:rPr>
          <w:rFonts w:ascii="Arial" w:cs="Arial" w:eastAsia="Arial" w:hAnsi="Arial"/>
          <w:sz w:val="16"/>
          <w:szCs w:val="16"/>
          <w:color w:val="auto"/>
        </w:rPr>
        <w:t>or 4.99% of the 760,834,736 shares of common stock of Micron Technology, Inc. believed to</w:t>
      </w:r>
    </w:p>
    <w:p>
      <w:pPr>
        <w:spacing w:after="0" w:line="1" w:lineRule="exact"/>
        <w:rPr>
          <w:sz w:val="20"/>
          <w:szCs w:val="20"/>
          <w:color w:val="auto"/>
        </w:rPr>
      </w:pPr>
    </w:p>
    <w:p>
      <w:pPr>
        <w:ind w:right="1359"/>
        <w:spacing w:after="0" w:line="183" w:lineRule="auto"/>
        <w:rPr>
          <w:sz w:val="20"/>
          <w:szCs w:val="20"/>
          <w:color w:val="auto"/>
        </w:rPr>
      </w:pPr>
      <w:r>
        <w:rPr>
          <w:rFonts w:ascii="Arial" w:cs="Arial" w:eastAsia="Arial" w:hAnsi="Arial"/>
          <w:sz w:val="17"/>
          <w:szCs w:val="17"/>
          <w:color w:val="auto"/>
        </w:rPr>
        <w:t>be</w:t>
      </w:r>
      <w:r>
        <w:rPr>
          <w:rFonts w:ascii="Arial" w:cs="Arial" w:eastAsia="Arial" w:hAnsi="Arial"/>
          <w:sz w:val="30"/>
          <w:szCs w:val="30"/>
          <w:color w:val="auto"/>
          <w:vertAlign w:val="subscript"/>
        </w:rPr>
        <w:t>stock</w:t>
      </w:r>
      <w:r>
        <w:rPr>
          <w:rFonts w:ascii="Arial" w:cs="Arial" w:eastAsia="Arial" w:hAnsi="Arial"/>
          <w:sz w:val="17"/>
          <w:szCs w:val="17"/>
          <w:color w:val="auto"/>
        </w:rPr>
        <w:t>outstanding</w:t>
      </w:r>
      <w:r>
        <w:rPr>
          <w:rFonts w:ascii="Arial" w:cs="Arial" w:eastAsia="Arial" w:hAnsi="Arial"/>
          <w:sz w:val="30"/>
          <w:szCs w:val="30"/>
          <w:color w:val="auto"/>
          <w:vertAlign w:val="subscript"/>
        </w:rPr>
        <w:t>of</w:t>
      </w:r>
      <w:r>
        <w:rPr>
          <w:rFonts w:ascii="Arial" w:cs="Arial" w:eastAsia="Arial" w:hAnsi="Arial"/>
          <w:sz w:val="17"/>
          <w:szCs w:val="17"/>
          <w:color w:val="auto"/>
        </w:rPr>
        <w:t>. OAML is the beneficial owner of 220,124 shares or 0.03 % of the 760,834,736 shares of</w:t>
      </w:r>
      <w:r>
        <w:rPr>
          <w:rFonts w:ascii="Arial" w:cs="Arial" w:eastAsia="Arial" w:hAnsi="Arial"/>
          <w:sz w:val="30"/>
          <w:szCs w:val="30"/>
          <w:color w:val="auto"/>
          <w:vertAlign w:val="subscript"/>
        </w:rPr>
        <w:t>Micron</w:t>
      </w:r>
      <w:r>
        <w:rPr>
          <w:rFonts w:ascii="Arial" w:cs="Arial" w:eastAsia="Arial" w:hAnsi="Arial"/>
          <w:sz w:val="17"/>
          <w:szCs w:val="17"/>
          <w:color w:val="auto"/>
        </w:rPr>
        <w:t>common stock of Micron Technology, Inc. believed to be outstanding.</w:t>
      </w:r>
    </w:p>
    <w:p>
      <w:pPr>
        <w:sectPr>
          <w:pgSz w:w="11900" w:h="16838" w:orient="portrait"/>
          <w:cols w:equalWidth="0" w:num="1">
            <w:col w:w="10159"/>
          </w:cols>
          <w:pgMar w:left="300" w:top="118" w:right="1440" w:bottom="0" w:gutter="0" w:footer="0" w:header="0"/>
          <w:type w:val="continuous"/>
        </w:sectPr>
      </w:pPr>
    </w:p>
    <w:p>
      <w:pPr>
        <w:spacing w:after="0" w:line="1" w:lineRule="exact"/>
        <w:rPr>
          <w:sz w:val="20"/>
          <w:szCs w:val="20"/>
          <w:color w:val="auto"/>
        </w:rPr>
      </w:pPr>
    </w:p>
    <w:p>
      <w:pPr>
        <w:ind w:right="260"/>
        <w:spacing w:after="0" w:line="181" w:lineRule="auto"/>
        <w:rPr>
          <w:sz w:val="20"/>
          <w:szCs w:val="20"/>
          <w:color w:val="auto"/>
        </w:rPr>
      </w:pPr>
      <w:r>
        <w:rPr>
          <w:rFonts w:ascii="Arial" w:cs="Arial" w:eastAsia="Arial" w:hAnsi="Arial"/>
          <w:sz w:val="14"/>
          <w:szCs w:val="14"/>
          <w:color w:val="auto"/>
        </w:rPr>
        <w:t xml:space="preserve">Technology, </w:t>
      </w:r>
      <w:r>
        <w:rPr>
          <w:rFonts w:ascii="Arial" w:cs="Arial" w:eastAsia="Arial" w:hAnsi="Arial"/>
          <w:sz w:val="14"/>
          <w:szCs w:val="14"/>
          <w:b w:val="1"/>
          <w:bCs w:val="1"/>
          <w:color w:val="auto"/>
        </w:rPr>
        <w:t>Item 9.</w:t>
      </w:r>
    </w:p>
    <w:p>
      <w:pPr>
        <w:spacing w:after="0" w:line="193" w:lineRule="auto"/>
        <w:rPr>
          <w:sz w:val="20"/>
          <w:szCs w:val="20"/>
          <w:color w:val="auto"/>
        </w:rPr>
      </w:pPr>
      <w:r>
        <w:rPr>
          <w:rFonts w:ascii="Arial" w:cs="Arial" w:eastAsia="Arial" w:hAnsi="Arial"/>
          <w:sz w:val="19"/>
          <w:szCs w:val="19"/>
          <w:color w:val="auto"/>
        </w:rPr>
        <w:t>Inc.</w:t>
      </w:r>
    </w:p>
    <w:p>
      <w:pPr>
        <w:spacing w:after="0" w:line="180" w:lineRule="auto"/>
        <w:rPr>
          <w:sz w:val="20"/>
          <w:szCs w:val="20"/>
          <w:color w:val="auto"/>
        </w:rPr>
      </w:pPr>
      <w:r>
        <w:rPr>
          <w:rFonts w:ascii="Arial" w:cs="Arial" w:eastAsia="Arial" w:hAnsi="Arial"/>
          <w:sz w:val="18"/>
          <w:szCs w:val="18"/>
          <w:color w:val="auto"/>
        </w:rPr>
        <w:t>Not applicable. beneficially</w:t>
      </w:r>
    </w:p>
    <w:p>
      <w:pPr>
        <w:spacing w:after="0" w:line="181" w:lineRule="auto"/>
        <w:rPr>
          <w:sz w:val="20"/>
          <w:szCs w:val="20"/>
          <w:color w:val="auto"/>
        </w:rPr>
      </w:pPr>
      <w:r>
        <w:rPr>
          <w:rFonts w:ascii="Arial" w:cs="Arial" w:eastAsia="Arial" w:hAnsi="Arial"/>
          <w:sz w:val="16"/>
          <w:szCs w:val="16"/>
          <w:color w:val="auto"/>
        </w:rPr>
        <w:t>owned</w:t>
      </w:r>
      <w:r>
        <w:rPr>
          <w:rFonts w:ascii="Arial" w:cs="Arial" w:eastAsia="Arial" w:hAnsi="Arial"/>
          <w:sz w:val="28"/>
          <w:szCs w:val="28"/>
          <w:b w:val="1"/>
          <w:bCs w:val="1"/>
          <w:color w:val="auto"/>
          <w:vertAlign w:val="subscript"/>
        </w:rPr>
        <w:t>Item10</w:t>
      </w:r>
      <w:r>
        <w:rPr>
          <w:rFonts w:ascii="Arial" w:cs="Arial" w:eastAsia="Arial" w:hAnsi="Arial"/>
          <w:sz w:val="16"/>
          <w:szCs w:val="16"/>
          <w:color w:val="auto"/>
        </w:rPr>
        <w:t>by</w:t>
      </w:r>
      <w:r>
        <w:rPr>
          <w:rFonts w:ascii="Arial" w:cs="Arial" w:eastAsia="Arial" w:hAnsi="Arial"/>
          <w:sz w:val="28"/>
          <w:szCs w:val="28"/>
          <w:b w:val="1"/>
          <w:bCs w:val="1"/>
          <w:color w:val="auto"/>
          <w:vertAlign w:val="subscript"/>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w:t>
      </w:r>
    </w:p>
    <w:p>
      <w:pPr>
        <w:spacing w:after="0" w:line="1" w:lineRule="exact"/>
        <w:rPr>
          <w:sz w:val="20"/>
          <w:szCs w:val="20"/>
          <w:color w:val="auto"/>
        </w:rPr>
      </w:pPr>
    </w:p>
    <w:p>
      <w:pPr>
        <w:sectPr>
          <w:pgSz w:w="11900" w:h="16838" w:orient="portrait"/>
          <w:cols w:equalWidth="0" w:num="2">
            <w:col w:w="1320" w:space="280"/>
            <w:col w:w="8559"/>
          </w:cols>
          <w:pgMar w:left="300" w:top="118" w:right="1440" w:bottom="0" w:gutter="0" w:footer="0" w:header="0"/>
          <w:type w:val="continuous"/>
        </w:sectPr>
      </w:pPr>
    </w:p>
    <w:p>
      <w:pPr>
        <w:ind w:right="1979"/>
        <w:spacing w:after="0" w:line="207" w:lineRule="auto"/>
        <w:rPr>
          <w:sz w:val="20"/>
          <w:szCs w:val="20"/>
          <w:color w:val="auto"/>
        </w:rPr>
      </w:pPr>
      <w:r>
        <w:rPr>
          <w:rFonts w:ascii="Arial" w:cs="Arial" w:eastAsia="Arial" w:hAnsi="Arial"/>
          <w:sz w:val="34"/>
          <w:szCs w:val="34"/>
          <w:color w:val="auto"/>
          <w:vertAlign w:val="superscript"/>
        </w:rPr>
        <w:t>Orbis</w:t>
      </w:r>
      <w:r>
        <w:rPr>
          <w:rFonts w:ascii="Arial" w:cs="Arial" w:eastAsia="Arial" w:hAnsi="Arial"/>
          <w:sz w:val="18"/>
          <w:szCs w:val="18"/>
          <w:color w:val="auto"/>
        </w:rPr>
        <w:t>By signing below I certify that, to the best of my knowledge and belief, the securities Investment</w:t>
      </w:r>
    </w:p>
    <w:p>
      <w:pPr>
        <w:ind w:right="1979" w:firstLine="486"/>
        <w:spacing w:after="0"/>
        <w:rPr>
          <w:sz w:val="20"/>
          <w:szCs w:val="20"/>
          <w:color w:val="auto"/>
        </w:rPr>
      </w:pPr>
      <w:r>
        <w:rPr>
          <w:rFonts w:ascii="Arial" w:cs="Arial" w:eastAsia="Arial" w:hAnsi="Arial"/>
          <w:sz w:val="17"/>
          <w:szCs w:val="17"/>
          <w:color w:val="auto"/>
        </w:rPr>
        <w:t>referred to above were not acquired and are not held for the purpose of or with the effect Management</w:t>
      </w:r>
    </w:p>
    <w:p>
      <w:pPr>
        <w:spacing w:after="0" w:line="48" w:lineRule="exact"/>
        <w:rPr>
          <w:sz w:val="20"/>
          <w:szCs w:val="20"/>
          <w:color w:val="auto"/>
        </w:rPr>
      </w:pPr>
    </w:p>
    <w:p>
      <w:pPr>
        <w:ind w:right="1979" w:firstLine="486"/>
        <w:spacing w:after="0"/>
        <w:rPr>
          <w:sz w:val="20"/>
          <w:szCs w:val="20"/>
          <w:color w:val="auto"/>
        </w:rPr>
      </w:pPr>
      <w:r>
        <w:rPr>
          <w:rFonts w:ascii="Arial" w:cs="Arial" w:eastAsia="Arial" w:hAnsi="Arial"/>
          <w:sz w:val="19"/>
          <w:szCs w:val="19"/>
          <w:color w:val="auto"/>
        </w:rPr>
        <w:t>of changing or influencing the control of the issuer of the securities and were not Limited.</w:t>
      </w:r>
    </w:p>
    <w:p>
      <w:pPr>
        <w:spacing w:after="0" w:line="25" w:lineRule="exact"/>
        <w:rPr>
          <w:sz w:val="20"/>
          <w:szCs w:val="20"/>
          <w:color w:val="auto"/>
        </w:rPr>
      </w:pPr>
    </w:p>
    <w:p>
      <w:pPr>
        <w:ind w:right="1979" w:firstLine="486"/>
        <w:spacing w:after="0"/>
        <w:rPr>
          <w:sz w:val="20"/>
          <w:szCs w:val="20"/>
          <w:color w:val="auto"/>
        </w:rPr>
      </w:pPr>
      <w:r>
        <w:rPr>
          <w:rFonts w:ascii="Arial" w:cs="Arial" w:eastAsia="Arial" w:hAnsi="Arial"/>
          <w:sz w:val="17"/>
          <w:szCs w:val="17"/>
          <w:color w:val="auto"/>
        </w:rPr>
        <w:t>acquired and are not held in connection with or as a participant in any transaction having Another</w:t>
      </w:r>
    </w:p>
    <w:p>
      <w:pPr>
        <w:ind w:left="480"/>
        <w:spacing w:after="0" w:line="186" w:lineRule="auto"/>
        <w:rPr>
          <w:sz w:val="20"/>
          <w:szCs w:val="20"/>
          <w:color w:val="auto"/>
        </w:rPr>
      </w:pPr>
      <w:r>
        <w:rPr>
          <w:rFonts w:ascii="Arial" w:cs="Arial" w:eastAsia="Arial" w:hAnsi="Arial"/>
          <w:sz w:val="22"/>
          <w:szCs w:val="22"/>
          <w:color w:val="auto"/>
        </w:rPr>
        <w:t>that purpose or effect.</w:t>
      </w:r>
    </w:p>
    <w:p>
      <w:pPr>
        <w:spacing w:after="0"/>
        <w:rPr>
          <w:sz w:val="20"/>
          <w:szCs w:val="20"/>
          <w:color w:val="auto"/>
        </w:rPr>
      </w:pPr>
      <w:r>
        <w:rPr>
          <w:rFonts w:ascii="Arial" w:cs="Arial" w:eastAsia="Arial" w:hAnsi="Arial"/>
          <w:sz w:val="22"/>
          <w:szCs w:val="22"/>
          <w:color w:val="auto"/>
        </w:rPr>
        <w:t>person has</w:t>
      </w:r>
    </w:p>
    <w:p>
      <w:pPr>
        <w:sectPr>
          <w:pgSz w:w="11900" w:h="16838" w:orient="portrait"/>
          <w:cols w:equalWidth="0" w:num="1">
            <w:col w:w="10159"/>
          </w:cols>
          <w:pgMar w:left="300" w:top="118" w:right="1440" w:bottom="0" w:gutter="0" w:footer="0" w:header="0"/>
          <w:type w:val="continuous"/>
        </w:sectPr>
      </w:pPr>
    </w:p>
    <w:bookmarkStart w:id="3" w:name="page4"/>
    <w:bookmarkEnd w:id="3"/>
    <w:tbl>
      <w:tblPr>
        <w:tblLayout w:type="fixed"/>
        <w:tblInd w:w="20" w:type="dxa"/>
        <w:tblCellMar>
          <w:top w:w="0" w:type="dxa"/>
          <w:left w:w="0" w:type="dxa"/>
          <w:bottom w:w="0" w:type="dxa"/>
          <w:right w:w="0" w:type="dxa"/>
        </w:tblCellMar>
      </w:tblPr>
      <w:tr>
        <w:trPr>
          <w:trHeight w:val="287"/>
        </w:trPr>
        <w:tc>
          <w:tcPr>
            <w:tcW w:w="2460" w:type="dxa"/>
            <w:vAlign w:val="bottom"/>
          </w:tcPr>
          <w:p>
            <w:pPr>
              <w:spacing w:after="0"/>
              <w:rPr>
                <w:sz w:val="20"/>
                <w:szCs w:val="20"/>
                <w:color w:val="auto"/>
              </w:rPr>
            </w:pPr>
            <w:r>
              <w:rPr>
                <w:rFonts w:ascii="Arial" w:cs="Arial" w:eastAsia="Arial" w:hAnsi="Arial"/>
                <w:sz w:val="22"/>
                <w:szCs w:val="22"/>
                <w:color w:val="auto"/>
              </w:rPr>
              <w:t>the right to</w:t>
            </w:r>
          </w:p>
        </w:tc>
        <w:tc>
          <w:tcPr>
            <w:tcW w:w="2960" w:type="dxa"/>
            <w:vAlign w:val="bottom"/>
          </w:tcPr>
          <w:p>
            <w:pPr>
              <w:ind w:left="1480"/>
              <w:spacing w:after="0"/>
              <w:rPr>
                <w:sz w:val="20"/>
                <w:szCs w:val="20"/>
                <w:color w:val="auto"/>
              </w:rPr>
            </w:pPr>
            <w:r>
              <w:rPr>
                <w:rFonts w:ascii="Arial" w:cs="Arial" w:eastAsia="Arial" w:hAnsi="Arial"/>
                <w:sz w:val="25"/>
                <w:szCs w:val="25"/>
                <w:b w:val="1"/>
                <w:bCs w:val="1"/>
                <w:color w:val="auto"/>
                <w:w w:val="99"/>
              </w:rPr>
              <w:t>SIGNATURE</w:t>
            </w:r>
          </w:p>
        </w:tc>
      </w:tr>
      <w:tr>
        <w:trPr>
          <w:trHeight w:val="253"/>
        </w:trPr>
        <w:tc>
          <w:tcPr>
            <w:tcW w:w="2460" w:type="dxa"/>
            <w:vAlign w:val="bottom"/>
          </w:tcPr>
          <w:p>
            <w:pPr>
              <w:spacing w:after="0"/>
              <w:rPr>
                <w:sz w:val="20"/>
                <w:szCs w:val="20"/>
                <w:color w:val="auto"/>
              </w:rPr>
            </w:pPr>
            <w:r>
              <w:rPr>
                <w:rFonts w:ascii="Arial" w:cs="Arial" w:eastAsia="Arial" w:hAnsi="Arial"/>
                <w:sz w:val="22"/>
                <w:szCs w:val="22"/>
                <w:color w:val="auto"/>
              </w:rPr>
              <w:t>receive and</w:t>
            </w:r>
          </w:p>
        </w:tc>
        <w:tc>
          <w:tcPr>
            <w:tcW w:w="2960" w:type="dxa"/>
            <w:vAlign w:val="bottom"/>
          </w:tcPr>
          <w:p>
            <w:pPr>
              <w:spacing w:after="0"/>
              <w:rPr>
                <w:sz w:val="22"/>
                <w:szCs w:val="22"/>
                <w:color w:val="auto"/>
              </w:rPr>
            </w:pPr>
          </w:p>
        </w:tc>
      </w:tr>
    </w:tbl>
    <w:p>
      <w:pPr>
        <w:ind w:left="20"/>
        <w:spacing w:after="0" w:line="181" w:lineRule="auto"/>
        <w:rPr>
          <w:sz w:val="20"/>
          <w:szCs w:val="20"/>
          <w:color w:val="auto"/>
        </w:rPr>
      </w:pPr>
      <w:r>
        <w:rPr>
          <w:rFonts w:ascii="Arial" w:cs="Arial" w:eastAsia="Arial" w:hAnsi="Arial"/>
          <w:sz w:val="14"/>
          <w:szCs w:val="14"/>
          <w:color w:val="auto"/>
        </w:rPr>
        <w:t>the power to</w:t>
      </w:r>
    </w:p>
    <w:p>
      <w:pPr>
        <w:ind w:left="20" w:right="1159" w:firstLine="236"/>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direct the</w:t>
      </w:r>
    </w:p>
    <w:p>
      <w:pPr>
        <w:ind w:left="260"/>
        <w:spacing w:after="0" w:line="182" w:lineRule="auto"/>
        <w:rPr>
          <w:sz w:val="20"/>
          <w:szCs w:val="20"/>
          <w:color w:val="auto"/>
        </w:rPr>
      </w:pPr>
      <w:r>
        <w:rPr>
          <w:rFonts w:ascii="Arial" w:cs="Arial" w:eastAsia="Arial" w:hAnsi="Arial"/>
          <w:sz w:val="18"/>
          <w:szCs w:val="18"/>
          <w:color w:val="auto"/>
        </w:rPr>
        <w:t>forth in this statement is true, complete and correct.</w:t>
      </w:r>
    </w:p>
    <w:p>
      <w:pPr>
        <w:ind w:left="20"/>
        <w:spacing w:after="0" w:line="231" w:lineRule="auto"/>
        <w:rPr>
          <w:sz w:val="20"/>
          <w:szCs w:val="20"/>
          <w:color w:val="auto"/>
        </w:rPr>
      </w:pPr>
      <w:r>
        <w:rPr>
          <w:rFonts w:ascii="Arial" w:cs="Arial" w:eastAsia="Arial" w:hAnsi="Arial"/>
          <w:sz w:val="22"/>
          <w:szCs w:val="22"/>
          <w:color w:val="auto"/>
        </w:rPr>
        <w:t>receipt of</w:t>
      </w:r>
    </w:p>
    <w:p>
      <w:pPr>
        <w:sectPr>
          <w:pgSz w:w="11900" w:h="16838" w:orient="portrait"/>
          <w:cols w:equalWidth="0" w:num="1">
            <w:col w:w="10179"/>
          </w:cols>
          <w:pgMar w:left="280" w:top="82" w:right="1440" w:bottom="1440" w:gutter="0" w:footer="0" w:header="0"/>
        </w:sectPr>
      </w:pPr>
    </w:p>
    <w:p>
      <w:pPr>
        <w:ind w:left="20"/>
        <w:spacing w:after="0" w:line="230" w:lineRule="auto"/>
        <w:rPr>
          <w:sz w:val="20"/>
          <w:szCs w:val="20"/>
          <w:color w:val="auto"/>
        </w:rPr>
      </w:pPr>
      <w:r>
        <w:rPr>
          <w:rFonts w:ascii="Arial" w:cs="Arial" w:eastAsia="Arial" w:hAnsi="Arial"/>
          <w:sz w:val="22"/>
          <w:szCs w:val="22"/>
          <w:color w:val="auto"/>
        </w:rPr>
        <w:t>dividends</w:t>
      </w:r>
    </w:p>
    <w:p>
      <w:pPr>
        <w:ind w:left="20"/>
        <w:spacing w:after="0" w:line="231" w:lineRule="auto"/>
        <w:rPr>
          <w:sz w:val="20"/>
          <w:szCs w:val="20"/>
          <w:color w:val="auto"/>
        </w:rPr>
      </w:pPr>
      <w:r>
        <w:rPr>
          <w:rFonts w:ascii="Arial" w:cs="Arial" w:eastAsia="Arial" w:hAnsi="Arial"/>
          <w:sz w:val="22"/>
          <w:szCs w:val="22"/>
          <w:color w:val="auto"/>
        </w:rPr>
        <w:t>from, or the</w:t>
      </w:r>
    </w:p>
    <w:p>
      <w:pPr>
        <w:ind w:left="20"/>
        <w:spacing w:after="0" w:line="231" w:lineRule="auto"/>
        <w:rPr>
          <w:sz w:val="20"/>
          <w:szCs w:val="20"/>
          <w:color w:val="auto"/>
        </w:rPr>
      </w:pPr>
      <w:r>
        <w:rPr>
          <w:rFonts w:ascii="Arial" w:cs="Arial" w:eastAsia="Arial" w:hAnsi="Arial"/>
          <w:sz w:val="22"/>
          <w:szCs w:val="22"/>
          <w:color w:val="auto"/>
        </w:rPr>
        <w:t>proceeds</w:t>
      </w:r>
    </w:p>
    <w:p>
      <w:pPr>
        <w:ind w:left="20"/>
        <w:spacing w:after="0"/>
        <w:rPr>
          <w:sz w:val="20"/>
          <w:szCs w:val="20"/>
          <w:color w:val="auto"/>
        </w:rPr>
      </w:pPr>
      <w:r>
        <w:rPr>
          <w:rFonts w:ascii="Arial" w:cs="Arial" w:eastAsia="Arial" w:hAnsi="Arial"/>
          <w:sz w:val="19"/>
          <w:szCs w:val="19"/>
          <w:color w:val="auto"/>
        </w:rPr>
        <w:t>from the sale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of, the</w:t>
      </w:r>
    </w:p>
    <w:p>
      <w:pPr>
        <w:ind w:left="20"/>
        <w:spacing w:after="0" w:line="230" w:lineRule="auto"/>
        <w:rPr>
          <w:sz w:val="20"/>
          <w:szCs w:val="20"/>
          <w:color w:val="auto"/>
        </w:rPr>
      </w:pPr>
      <w:r>
        <w:rPr>
          <w:rFonts w:ascii="Arial" w:cs="Arial" w:eastAsia="Arial" w:hAnsi="Arial"/>
          <w:sz w:val="22"/>
          <w:szCs w:val="22"/>
          <w:color w:val="auto"/>
        </w:rPr>
        <w:t>220,124</w:t>
      </w:r>
    </w:p>
    <w:p>
      <w:pPr>
        <w:ind w:left="20"/>
        <w:spacing w:after="0" w:line="231" w:lineRule="auto"/>
        <w:rPr>
          <w:sz w:val="20"/>
          <w:szCs w:val="20"/>
          <w:color w:val="auto"/>
        </w:rPr>
      </w:pPr>
      <w:r>
        <w:rPr>
          <w:rFonts w:ascii="Arial" w:cs="Arial" w:eastAsia="Arial" w:hAnsi="Arial"/>
          <w:sz w:val="22"/>
          <w:szCs w:val="22"/>
          <w:color w:val="auto"/>
        </w:rPr>
        <w:t>shares of</w:t>
      </w:r>
    </w:p>
    <w:p>
      <w:pPr>
        <w:ind w:left="20"/>
        <w:spacing w:after="0" w:line="230" w:lineRule="auto"/>
        <w:rPr>
          <w:sz w:val="20"/>
          <w:szCs w:val="20"/>
          <w:color w:val="auto"/>
        </w:rPr>
      </w:pPr>
      <w:r>
        <w:rPr>
          <w:rFonts w:ascii="Arial" w:cs="Arial" w:eastAsia="Arial" w:hAnsi="Arial"/>
          <w:sz w:val="22"/>
          <w:szCs w:val="22"/>
          <w:color w:val="auto"/>
        </w:rPr>
        <w:t>common</w:t>
      </w:r>
    </w:p>
    <w:p>
      <w:pPr>
        <w:ind w:left="20"/>
        <w:spacing w:after="0" w:line="231" w:lineRule="auto"/>
        <w:rPr>
          <w:sz w:val="20"/>
          <w:szCs w:val="20"/>
          <w:color w:val="auto"/>
        </w:rPr>
      </w:pPr>
      <w:r>
        <w:rPr>
          <w:rFonts w:ascii="Arial" w:cs="Arial" w:eastAsia="Arial" w:hAnsi="Arial"/>
          <w:sz w:val="22"/>
          <w:szCs w:val="22"/>
          <w:color w:val="auto"/>
        </w:rPr>
        <w:t>stock of</w:t>
      </w:r>
    </w:p>
    <w:p>
      <w:pPr>
        <w:ind w:left="20"/>
        <w:spacing w:after="0" w:line="231" w:lineRule="auto"/>
        <w:rPr>
          <w:sz w:val="20"/>
          <w:szCs w:val="20"/>
          <w:color w:val="auto"/>
        </w:rPr>
      </w:pPr>
      <w:r>
        <w:rPr>
          <w:rFonts w:ascii="Arial" w:cs="Arial" w:eastAsia="Arial" w:hAnsi="Arial"/>
          <w:sz w:val="22"/>
          <w:szCs w:val="22"/>
          <w:color w:val="auto"/>
        </w:rPr>
        <w:t>Micron</w:t>
      </w:r>
    </w:p>
    <w:p>
      <w:pPr>
        <w:ind w:left="20"/>
        <w:spacing w:after="0"/>
        <w:rPr>
          <w:sz w:val="20"/>
          <w:szCs w:val="20"/>
          <w:color w:val="auto"/>
        </w:rPr>
      </w:pPr>
      <w:r>
        <w:rPr>
          <w:rFonts w:ascii="Arial" w:cs="Arial" w:eastAsia="Arial" w:hAnsi="Arial"/>
          <w:sz w:val="19"/>
          <w:szCs w:val="19"/>
          <w:color w:val="auto"/>
        </w:rPr>
        <w:t>Technology,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Inc.</w:t>
      </w:r>
    </w:p>
    <w:p>
      <w:pPr>
        <w:ind w:left="20"/>
        <w:spacing w:after="0" w:line="230" w:lineRule="auto"/>
        <w:rPr>
          <w:sz w:val="20"/>
          <w:szCs w:val="20"/>
          <w:color w:val="auto"/>
        </w:rPr>
      </w:pPr>
      <w:r>
        <w:rPr>
          <w:rFonts w:ascii="Arial" w:cs="Arial" w:eastAsia="Arial" w:hAnsi="Arial"/>
          <w:sz w:val="22"/>
          <w:szCs w:val="22"/>
          <w:color w:val="auto"/>
        </w:rPr>
        <w:t>beneficially</w:t>
      </w:r>
    </w:p>
    <w:p>
      <w:pPr>
        <w:ind w:left="20"/>
        <w:spacing w:after="0" w:line="231" w:lineRule="auto"/>
        <w:rPr>
          <w:sz w:val="20"/>
          <w:szCs w:val="20"/>
          <w:color w:val="auto"/>
        </w:rPr>
      </w:pPr>
      <w:r>
        <w:rPr>
          <w:rFonts w:ascii="Arial" w:cs="Arial" w:eastAsia="Arial" w:hAnsi="Arial"/>
          <w:sz w:val="22"/>
          <w:szCs w:val="22"/>
          <w:color w:val="auto"/>
        </w:rPr>
        <w:t>owned by</w:t>
      </w:r>
    </w:p>
    <w:p>
      <w:pPr>
        <w:ind w:left="20"/>
        <w:spacing w:after="0" w:line="230" w:lineRule="auto"/>
        <w:rPr>
          <w:sz w:val="20"/>
          <w:szCs w:val="20"/>
          <w:color w:val="auto"/>
        </w:rPr>
      </w:pPr>
      <w:r>
        <w:rPr>
          <w:rFonts w:ascii="Arial" w:cs="Arial" w:eastAsia="Arial" w:hAnsi="Arial"/>
          <w:sz w:val="22"/>
          <w:szCs w:val="22"/>
          <w:color w:val="auto"/>
        </w:rPr>
        <w:t>Orbis Asset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139"/>
        <w:spacing w:after="0"/>
        <w:rPr>
          <w:sz w:val="20"/>
          <w:szCs w:val="20"/>
          <w:color w:val="auto"/>
        </w:rPr>
      </w:pPr>
      <w:r>
        <w:rPr>
          <w:rFonts w:ascii="Arial" w:cs="Arial" w:eastAsia="Arial" w:hAnsi="Arial"/>
          <w:sz w:val="22"/>
          <w:szCs w:val="22"/>
          <w:color w:val="auto"/>
        </w:rPr>
        <w:t>April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3139"/>
        <w:spacing w:after="0"/>
        <w:rPr>
          <w:sz w:val="20"/>
          <w:szCs w:val="20"/>
          <w:color w:val="auto"/>
        </w:rPr>
      </w:pPr>
      <w:r>
        <w:rPr>
          <w:rFonts w:ascii="Arial" w:cs="Arial" w:eastAsia="Arial" w:hAnsi="Arial"/>
          <w:sz w:val="22"/>
          <w:szCs w:val="22"/>
          <w:color w:val="auto"/>
        </w:rPr>
        <w:t>Date</w:t>
      </w:r>
    </w:p>
    <w:p>
      <w:pPr>
        <w:spacing w:after="0" w:line="287" w:lineRule="exact"/>
        <w:rPr>
          <w:sz w:val="20"/>
          <w:szCs w:val="20"/>
          <w:color w:val="auto"/>
        </w:rPr>
      </w:pPr>
    </w:p>
    <w:p>
      <w:pPr>
        <w:ind w:left="220" w:right="3139" w:hanging="224"/>
        <w:spacing w:after="0" w:line="274" w:lineRule="auto"/>
        <w:rPr>
          <w:sz w:val="20"/>
          <w:szCs w:val="20"/>
          <w:color w:val="auto"/>
        </w:rPr>
      </w:pPr>
      <w:r>
        <w:rPr>
          <w:rFonts w:ascii="Arial" w:cs="Arial" w:eastAsia="Arial" w:hAnsi="Arial"/>
          <w:sz w:val="21"/>
          <w:szCs w:val="21"/>
          <w:color w:val="auto"/>
        </w:rPr>
        <w:t>ORBIS INVESTMENT MANAGEMENT LIMITED, ORBIS ASSET MANAGEMENT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-18415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jc w:val="center"/>
        <w:ind w:right="313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3139"/>
        <w:spacing w:after="0"/>
        <w:rPr>
          <w:sz w:val="20"/>
          <w:szCs w:val="20"/>
          <w:color w:val="auto"/>
        </w:rPr>
      </w:pPr>
      <w:r>
        <w:rPr>
          <w:rFonts w:ascii="Arial" w:cs="Arial" w:eastAsia="Arial" w:hAnsi="Arial"/>
          <w:sz w:val="22"/>
          <w:szCs w:val="22"/>
          <w:color w:val="auto"/>
        </w:rPr>
        <w:t>James J. Dorr,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3139"/>
        <w:spacing w:after="0"/>
        <w:rPr>
          <w:sz w:val="20"/>
          <w:szCs w:val="20"/>
          <w:color w:val="auto"/>
        </w:rPr>
      </w:pPr>
      <w:r>
        <w:rPr>
          <w:rFonts w:ascii="Arial" w:cs="Arial" w:eastAsia="Arial" w:hAnsi="Arial"/>
          <w:sz w:val="22"/>
          <w:szCs w:val="22"/>
          <w:color w:val="auto"/>
        </w:rPr>
        <w:t>Name/Title</w:t>
      </w:r>
    </w:p>
    <w:p>
      <w:pPr>
        <w:spacing w:after="0" w:line="1210" w:lineRule="exact"/>
        <w:rPr>
          <w:sz w:val="20"/>
          <w:szCs w:val="20"/>
          <w:color w:val="auto"/>
        </w:rPr>
      </w:pPr>
    </w:p>
    <w:p>
      <w:pPr>
        <w:sectPr>
          <w:pgSz w:w="11900" w:h="16838" w:orient="portrait"/>
          <w:cols w:equalWidth="0" w:num="2">
            <w:col w:w="1640" w:space="720"/>
            <w:col w:w="7819"/>
          </w:cols>
          <w:pgMar w:left="280" w:top="82" w:right="1440" w:bottom="1440" w:gutter="0" w:footer="0" w:header="0"/>
          <w:type w:val="continuous"/>
        </w:sectPr>
      </w:pPr>
    </w:p>
    <w:p>
      <w:pPr>
        <w:ind w:left="20" w:right="1379" w:hanging="12"/>
        <w:spacing w:after="0" w:line="246" w:lineRule="auto"/>
        <w:rPr>
          <w:sz w:val="20"/>
          <w:szCs w:val="20"/>
          <w:color w:val="auto"/>
        </w:rPr>
      </w:pPr>
      <w:r>
        <w:rPr>
          <w:rFonts w:ascii="Arial" w:cs="Arial" w:eastAsia="Arial" w:hAnsi="Arial"/>
          <w:sz w:val="22"/>
          <w:szCs w:val="22"/>
          <w:b w:val="1"/>
          <w:bCs w:val="1"/>
          <w:color w:val="auto"/>
        </w:rPr>
        <w:t>Attention:</w:t>
      </w:r>
      <w:r>
        <w:rPr>
          <w:rFonts w:ascii="Arial" w:cs="Arial" w:eastAsia="Arial" w:hAnsi="Arial"/>
          <w:sz w:val="22"/>
          <w:szCs w:val="22"/>
          <w:color w:val="auto"/>
        </w:rPr>
        <w:t>Management</w:t>
      </w:r>
      <w:r>
        <w:rPr>
          <w:rFonts w:ascii="Arial" w:cs="Arial" w:eastAsia="Arial" w:hAnsi="Arial"/>
          <w:sz w:val="22"/>
          <w:szCs w:val="22"/>
          <w:b w:val="1"/>
          <w:bCs w:val="1"/>
          <w:color w:val="auto"/>
        </w:rPr>
        <w:t xml:space="preserve">Intentional misstatements or omissions of fact constitute Federal criminal violations </w:t>
      </w:r>
      <w:r>
        <w:rPr>
          <w:rFonts w:ascii="Arial" w:cs="Arial" w:eastAsia="Arial" w:hAnsi="Arial"/>
          <w:sz w:val="22"/>
          <w:szCs w:val="22"/>
          <w:color w:val="auto"/>
        </w:rPr>
        <w:t xml:space="preserve">Limited. </w:t>
      </w:r>
      <w:r>
        <w:rPr>
          <w:rFonts w:ascii="Arial" w:cs="Arial" w:eastAsia="Arial" w:hAnsi="Arial"/>
          <w:sz w:val="22"/>
          <w:szCs w:val="22"/>
          <w:b w:val="1"/>
          <w:bCs w:val="1"/>
          <w:color w:val="auto"/>
        </w:rPr>
        <w:t>(See 18 U.S.C. 1001)</w:t>
      </w:r>
    </w:p>
    <w:p>
      <w:pPr>
        <w:spacing w:after="0" w:line="68"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2007-2008</w:t>
      </w:r>
    </w:p>
    <w:sectPr>
      <w:pgSz w:w="11900" w:h="16838" w:orient="portrait"/>
      <w:cols w:equalWidth="0" w:num="1">
        <w:col w:w="10179"/>
      </w:cols>
      <w:pgMar w:left="280" w:top="8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lvl w:ilvl="1">
      <w:lvlJc w:val="left"/>
      <w:lvlText w:val="(%2)"/>
      <w:numFmt w:val="low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3"/>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2019-12-13T13:17:01Z</dcterms:created>
  <dcterms:modified xsi:type="dcterms:W3CDTF">2019-12-13T13:17:01Z</dcterms:modified>
</cp:coreProperties>
</file>