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29,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right="260" w:firstLine="1332"/>
        <w:spacing w:after="0" w:line="277" w:lineRule="auto"/>
        <w:rPr>
          <w:sz w:val="20"/>
          <w:szCs w:val="20"/>
          <w:color w:val="auto"/>
        </w:rPr>
      </w:pPr>
      <w:r>
        <w:rPr>
          <w:rFonts w:ascii="Arial" w:cs="Arial" w:eastAsia="Arial" w:hAnsi="Arial"/>
          <w:sz w:val="18"/>
          <w:szCs w:val="18"/>
          <w:color w:val="auto"/>
        </w:rPr>
        <w:t>On June 29, 2007, W. G. Stover, Jr., the Company's Vice President of Finance and Chief Financial Officer, informed the Company of his intention to retire after the completion of Micron's current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related to Mr. Stover's retirement is attached as Exhibit 99.1 to this Current Report on Form 8-K.</w:t>
      </w:r>
    </w:p>
    <w:p>
      <w:pPr>
        <w:spacing w:after="0" w:line="200" w:lineRule="exact"/>
        <w:rPr>
          <w:sz w:val="20"/>
          <w:szCs w:val="20"/>
          <w:color w:val="auto"/>
        </w:rPr>
      </w:pPr>
    </w:p>
    <w:p>
      <w:pPr>
        <w:spacing w:after="0" w:line="2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1260"/>
              <w:spacing w:after="0"/>
              <w:rPr>
                <w:sz w:val="20"/>
                <w:szCs w:val="20"/>
                <w:color w:val="auto"/>
              </w:rPr>
            </w:pPr>
            <w:r>
              <w:rPr>
                <w:rFonts w:ascii="Arial" w:cs="Arial" w:eastAsia="Arial" w:hAnsi="Arial"/>
                <w:sz w:val="18"/>
                <w:szCs w:val="18"/>
                <w:color w:val="auto"/>
                <w:w w:val="99"/>
              </w:rPr>
              <w:t>(d)</w:t>
            </w:r>
          </w:p>
        </w:tc>
        <w:tc>
          <w:tcPr>
            <w:tcW w:w="9920" w:type="dxa"/>
            <w:vAlign w:val="bottom"/>
            <w:gridSpan w:val="3"/>
          </w:tcPr>
          <w:p>
            <w:pPr>
              <w:ind w:left="60"/>
              <w:spacing w:after="0"/>
              <w:rPr>
                <w:sz w:val="20"/>
                <w:szCs w:val="20"/>
                <w:color w:val="auto"/>
              </w:rPr>
            </w:pPr>
            <w:r>
              <w:rPr>
                <w:rFonts w:ascii="Arial" w:cs="Arial" w:eastAsia="Arial" w:hAnsi="Arial"/>
                <w:sz w:val="18"/>
                <w:szCs w:val="18"/>
                <w:color w:val="auto"/>
              </w:rPr>
              <w:t>Exhibits.</w:t>
            </w:r>
          </w:p>
        </w:tc>
      </w:tr>
      <w:tr>
        <w:trPr>
          <w:trHeight w:val="432"/>
        </w:trPr>
        <w:tc>
          <w:tcPr>
            <w:tcW w:w="11420" w:type="dxa"/>
            <w:vAlign w:val="bottom"/>
            <w:gridSpan w:val="4"/>
          </w:tcPr>
          <w:p>
            <w:pPr>
              <w:ind w:left="126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Press Release issued on July 2,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960" w:type="dxa"/>
            <w:vAlign w:val="bottom"/>
            <w:gridSpan w:val="2"/>
          </w:tcPr>
          <w:p>
            <w:pPr>
              <w:ind w:left="26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060" w:type="dxa"/>
            <w:vAlign w:val="bottom"/>
          </w:tcPr>
          <w:p>
            <w:pPr>
              <w:spacing w:after="0"/>
              <w:rPr>
                <w:sz w:val="20"/>
                <w:szCs w:val="20"/>
                <w:color w:val="auto"/>
              </w:rPr>
            </w:pPr>
            <w:r>
              <w:rPr>
                <w:rFonts w:ascii="Arial" w:cs="Arial" w:eastAsia="Arial" w:hAnsi="Arial"/>
                <w:sz w:val="18"/>
                <w:szCs w:val="18"/>
                <w:color w:val="auto"/>
              </w:rPr>
              <w:t>Date:  July 2, 2007</w:t>
            </w:r>
          </w:p>
        </w:tc>
        <w:tc>
          <w:tcPr>
            <w:tcW w:w="3440" w:type="dxa"/>
            <w:vAlign w:val="bottom"/>
          </w:tcPr>
          <w:p>
            <w:pPr>
              <w:ind w:left="26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Durcan</w:t>
            </w:r>
          </w:p>
        </w:tc>
      </w:tr>
      <w:tr>
        <w:trPr>
          <w:trHeight w:val="202"/>
        </w:trPr>
        <w:tc>
          <w:tcPr>
            <w:tcW w:w="4060" w:type="dxa"/>
            <w:vAlign w:val="bottom"/>
          </w:tcPr>
          <w:p>
            <w:pPr>
              <w:spacing w:after="0"/>
              <w:rPr>
                <w:sz w:val="17"/>
                <w:szCs w:val="17"/>
                <w:color w:val="auto"/>
              </w:rPr>
            </w:pPr>
          </w:p>
        </w:tc>
        <w:tc>
          <w:tcPr>
            <w:tcW w:w="344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4060" w:type="dxa"/>
            <w:vAlign w:val="bottom"/>
          </w:tcPr>
          <w:p>
            <w:pPr>
              <w:spacing w:after="0"/>
              <w:rPr>
                <w:sz w:val="18"/>
                <w:szCs w:val="18"/>
                <w:color w:val="auto"/>
              </w:rPr>
            </w:pPr>
          </w:p>
        </w:tc>
        <w:tc>
          <w:tcPr>
            <w:tcW w:w="3440" w:type="dxa"/>
            <w:vAlign w:val="bottom"/>
          </w:tcPr>
          <w:p>
            <w:pPr>
              <w:ind w:left="26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40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607"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JUNE 29, 2007</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Pr>
          <w:p>
            <w:pPr>
              <w:spacing w:after="0"/>
              <w:rPr>
                <w:sz w:val="20"/>
                <w:szCs w:val="20"/>
                <w:color w:val="auto"/>
              </w:rPr>
            </w:pPr>
          </w:p>
        </w:tc>
        <w:tc>
          <w:tcPr>
            <w:tcW w:w="8960" w:type="dxa"/>
            <w:vAlign w:val="bottom"/>
            <w:tcBorders>
              <w:bottom w:val="single" w:sz="8" w:color="auto"/>
            </w:tcBorders>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2200" w:type="dxa"/>
            <w:vAlign w:val="bottom"/>
          </w:tcPr>
          <w:p>
            <w:pPr>
              <w:jc w:val="right"/>
              <w:ind w:right="850"/>
              <w:spacing w:after="0"/>
              <w:rPr>
                <w:sz w:val="20"/>
                <w:szCs w:val="20"/>
                <w:color w:val="auto"/>
              </w:rPr>
            </w:pPr>
            <w:r>
              <w:rPr>
                <w:rFonts w:ascii="Arial" w:cs="Arial" w:eastAsia="Arial" w:hAnsi="Arial"/>
                <w:sz w:val="18"/>
                <w:szCs w:val="18"/>
                <w:color w:val="auto"/>
              </w:rPr>
              <w:t>99.1</w:t>
            </w:r>
          </w:p>
        </w:tc>
        <w:tc>
          <w:tcPr>
            <w:tcW w:w="9220" w:type="dxa"/>
            <w:vAlign w:val="bottom"/>
            <w:gridSpan w:val="2"/>
          </w:tcPr>
          <w:p>
            <w:pPr>
              <w:ind w:left="260"/>
              <w:spacing w:after="0"/>
              <w:rPr>
                <w:sz w:val="20"/>
                <w:szCs w:val="20"/>
                <w:color w:val="auto"/>
              </w:rPr>
            </w:pPr>
            <w:r>
              <w:rPr>
                <w:rFonts w:ascii="Arial" w:cs="Arial" w:eastAsia="Arial" w:hAnsi="Arial"/>
                <w:sz w:val="18"/>
                <w:szCs w:val="18"/>
                <w:color w:val="auto"/>
              </w:rPr>
              <w:t>Press Release issued on July 2,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880" w:type="dxa"/>
            <w:vAlign w:val="bottom"/>
          </w:tcPr>
          <w:p>
            <w:pPr>
              <w:spacing w:after="0"/>
              <w:rPr>
                <w:sz w:val="20"/>
                <w:szCs w:val="20"/>
                <w:color w:val="auto"/>
              </w:rPr>
            </w:pPr>
          </w:p>
        </w:tc>
      </w:tr>
      <w:tr>
        <w:trPr>
          <w:trHeight w:val="445"/>
        </w:trPr>
        <w:tc>
          <w:tcPr>
            <w:tcW w:w="1340" w:type="dxa"/>
            <w:vAlign w:val="bottom"/>
          </w:tcPr>
          <w:p>
            <w:pPr>
              <w:spacing w:after="0"/>
              <w:rPr>
                <w:sz w:val="20"/>
                <w:szCs w:val="20"/>
                <w:color w:val="auto"/>
              </w:rPr>
            </w:pPr>
            <w:r>
              <w:rPr>
                <w:rFonts w:ascii="Arial" w:cs="Arial" w:eastAsia="Arial" w:hAnsi="Arial"/>
                <w:sz w:val="18"/>
                <w:szCs w:val="18"/>
                <w:color w:val="auto"/>
              </w:rPr>
              <w:t>Contacts:</w:t>
            </w:r>
          </w:p>
        </w:tc>
        <w:tc>
          <w:tcPr>
            <w:tcW w:w="3340" w:type="dxa"/>
            <w:vAlign w:val="bottom"/>
          </w:tcPr>
          <w:p>
            <w:pPr>
              <w:ind w:left="640"/>
              <w:spacing w:after="0"/>
              <w:rPr>
                <w:sz w:val="20"/>
                <w:szCs w:val="20"/>
                <w:color w:val="auto"/>
              </w:rPr>
            </w:pPr>
            <w:r>
              <w:rPr>
                <w:rFonts w:ascii="Arial" w:cs="Arial" w:eastAsia="Arial" w:hAnsi="Arial"/>
                <w:sz w:val="18"/>
                <w:szCs w:val="18"/>
                <w:color w:val="auto"/>
              </w:rPr>
              <w:t>Kipp A. Bedard</w:t>
            </w:r>
          </w:p>
        </w:tc>
        <w:tc>
          <w:tcPr>
            <w:tcW w:w="2880" w:type="dxa"/>
            <w:vAlign w:val="bottom"/>
          </w:tcPr>
          <w:p>
            <w:pPr>
              <w:ind w:left="1100"/>
              <w:spacing w:after="0"/>
              <w:rPr>
                <w:sz w:val="20"/>
                <w:szCs w:val="20"/>
                <w:color w:val="auto"/>
              </w:rPr>
            </w:pPr>
            <w:r>
              <w:rPr>
                <w:rFonts w:ascii="Arial" w:cs="Arial" w:eastAsia="Arial" w:hAnsi="Arial"/>
                <w:sz w:val="18"/>
                <w:szCs w:val="18"/>
                <w:color w:val="auto"/>
              </w:rPr>
              <w:t>Daniel Francisco</w:t>
            </w:r>
          </w:p>
        </w:tc>
      </w:tr>
      <w:tr>
        <w:trPr>
          <w:trHeight w:val="216"/>
        </w:trPr>
        <w:tc>
          <w:tcPr>
            <w:tcW w:w="1340" w:type="dxa"/>
            <w:vAlign w:val="bottom"/>
          </w:tcPr>
          <w:p>
            <w:pPr>
              <w:spacing w:after="0"/>
              <w:rPr>
                <w:sz w:val="18"/>
                <w:szCs w:val="18"/>
                <w:color w:val="auto"/>
              </w:rPr>
            </w:pPr>
          </w:p>
        </w:tc>
        <w:tc>
          <w:tcPr>
            <w:tcW w:w="3340" w:type="dxa"/>
            <w:vAlign w:val="bottom"/>
          </w:tcPr>
          <w:p>
            <w:pPr>
              <w:ind w:left="640"/>
              <w:spacing w:after="0"/>
              <w:rPr>
                <w:sz w:val="20"/>
                <w:szCs w:val="20"/>
                <w:color w:val="auto"/>
              </w:rPr>
            </w:pPr>
            <w:r>
              <w:rPr>
                <w:rFonts w:ascii="Arial" w:cs="Arial" w:eastAsia="Arial" w:hAnsi="Arial"/>
                <w:sz w:val="18"/>
                <w:szCs w:val="18"/>
                <w:color w:val="auto"/>
              </w:rPr>
              <w:t>Investor Relations</w:t>
            </w:r>
          </w:p>
        </w:tc>
        <w:tc>
          <w:tcPr>
            <w:tcW w:w="2880" w:type="dxa"/>
            <w:vAlign w:val="bottom"/>
          </w:tcPr>
          <w:p>
            <w:pPr>
              <w:ind w:left="1100"/>
              <w:spacing w:after="0"/>
              <w:rPr>
                <w:sz w:val="20"/>
                <w:szCs w:val="20"/>
                <w:color w:val="auto"/>
              </w:rPr>
            </w:pPr>
            <w:r>
              <w:rPr>
                <w:rFonts w:ascii="Arial" w:cs="Arial" w:eastAsia="Arial" w:hAnsi="Arial"/>
                <w:sz w:val="18"/>
                <w:szCs w:val="18"/>
                <w:color w:val="auto"/>
              </w:rPr>
              <w:t>Media Relations</w:t>
            </w:r>
          </w:p>
        </w:tc>
      </w:tr>
      <w:tr>
        <w:trPr>
          <w:trHeight w:val="216"/>
        </w:trPr>
        <w:tc>
          <w:tcPr>
            <w:tcW w:w="1340" w:type="dxa"/>
            <w:vAlign w:val="bottom"/>
          </w:tcPr>
          <w:p>
            <w:pPr>
              <w:spacing w:after="0"/>
              <w:rPr>
                <w:sz w:val="18"/>
                <w:szCs w:val="18"/>
                <w:color w:val="auto"/>
              </w:rPr>
            </w:pPr>
          </w:p>
        </w:tc>
        <w:tc>
          <w:tcPr>
            <w:tcW w:w="3340" w:type="dxa"/>
            <w:vAlign w:val="bottom"/>
          </w:tcPr>
          <w:p>
            <w:pPr>
              <w:ind w:left="640"/>
              <w:spacing w:after="0"/>
              <w:rPr>
                <w:sz w:val="20"/>
                <w:szCs w:val="20"/>
                <w:color w:val="auto"/>
              </w:rPr>
            </w:pPr>
            <w:r>
              <w:rPr>
                <w:rFonts w:ascii="Arial" w:cs="Arial" w:eastAsia="Arial" w:hAnsi="Arial"/>
                <w:sz w:val="18"/>
                <w:szCs w:val="18"/>
                <w:color w:val="auto"/>
              </w:rPr>
              <w:t>kbedard@micron.com</w:t>
            </w:r>
          </w:p>
        </w:tc>
        <w:tc>
          <w:tcPr>
            <w:tcW w:w="2880" w:type="dxa"/>
            <w:vAlign w:val="bottom"/>
          </w:tcPr>
          <w:p>
            <w:pPr>
              <w:ind w:left="11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340" w:type="dxa"/>
            <w:vAlign w:val="bottom"/>
          </w:tcPr>
          <w:p>
            <w:pPr>
              <w:spacing w:after="0"/>
              <w:rPr>
                <w:sz w:val="20"/>
                <w:szCs w:val="20"/>
                <w:color w:val="auto"/>
              </w:rPr>
            </w:pPr>
          </w:p>
        </w:tc>
        <w:tc>
          <w:tcPr>
            <w:tcW w:w="3340" w:type="dxa"/>
            <w:vAlign w:val="bottom"/>
          </w:tcPr>
          <w:p>
            <w:pPr>
              <w:ind w:left="640"/>
              <w:spacing w:after="0"/>
              <w:rPr>
                <w:sz w:val="20"/>
                <w:szCs w:val="20"/>
                <w:color w:val="auto"/>
              </w:rPr>
            </w:pPr>
            <w:r>
              <w:rPr>
                <w:rFonts w:ascii="Arial" w:cs="Arial" w:eastAsia="Arial" w:hAnsi="Arial"/>
                <w:sz w:val="18"/>
                <w:szCs w:val="18"/>
                <w:color w:val="auto"/>
              </w:rPr>
              <w:t>(208) 368-4400</w:t>
            </w:r>
          </w:p>
        </w:tc>
        <w:tc>
          <w:tcPr>
            <w:tcW w:w="2880" w:type="dxa"/>
            <w:vAlign w:val="bottom"/>
          </w:tcPr>
          <w:p>
            <w:pPr>
              <w:ind w:left="1100"/>
              <w:spacing w:after="0"/>
              <w:rPr>
                <w:sz w:val="20"/>
                <w:szCs w:val="20"/>
                <w:color w:val="auto"/>
              </w:rPr>
            </w:pPr>
            <w:r>
              <w:rPr>
                <w:rFonts w:ascii="Arial" w:cs="Arial" w:eastAsia="Arial" w:hAnsi="Arial"/>
                <w:sz w:val="18"/>
                <w:szCs w:val="18"/>
                <w:color w:val="auto"/>
              </w:rPr>
              <w:t>(208) 368-5584</w:t>
            </w: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Web site URL http://www.micron.com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CHIEF FINANCIAL OFFICER ANNOUNCES RETIREMENT</w:t>
      </w:r>
    </w:p>
    <w:p>
      <w:pPr>
        <w:spacing w:after="0" w:line="252"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Boise, Idaho, July 2, 2007</w:t>
      </w:r>
      <w:r>
        <w:rPr>
          <w:rFonts w:ascii="Arial" w:cs="Arial" w:eastAsia="Arial" w:hAnsi="Arial"/>
          <w:sz w:val="17"/>
          <w:szCs w:val="17"/>
          <w:color w:val="auto"/>
        </w:rPr>
        <w:t>– Micron Technology, Inc., (NYSE: MU) today announced that Wilbur G. Stover, Jr. ,Vice President of Finance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(CFO), has informed the company that he will retire after the completion of Micron’s current fiscal year.</w:t>
      </w:r>
    </w:p>
    <w:p>
      <w:pPr>
        <w:spacing w:after="0" w:line="1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Stover joined Micron in 1989 and has served as CFO since 1994, managing the company’s financial, administrative and information systems operations.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“Bill has been a great contributor to Micron’s growth and success for many years,” said Steve Appleton, Chairman and Chief Executive Officer. “We will miss his leadership and guidance.”</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will begin an international search for Stover’s replacement. Stover will continue to oversee financial matters until a transition is accomplished.</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2019-12-13T13:28:07Z</dcterms:created>
  <dcterms:modified xsi:type="dcterms:W3CDTF">2019-12-13T13:28:07Z</dcterms:modified>
</cp:coreProperties>
</file>