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22225</wp:posOffset>
            </wp:positionV>
            <wp:extent cx="6992620" cy="5486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58,457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Acquisition resulted from the vesting of Restricted Stock Units.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Withholding of common stock shares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Restricted Stock Units vested 25% on January 19, 2023, and 6.25% of the total restricted stock award vested, or will vest, quarterly thereafter.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-3354070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2023-10-23T18:26:06Z</dcterms:created>
  <dcterms:modified xsi:type="dcterms:W3CDTF">2023-10-23T18:26:06Z</dcterms:modified>
</cp:coreProperties>
</file>