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020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2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 xml:space="preserve">VP Legal Affairs, Gen Counsel </w:t>
      </w:r>
      <w:r>
        <w:rPr>
          <w:rFonts w:ascii="Arial" w:cs="Arial" w:eastAsia="Arial" w:hAnsi="Arial"/>
          <w:sz w:val="18"/>
          <w:szCs w:val="18"/>
          <w:color w:val="000000"/>
        </w:rPr>
        <w:t>/</w:t>
      </w:r>
      <w:r>
        <w:rPr>
          <w:rFonts w:ascii="Arial" w:cs="Arial" w:eastAsia="Arial" w:hAnsi="Arial"/>
          <w:sz w:val="15"/>
          <w:szCs w:val="15"/>
          <w:color w:val="0000FF"/>
        </w:rPr>
        <w:t xml:space="preserve"> &amp; Corporate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736,898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802,898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2019-12-16T04:11:13Z</dcterms:created>
  <dcterms:modified xsi:type="dcterms:W3CDTF">2019-12-16T04:11:13Z</dcterms:modified>
</cp:coreProperties>
</file>