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311150</wp:posOffset>
            </wp:positionH>
            <wp:positionV relativeFrom="page">
              <wp:posOffset>680720</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890"/>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18, 2024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6350</wp:posOffset>
            </wp:positionV>
            <wp:extent cx="1645920" cy="342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24130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6985</wp:posOffset>
            </wp:positionV>
            <wp:extent cx="32486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1950720</wp:posOffset>
            </wp:positionH>
            <wp:positionV relativeFrom="paragraph">
              <wp:posOffset>17780</wp:posOffset>
            </wp:positionV>
            <wp:extent cx="32404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343"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4660" w:type="dxa"/>
            <w:vAlign w:val="bottom"/>
            <w:gridSpan w:val="2"/>
          </w:tcPr>
          <w:p>
            <w:pPr>
              <w:jc w:val="center"/>
              <w:ind w:right="80"/>
              <w:spacing w:after="0"/>
              <w:rPr>
                <w:sz w:val="20"/>
                <w:szCs w:val="20"/>
                <w:color w:val="auto"/>
              </w:rPr>
            </w:pPr>
            <w:r>
              <w:rPr>
                <w:rFonts w:ascii="Arial" w:cs="Arial" w:eastAsia="Arial" w:hAnsi="Arial"/>
                <w:sz w:val="18"/>
                <w:szCs w:val="18"/>
                <w:color w:val="auto"/>
              </w:rPr>
              <w:t>Securities registered pursuant to Section 12(b) of the Act:</w:t>
            </w:r>
          </w:p>
        </w:tc>
        <w:tc>
          <w:tcPr>
            <w:tcW w:w="1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80" w:type="dxa"/>
            <w:vAlign w:val="bottom"/>
          </w:tcPr>
          <w:p>
            <w:pPr>
              <w:spacing w:after="0"/>
              <w:rPr>
                <w:sz w:val="20"/>
                <w:szCs w:val="20"/>
                <w:color w:val="auto"/>
              </w:rPr>
            </w:pPr>
          </w:p>
        </w:tc>
      </w:tr>
      <w:tr>
        <w:trPr>
          <w:trHeight w:val="253"/>
        </w:trPr>
        <w:tc>
          <w:tcPr>
            <w:tcW w:w="4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Title of each class</w:t>
            </w:r>
          </w:p>
        </w:tc>
        <w:tc>
          <w:tcPr>
            <w:tcW w:w="19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Trading symbol</w:t>
            </w: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32"/>
        </w:trPr>
        <w:tc>
          <w:tcPr>
            <w:tcW w:w="4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$0.10 per share</w:t>
            </w:r>
          </w:p>
        </w:tc>
        <w:tc>
          <w:tcPr>
            <w:tcW w:w="100" w:type="dxa"/>
            <w:vAlign w:val="bottom"/>
          </w:tcPr>
          <w:p>
            <w:pPr>
              <w:spacing w:after="0"/>
              <w:rPr>
                <w:sz w:val="20"/>
                <w:szCs w:val="20"/>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MU</w:t>
            </w:r>
          </w:p>
        </w:tc>
        <w:tc>
          <w:tcPr>
            <w:tcW w:w="100" w:type="dxa"/>
            <w:vAlign w:val="bottom"/>
          </w:tcPr>
          <w:p>
            <w:pPr>
              <w:spacing w:after="0"/>
              <w:rPr>
                <w:sz w:val="20"/>
                <w:szCs w:val="20"/>
                <w:color w:val="auto"/>
              </w:rPr>
            </w:pPr>
          </w:p>
        </w:tc>
        <w:tc>
          <w:tcPr>
            <w:tcW w:w="4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Nasdaq Global Select Market</w:t>
            </w:r>
          </w:p>
        </w:tc>
      </w:tr>
    </w:tbl>
    <w:p>
      <w:pPr>
        <w:spacing w:after="0" w:line="66"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3" w:lineRule="exact"/>
        <w:rPr>
          <w:sz w:val="24"/>
          <w:szCs w:val="24"/>
          <w:color w:val="auto"/>
        </w:rPr>
      </w:pPr>
    </w:p>
    <w:p>
      <w:pPr>
        <w:ind w:right="200"/>
        <w:spacing w:after="0" w:line="23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801370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6926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6926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8255"/>
                    </a:xfrm>
                    <a:prstGeom prst="rect">
                      <a:avLst/>
                    </a:prstGeom>
                    <a:noFill/>
                  </pic:spPr>
                </pic:pic>
              </a:graphicData>
            </a:graphic>
          </wp:anchor>
        </w:drawing>
      </w:r>
    </w:p>
    <w:p>
      <w:pPr>
        <w:sectPr>
          <w:pgSz w:w="11900" w:h="16838" w:orient="portrait"/>
          <w:cols w:equalWidth="0" w:num="1">
            <w:col w:w="11240"/>
          </w:cols>
          <w:pgMar w:left="320" w:top="1428" w:right="339" w:bottom="1440" w:gutter="0" w:footer="0" w:header="0"/>
        </w:sectPr>
      </w:pPr>
    </w:p>
    <w:bookmarkStart w:id="1" w:name="page2"/>
    <w:bookmarkEnd w:id="1"/>
    <w:p>
      <w:pPr>
        <w:ind w:left="20"/>
        <w:spacing w:after="0"/>
        <w:tabs>
          <w:tab w:leader="none" w:pos="13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200" w:lineRule="exact"/>
        <w:rPr>
          <w:sz w:val="20"/>
          <w:szCs w:val="20"/>
          <w:color w:val="auto"/>
        </w:rPr>
      </w:pPr>
    </w:p>
    <w:p>
      <w:pPr>
        <w:spacing w:after="0" w:line="22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On December 18, 2024, Micron Technology, Inc. (the "Company", "we" or "our") announced the financial results for our first quarter of fiscal 2025 ended November 28, 2024. The full text of the press release issued in connection with the announcement is attached as Exhibit 99.1 to this Current Report on Form 8-K.</w:t>
      </w:r>
    </w:p>
    <w:p>
      <w:pPr>
        <w:spacing w:after="0" w:line="2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information in Item 2.02 and Exhibit 99.1 of this Current Report on Form 8-K shall not be deemed "filed" for the purposes of Section 18 of the Securities Exchange Act of 1934, as amended (the "Exchange Act"), or otherwise subject to the liabilities of that section. The information in Item 2.02 and Exhibit 99.1 of this Current Report on Form 8-K shall not be incorporated by reference into any filing or other document pursuant to the Securities Act of 1933, as amended, or the Exchange Act, except as shall be expressly set forth by specific reference in such filing or document.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Item 9.01.</w:t>
            </w:r>
          </w:p>
        </w:tc>
        <w:tc>
          <w:tcPr>
            <w:tcW w:w="9900" w:type="dxa"/>
            <w:vAlign w:val="bottom"/>
            <w:gridSpan w:val="5"/>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78"/>
        </w:trPr>
        <w:tc>
          <w:tcPr>
            <w:tcW w:w="1340" w:type="dxa"/>
            <w:vAlign w:val="bottom"/>
          </w:tcPr>
          <w:p>
            <w:pPr>
              <w:spacing w:after="0"/>
              <w:rPr>
                <w:sz w:val="24"/>
                <w:szCs w:val="24"/>
                <w:color w:val="auto"/>
              </w:rPr>
            </w:pPr>
          </w:p>
        </w:tc>
        <w:tc>
          <w:tcPr>
            <w:tcW w:w="9900" w:type="dxa"/>
            <w:vAlign w:val="bottom"/>
            <w:gridSpan w:val="5"/>
          </w:tcPr>
          <w:p>
            <w:pPr>
              <w:spacing w:after="0"/>
              <w:rPr>
                <w:sz w:val="20"/>
                <w:szCs w:val="20"/>
                <w:color w:val="auto"/>
              </w:rPr>
            </w:pPr>
            <w:r>
              <w:rPr>
                <w:rFonts w:ascii="Arial" w:cs="Arial" w:eastAsia="Arial" w:hAnsi="Arial"/>
                <w:sz w:val="18"/>
                <w:szCs w:val="18"/>
                <w:color w:val="auto"/>
              </w:rPr>
              <w:t>(d) Exhibits.</w:t>
            </w:r>
          </w:p>
        </w:tc>
      </w:tr>
      <w:tr>
        <w:trPr>
          <w:trHeight w:val="671"/>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rPr>
              <w:t>Exhibit No.</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340" w:type="dxa"/>
            <w:vAlign w:val="bottom"/>
            <w:tcBorders>
              <w:top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3620" w:type="dxa"/>
            <w:vAlign w:val="bottom"/>
            <w:tcBorders>
              <w:top w:val="single" w:sz="8" w:color="auto"/>
              <w:bottom w:val="single" w:sz="8" w:color="BD03F7"/>
            </w:tcBorders>
          </w:tcPr>
          <w:p>
            <w:pPr>
              <w:spacing w:after="0" w:line="182" w:lineRule="exact"/>
              <w:rPr>
                <w:sz w:val="20"/>
                <w:szCs w:val="20"/>
                <w:color w:val="auto"/>
              </w:rPr>
            </w:pPr>
            <w:r>
              <w:rPr>
                <w:rFonts w:ascii="Arial" w:cs="Arial" w:eastAsia="Arial" w:hAnsi="Arial"/>
                <w:sz w:val="18"/>
                <w:szCs w:val="18"/>
                <w:color w:val="BD03F7"/>
                <w:w w:val="99"/>
              </w:rPr>
              <w:t>Press Release issued on December 18, 2024</w:t>
            </w:r>
          </w:p>
        </w:tc>
        <w:tc>
          <w:tcPr>
            <w:tcW w:w="59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54"/>
        </w:trPr>
        <w:tc>
          <w:tcPr>
            <w:tcW w:w="1340" w:type="dxa"/>
            <w:vAlign w:val="bottom"/>
          </w:tcPr>
          <w:p>
            <w:pPr>
              <w:jc w:val="right"/>
              <w:ind w:right="43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1461"/>
        </w:trPr>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900" w:type="dxa"/>
            <w:vAlign w:val="bottom"/>
          </w:tcPr>
          <w:p>
            <w:pPr>
              <w:spacing w:after="0"/>
              <w:rPr>
                <w:sz w:val="21"/>
                <w:szCs w:val="21"/>
                <w:color w:val="auto"/>
              </w:rPr>
            </w:pPr>
          </w:p>
        </w:tc>
        <w:tc>
          <w:tcPr>
            <w:tcW w:w="7320" w:type="dxa"/>
            <w:vAlign w:val="bottom"/>
            <w:gridSpan w:val="2"/>
          </w:tcPr>
          <w:p>
            <w:pPr>
              <w:ind w:left="156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900" w:type="dxa"/>
            <w:vAlign w:val="bottom"/>
          </w:tcPr>
          <w:p>
            <w:pPr>
              <w:spacing w:after="0"/>
              <w:rPr>
                <w:sz w:val="20"/>
                <w:szCs w:val="20"/>
                <w:color w:val="auto"/>
              </w:rPr>
            </w:pPr>
            <w:r>
              <w:rPr>
                <w:rFonts w:ascii="Arial" w:cs="Arial" w:eastAsia="Arial" w:hAnsi="Arial"/>
                <w:sz w:val="18"/>
                <w:szCs w:val="18"/>
                <w:color w:val="auto"/>
              </w:rPr>
              <w:t>Date:   December 18, 2024</w:t>
            </w:r>
          </w:p>
        </w:tc>
        <w:tc>
          <w:tcPr>
            <w:tcW w:w="2460" w:type="dxa"/>
            <w:vAlign w:val="bottom"/>
          </w:tcPr>
          <w:p>
            <w:pPr>
              <w:ind w:left="156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900" w:type="dxa"/>
            <w:vAlign w:val="bottom"/>
          </w:tcPr>
          <w:p>
            <w:pPr>
              <w:spacing w:after="0"/>
              <w:rPr>
                <w:sz w:val="18"/>
                <w:szCs w:val="18"/>
                <w:color w:val="auto"/>
              </w:rPr>
            </w:pPr>
          </w:p>
        </w:tc>
        <w:tc>
          <w:tcPr>
            <w:tcW w:w="2460" w:type="dxa"/>
            <w:vAlign w:val="bottom"/>
          </w:tcPr>
          <w:p>
            <w:pPr>
              <w:ind w:left="1560"/>
              <w:spacing w:after="0"/>
              <w:rPr>
                <w:sz w:val="20"/>
                <w:szCs w:val="20"/>
                <w:color w:val="auto"/>
              </w:rPr>
            </w:pPr>
            <w:r>
              <w:rPr>
                <w:rFonts w:ascii="Arial" w:cs="Arial" w:eastAsia="Arial" w:hAnsi="Arial"/>
                <w:sz w:val="18"/>
                <w:szCs w:val="18"/>
                <w:color w:val="auto"/>
              </w:rPr>
              <w:t>Name:</w:t>
            </w:r>
          </w:p>
        </w:tc>
        <w:tc>
          <w:tcPr>
            <w:tcW w:w="4860" w:type="dxa"/>
            <w:vAlign w:val="bottom"/>
          </w:tcPr>
          <w:p>
            <w:pPr>
              <w:ind w:left="20"/>
              <w:spacing w:after="0"/>
              <w:rPr>
                <w:sz w:val="20"/>
                <w:szCs w:val="20"/>
                <w:color w:val="auto"/>
              </w:rPr>
            </w:pPr>
            <w:r>
              <w:rPr>
                <w:rFonts w:ascii="Arial" w:cs="Arial" w:eastAsia="Arial" w:hAnsi="Arial"/>
                <w:sz w:val="18"/>
                <w:szCs w:val="18"/>
                <w:color w:val="auto"/>
              </w:rPr>
              <w:t>Mark Murphy</w:t>
            </w:r>
          </w:p>
        </w:tc>
      </w:tr>
      <w:tr>
        <w:trPr>
          <w:trHeight w:val="239"/>
        </w:trPr>
        <w:tc>
          <w:tcPr>
            <w:tcW w:w="3900" w:type="dxa"/>
            <w:vAlign w:val="bottom"/>
          </w:tcPr>
          <w:p>
            <w:pPr>
              <w:spacing w:after="0"/>
              <w:rPr>
                <w:sz w:val="20"/>
                <w:szCs w:val="20"/>
                <w:color w:val="auto"/>
              </w:rPr>
            </w:pPr>
          </w:p>
        </w:tc>
        <w:tc>
          <w:tcPr>
            <w:tcW w:w="2460" w:type="dxa"/>
            <w:vAlign w:val="bottom"/>
          </w:tcPr>
          <w:p>
            <w:pPr>
              <w:ind w:left="1560"/>
              <w:spacing w:after="0"/>
              <w:rPr>
                <w:sz w:val="20"/>
                <w:szCs w:val="20"/>
                <w:color w:val="auto"/>
              </w:rPr>
            </w:pPr>
            <w:r>
              <w:rPr>
                <w:rFonts w:ascii="Arial" w:cs="Arial" w:eastAsia="Arial" w:hAnsi="Arial"/>
                <w:sz w:val="18"/>
                <w:szCs w:val="18"/>
                <w:color w:val="auto"/>
              </w:rPr>
              <w:t>Title:</w:t>
            </w:r>
          </w:p>
        </w:tc>
        <w:tc>
          <w:tcPr>
            <w:tcW w:w="48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1133"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IMMEDIATE RELEASE</w:t>
      </w:r>
    </w:p>
    <w:p>
      <w:pPr>
        <w:spacing w:after="0" w:line="23" w:lineRule="exact"/>
        <w:rPr>
          <w:sz w:val="20"/>
          <w:szCs w:val="20"/>
          <w:color w:val="auto"/>
        </w:rPr>
      </w:pPr>
    </w:p>
    <w:tbl>
      <w:tblPr>
        <w:tblLayout w:type="fixed"/>
        <w:tblInd w:w="260" w:type="dxa"/>
        <w:tblCellMar>
          <w:top w:w="0" w:type="dxa"/>
          <w:left w:w="0" w:type="dxa"/>
          <w:bottom w:w="0" w:type="dxa"/>
          <w:right w:w="0" w:type="dxa"/>
        </w:tblCellMar>
      </w:tblPr>
      <w:tr>
        <w:trPr>
          <w:trHeight w:val="225"/>
        </w:trPr>
        <w:tc>
          <w:tcPr>
            <w:tcW w:w="1500" w:type="dxa"/>
            <w:vAlign w:val="bottom"/>
          </w:tcPr>
          <w:p>
            <w:pPr>
              <w:spacing w:after="0"/>
              <w:rPr>
                <w:sz w:val="20"/>
                <w:szCs w:val="20"/>
                <w:color w:val="auto"/>
              </w:rPr>
            </w:pPr>
            <w:r>
              <w:rPr>
                <w:rFonts w:ascii="Arial" w:cs="Arial" w:eastAsia="Arial" w:hAnsi="Arial"/>
                <w:sz w:val="18"/>
                <w:szCs w:val="18"/>
                <w:color w:val="auto"/>
              </w:rPr>
              <w:t>Contacts:</w:t>
            </w:r>
          </w:p>
        </w:tc>
        <w:tc>
          <w:tcPr>
            <w:tcW w:w="3100" w:type="dxa"/>
            <w:vAlign w:val="bottom"/>
            <w:gridSpan w:val="2"/>
          </w:tcPr>
          <w:p>
            <w:pPr>
              <w:spacing w:after="0"/>
              <w:rPr>
                <w:sz w:val="20"/>
                <w:szCs w:val="20"/>
                <w:color w:val="auto"/>
              </w:rPr>
            </w:pPr>
            <w:r>
              <w:rPr>
                <w:rFonts w:ascii="Arial" w:cs="Arial" w:eastAsia="Arial" w:hAnsi="Arial"/>
                <w:sz w:val="18"/>
                <w:szCs w:val="18"/>
                <w:color w:val="auto"/>
              </w:rPr>
              <w:t>Satya Kumar</w:t>
            </w:r>
          </w:p>
        </w:tc>
        <w:tc>
          <w:tcPr>
            <w:tcW w:w="1780" w:type="dxa"/>
            <w:vAlign w:val="bottom"/>
          </w:tcPr>
          <w:p>
            <w:pPr>
              <w:spacing w:after="0"/>
              <w:rPr>
                <w:sz w:val="20"/>
                <w:szCs w:val="20"/>
                <w:color w:val="auto"/>
              </w:rPr>
            </w:pPr>
            <w:r>
              <w:rPr>
                <w:rFonts w:ascii="Arial" w:cs="Arial" w:eastAsia="Arial" w:hAnsi="Arial"/>
                <w:sz w:val="18"/>
                <w:szCs w:val="18"/>
                <w:color w:val="auto"/>
              </w:rPr>
              <w:t>Mark Plungy</w:t>
            </w:r>
          </w:p>
        </w:tc>
      </w:tr>
      <w:tr>
        <w:trPr>
          <w:trHeight w:val="230"/>
        </w:trPr>
        <w:tc>
          <w:tcPr>
            <w:tcW w:w="1500" w:type="dxa"/>
            <w:vAlign w:val="bottom"/>
          </w:tcPr>
          <w:p>
            <w:pPr>
              <w:spacing w:after="0"/>
              <w:rPr>
                <w:sz w:val="19"/>
                <w:szCs w:val="19"/>
                <w:color w:val="auto"/>
              </w:rPr>
            </w:pPr>
          </w:p>
        </w:tc>
        <w:tc>
          <w:tcPr>
            <w:tcW w:w="310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1780" w:type="dxa"/>
            <w:vAlign w:val="bottom"/>
          </w:tcPr>
          <w:p>
            <w:pPr>
              <w:spacing w:after="0"/>
              <w:rPr>
                <w:sz w:val="20"/>
                <w:szCs w:val="20"/>
                <w:color w:val="auto"/>
              </w:rPr>
            </w:pPr>
            <w:r>
              <w:rPr>
                <w:rFonts w:ascii="Arial" w:cs="Arial" w:eastAsia="Arial" w:hAnsi="Arial"/>
                <w:sz w:val="18"/>
                <w:szCs w:val="18"/>
                <w:color w:val="auto"/>
              </w:rPr>
              <w:t>Media Relations</w:t>
            </w:r>
          </w:p>
        </w:tc>
      </w:tr>
      <w:tr>
        <w:trPr>
          <w:trHeight w:val="194"/>
        </w:trPr>
        <w:tc>
          <w:tcPr>
            <w:tcW w:w="1500" w:type="dxa"/>
            <w:vAlign w:val="bottom"/>
          </w:tcPr>
          <w:p>
            <w:pPr>
              <w:spacing w:after="0"/>
              <w:rPr>
                <w:sz w:val="16"/>
                <w:szCs w:val="16"/>
                <w:color w:val="auto"/>
              </w:rPr>
            </w:pPr>
          </w:p>
        </w:tc>
        <w:tc>
          <w:tcPr>
            <w:tcW w:w="3100" w:type="dxa"/>
            <w:vAlign w:val="bottom"/>
            <w:gridSpan w:val="2"/>
          </w:tcPr>
          <w:p>
            <w:pPr>
              <w:spacing w:after="0" w:line="195" w:lineRule="exact"/>
              <w:rPr>
                <w:sz w:val="20"/>
                <w:szCs w:val="20"/>
                <w:color w:val="auto"/>
              </w:rPr>
            </w:pPr>
            <w:r>
              <w:rPr>
                <w:rFonts w:ascii="Arial" w:cs="Arial" w:eastAsia="Arial" w:hAnsi="Arial"/>
                <w:sz w:val="18"/>
                <w:szCs w:val="18"/>
                <w:color w:val="BD03F7"/>
              </w:rPr>
              <w:t>satyakumar@micron.com</w:t>
            </w:r>
          </w:p>
        </w:tc>
        <w:tc>
          <w:tcPr>
            <w:tcW w:w="1780" w:type="dxa"/>
            <w:vAlign w:val="bottom"/>
          </w:tcPr>
          <w:p>
            <w:pPr>
              <w:spacing w:after="0" w:line="195" w:lineRule="exact"/>
              <w:rPr>
                <w:sz w:val="20"/>
                <w:szCs w:val="20"/>
                <w:color w:val="auto"/>
              </w:rPr>
            </w:pPr>
            <w:r>
              <w:rPr>
                <w:rFonts w:ascii="Arial" w:cs="Arial" w:eastAsia="Arial" w:hAnsi="Arial"/>
                <w:sz w:val="18"/>
                <w:szCs w:val="18"/>
                <w:color w:val="BD03F7"/>
                <w:w w:val="98"/>
              </w:rPr>
              <w:t>mplungy@micron.com</w:t>
            </w:r>
          </w:p>
        </w:tc>
      </w:tr>
      <w:tr>
        <w:trPr>
          <w:trHeight w:val="254"/>
        </w:trPr>
        <w:tc>
          <w:tcPr>
            <w:tcW w:w="1500" w:type="dxa"/>
            <w:vAlign w:val="bottom"/>
          </w:tcPr>
          <w:p>
            <w:pPr>
              <w:spacing w:after="0"/>
              <w:rPr>
                <w:sz w:val="22"/>
                <w:szCs w:val="22"/>
                <w:color w:val="auto"/>
              </w:rPr>
            </w:pPr>
          </w:p>
        </w:tc>
        <w:tc>
          <w:tcPr>
            <w:tcW w:w="204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450-6199</w:t>
            </w:r>
          </w:p>
        </w:tc>
        <w:tc>
          <w:tcPr>
            <w:tcW w:w="1060" w:type="dxa"/>
            <w:vAlign w:val="bottom"/>
          </w:tcPr>
          <w:p>
            <w:pPr>
              <w:spacing w:after="0"/>
              <w:rPr>
                <w:sz w:val="22"/>
                <w:szCs w:val="22"/>
                <w:color w:val="auto"/>
              </w:rPr>
            </w:pPr>
          </w:p>
        </w:tc>
        <w:tc>
          <w:tcPr>
            <w:tcW w:w="1780" w:type="dxa"/>
            <w:vAlign w:val="bottom"/>
            <w:tcBorders>
              <w:top w:val="single" w:sz="8" w:color="BD03F7"/>
            </w:tcBorders>
          </w:tcPr>
          <w:p>
            <w:pPr>
              <w:spacing w:after="0"/>
              <w:rPr>
                <w:sz w:val="20"/>
                <w:szCs w:val="20"/>
                <w:color w:val="auto"/>
              </w:rPr>
            </w:pPr>
            <w:r>
              <w:rPr>
                <w:rFonts w:ascii="Arial" w:cs="Arial" w:eastAsia="Arial" w:hAnsi="Arial"/>
                <w:sz w:val="18"/>
                <w:szCs w:val="18"/>
                <w:color w:val="auto"/>
              </w:rPr>
              <w:t>(408) 203-2910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MICRON TECHNOLOGY, INC. REPORTS RESULTS FOR THE</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QUARTER OF FISCAL 2025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delivers record fiscal Q1 revenue, driven by strong AI demand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Data center revenue grew over 40% sequentially and over 400% year over year</w:t>
      </w:r>
    </w:p>
    <w:p>
      <w:pPr>
        <w:spacing w:after="0" w:line="23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color w:val="auto"/>
        </w:rPr>
        <w:t xml:space="preserve">BOISE, Idaho, </w:t>
      </w:r>
      <w:r>
        <w:rPr>
          <w:rFonts w:ascii="Arial" w:cs="Arial" w:eastAsia="Arial" w:hAnsi="Arial"/>
          <w:sz w:val="18"/>
          <w:szCs w:val="18"/>
          <w:color w:val="auto"/>
        </w:rPr>
        <w:t>December 18, 2024 – Micron Technology, Inc. (Nasdaq: MU) today announced results for its first quarter of fiscal 2025, which</w:t>
      </w:r>
      <w:r>
        <w:rPr>
          <w:rFonts w:ascii="Arial" w:cs="Arial" w:eastAsia="Arial" w:hAnsi="Arial"/>
          <w:sz w:val="18"/>
          <w:szCs w:val="18"/>
          <w:b w:val="1"/>
          <w:bCs w:val="1"/>
          <w:color w:val="auto"/>
        </w:rPr>
        <w:t xml:space="preserve"> </w:t>
      </w:r>
      <w:r>
        <w:rPr>
          <w:rFonts w:ascii="Arial" w:cs="Arial" w:eastAsia="Arial" w:hAnsi="Arial"/>
          <w:sz w:val="18"/>
          <w:szCs w:val="18"/>
          <w:color w:val="auto"/>
        </w:rPr>
        <w:t>ended November 28, 2024.</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Q1 2025 highlights</w:t>
      </w:r>
    </w:p>
    <w:p>
      <w:pPr>
        <w:spacing w:after="0" w:line="27"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$8.71 billion versus $7.75 billion for the prior quarter and $4.73 billion for the same period last year</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net income of $1.87 billion, or $1.67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Non-GAAP net income of $2.04 billion, or $1.79 per diluted share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cash flow of $3.24 billion versus $3.41 billion for the prior quarter and $1.40 billion for the same period last year</w:t>
      </w:r>
    </w:p>
    <w:p>
      <w:pPr>
        <w:spacing w:after="0" w:line="221"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“Micron delivered a record quarter, and our data center revenue surpassed 50% of our total revenue for the first time,” said Sanjay Mehrotra, President and CEO of Micron Technology. “While consumer-oriented markets are weaker in the near term, we anticipate a return to growth in</w:t>
      </w:r>
    </w:p>
    <w:p>
      <w:pPr>
        <w:spacing w:after="0" w:line="1" w:lineRule="exact"/>
        <w:rPr>
          <w:sz w:val="20"/>
          <w:szCs w:val="20"/>
          <w:color w:val="auto"/>
        </w:rPr>
      </w:pPr>
    </w:p>
    <w:p>
      <w:pPr>
        <w:ind w:right="380"/>
        <w:spacing w:after="0" w:line="250" w:lineRule="auto"/>
        <w:rPr>
          <w:sz w:val="20"/>
          <w:szCs w:val="20"/>
          <w:color w:val="auto"/>
        </w:rPr>
      </w:pPr>
      <w:r>
        <w:rPr>
          <w:rFonts w:ascii="Arial" w:cs="Arial" w:eastAsia="Arial" w:hAnsi="Arial"/>
          <w:sz w:val="18"/>
          <w:szCs w:val="18"/>
          <w:color w:val="auto"/>
        </w:rPr>
        <w:t>the second half of our fiscal year. We continue to gain share in the highest margin and strategically important parts of the market and are exceptionally well positioned to leverage AI-driven growth to create substantial value for all stakeholders.”</w:t>
      </w: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Quarterly Financial Results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1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r>
      <w:tr>
        <w:trPr>
          <w:trHeight w:val="250"/>
        </w:trPr>
        <w:tc>
          <w:tcPr>
            <w:tcW w:w="416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share amounts)</w:t>
            </w:r>
          </w:p>
        </w:tc>
        <w:tc>
          <w:tcPr>
            <w:tcW w:w="180" w:type="dxa"/>
            <w:vAlign w:val="bottom"/>
          </w:tcPr>
          <w:p>
            <w:pPr>
              <w:spacing w:after="0"/>
              <w:rPr>
                <w:sz w:val="21"/>
                <w:szCs w:val="21"/>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rPr>
              <w:t>FQ1-25</w:t>
            </w:r>
          </w:p>
        </w:tc>
        <w:tc>
          <w:tcPr>
            <w:tcW w:w="200" w:type="dxa"/>
            <w:vAlign w:val="bottom"/>
          </w:tcPr>
          <w:p>
            <w:pPr>
              <w:spacing w:after="0"/>
              <w:rPr>
                <w:sz w:val="21"/>
                <w:szCs w:val="21"/>
                <w:color w:val="auto"/>
              </w:rPr>
            </w:pPr>
          </w:p>
        </w:tc>
        <w:tc>
          <w:tcPr>
            <w:tcW w:w="940" w:type="dxa"/>
            <w:vAlign w:val="bottom"/>
          </w:tcPr>
          <w:p>
            <w:pPr>
              <w:ind w:left="60"/>
              <w:spacing w:after="0"/>
              <w:rPr>
                <w:sz w:val="20"/>
                <w:szCs w:val="20"/>
                <w:color w:val="auto"/>
              </w:rPr>
            </w:pPr>
            <w:r>
              <w:rPr>
                <w:rFonts w:ascii="Arial" w:cs="Arial" w:eastAsia="Arial" w:hAnsi="Arial"/>
                <w:sz w:val="18"/>
                <w:szCs w:val="18"/>
                <w:b w:val="1"/>
                <w:bCs w:val="1"/>
                <w:color w:val="auto"/>
              </w:rPr>
              <w:t>FQ4-24</w:t>
            </w:r>
          </w:p>
        </w:tc>
        <w:tc>
          <w:tcPr>
            <w:tcW w:w="220" w:type="dxa"/>
            <w:vAlign w:val="bottom"/>
          </w:tcPr>
          <w:p>
            <w:pPr>
              <w:spacing w:after="0"/>
              <w:rPr>
                <w:sz w:val="21"/>
                <w:szCs w:val="21"/>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FQ1-24</w:t>
            </w:r>
          </w:p>
        </w:tc>
        <w:tc>
          <w:tcPr>
            <w:tcW w:w="200" w:type="dxa"/>
            <w:vAlign w:val="bottom"/>
          </w:tcPr>
          <w:p>
            <w:pPr>
              <w:spacing w:after="0"/>
              <w:rPr>
                <w:sz w:val="21"/>
                <w:szCs w:val="21"/>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FQ1-25</w:t>
            </w:r>
          </w:p>
        </w:tc>
        <w:tc>
          <w:tcPr>
            <w:tcW w:w="200" w:type="dxa"/>
            <w:vAlign w:val="bottom"/>
          </w:tcPr>
          <w:p>
            <w:pPr>
              <w:spacing w:after="0"/>
              <w:rPr>
                <w:sz w:val="21"/>
                <w:szCs w:val="21"/>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rPr>
              <w:t>FQ4-24</w:t>
            </w:r>
          </w:p>
        </w:tc>
        <w:tc>
          <w:tcPr>
            <w:tcW w:w="200" w:type="dxa"/>
            <w:vAlign w:val="bottom"/>
          </w:tcPr>
          <w:p>
            <w:pPr>
              <w:spacing w:after="0"/>
              <w:rPr>
                <w:sz w:val="21"/>
                <w:szCs w:val="21"/>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b w:val="1"/>
                <w:bCs w:val="1"/>
                <w:color w:val="auto"/>
              </w:rPr>
              <w:t>FQ1-24</w:t>
            </w:r>
          </w:p>
        </w:tc>
      </w:tr>
      <w:tr>
        <w:trPr>
          <w:trHeight w:val="34"/>
        </w:trPr>
        <w:tc>
          <w:tcPr>
            <w:tcW w:w="41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r>
      <w:tr>
        <w:trPr>
          <w:trHeight w:val="230"/>
        </w:trPr>
        <w:tc>
          <w:tcPr>
            <w:tcW w:w="416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8,709</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7,750</w:t>
            </w:r>
          </w:p>
        </w:tc>
        <w:tc>
          <w:tcPr>
            <w:tcW w:w="22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DDDDD"/>
          </w:tcPr>
          <w:p>
            <w:pPr>
              <w:jc w:val="right"/>
              <w:ind w:right="190"/>
              <w:spacing w:after="0"/>
              <w:rPr>
                <w:sz w:val="20"/>
                <w:szCs w:val="20"/>
                <w:color w:val="auto"/>
              </w:rPr>
            </w:pPr>
            <w:r>
              <w:rPr>
                <w:rFonts w:ascii="Arial" w:cs="Arial" w:eastAsia="Arial" w:hAnsi="Arial"/>
                <w:sz w:val="18"/>
                <w:szCs w:val="18"/>
                <w:color w:val="auto"/>
              </w:rPr>
              <w:t>4,726</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8,709</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7,750</w:t>
            </w:r>
          </w:p>
        </w:tc>
        <w:tc>
          <w:tcPr>
            <w:tcW w:w="200" w:type="dxa"/>
            <w:vAlign w:val="bottom"/>
            <w:shd w:val="clear" w:color="auto" w:fill="DDDDDD"/>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DDDDDD"/>
          </w:tcPr>
          <w:p>
            <w:pPr>
              <w:jc w:val="right"/>
              <w:ind w:right="210"/>
              <w:spacing w:after="0"/>
              <w:rPr>
                <w:sz w:val="20"/>
                <w:szCs w:val="20"/>
                <w:color w:val="auto"/>
              </w:rPr>
            </w:pPr>
            <w:r>
              <w:rPr>
                <w:rFonts w:ascii="Arial" w:cs="Arial" w:eastAsia="Arial" w:hAnsi="Arial"/>
                <w:sz w:val="18"/>
                <w:szCs w:val="18"/>
                <w:color w:val="auto"/>
              </w:rPr>
              <w:t>4,726</w:t>
            </w:r>
          </w:p>
        </w:tc>
      </w:tr>
      <w:tr>
        <w:trPr>
          <w:trHeight w:val="229"/>
        </w:trPr>
        <w:tc>
          <w:tcPr>
            <w:tcW w:w="41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3,348</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2,737</w:t>
            </w:r>
          </w:p>
        </w:tc>
        <w:tc>
          <w:tcPr>
            <w:tcW w:w="22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3,441</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2,826</w:t>
            </w:r>
          </w:p>
        </w:tc>
        <w:tc>
          <w:tcPr>
            <w:tcW w:w="200" w:type="dxa"/>
            <w:vAlign w:val="bottom"/>
          </w:tcPr>
          <w:p>
            <w:pPr>
              <w:spacing w:after="0"/>
              <w:rPr>
                <w:sz w:val="19"/>
                <w:szCs w:val="19"/>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37</w:t>
            </w:r>
          </w:p>
        </w:tc>
      </w:tr>
      <w:tr>
        <w:trPr>
          <w:trHeight w:val="230"/>
        </w:trPr>
        <w:tc>
          <w:tcPr>
            <w:tcW w:w="4160" w:type="dxa"/>
            <w:vAlign w:val="bottom"/>
            <w:shd w:val="clear" w:color="auto" w:fill="DDDDDD"/>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38.4 %</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35.3 %</w:t>
            </w:r>
          </w:p>
        </w:tc>
        <w:tc>
          <w:tcPr>
            <w:tcW w:w="220" w:type="dxa"/>
            <w:vAlign w:val="bottom"/>
            <w:shd w:val="clear" w:color="auto" w:fill="DDDDDD"/>
          </w:tcPr>
          <w:p>
            <w:pPr>
              <w:spacing w:after="0"/>
              <w:rPr>
                <w:sz w:val="19"/>
                <w:szCs w:val="19"/>
                <w:color w:val="auto"/>
              </w:rPr>
            </w:pPr>
          </w:p>
        </w:tc>
        <w:tc>
          <w:tcPr>
            <w:tcW w:w="98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(0.7 %)</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39.5 %</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36.5 %</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spacing w:after="0"/>
              <w:rPr>
                <w:sz w:val="20"/>
                <w:szCs w:val="20"/>
                <w:color w:val="auto"/>
              </w:rPr>
            </w:pPr>
            <w:r>
              <w:rPr>
                <w:rFonts w:ascii="Arial" w:cs="Arial" w:eastAsia="Arial" w:hAnsi="Arial"/>
                <w:sz w:val="18"/>
                <w:szCs w:val="18"/>
                <w:i w:val="1"/>
                <w:iCs w:val="1"/>
                <w:color w:val="auto"/>
              </w:rPr>
              <w:t>0.8 %</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1,174</w:t>
            </w:r>
          </w:p>
        </w:tc>
        <w:tc>
          <w:tcPr>
            <w:tcW w:w="200" w:type="dxa"/>
            <w:vAlign w:val="bottom"/>
          </w:tcPr>
          <w:p>
            <w:pPr>
              <w:spacing w:after="0"/>
              <w:rPr>
                <w:sz w:val="19"/>
                <w:szCs w:val="19"/>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1,215</w:t>
            </w:r>
          </w:p>
        </w:tc>
        <w:tc>
          <w:tcPr>
            <w:tcW w:w="220" w:type="dxa"/>
            <w:vAlign w:val="bottom"/>
          </w:tcPr>
          <w:p>
            <w:pPr>
              <w:spacing w:after="0"/>
              <w:rPr>
                <w:sz w:val="19"/>
                <w:szCs w:val="19"/>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1,047</w:t>
            </w:r>
          </w:p>
        </w:tc>
        <w:tc>
          <w:tcPr>
            <w:tcW w:w="200" w:type="dxa"/>
            <w:vAlign w:val="bottom"/>
          </w:tcPr>
          <w:p>
            <w:pPr>
              <w:spacing w:after="0"/>
              <w:rPr>
                <w:sz w:val="19"/>
                <w:szCs w:val="19"/>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1,081</w:t>
            </w:r>
          </w:p>
        </w:tc>
        <w:tc>
          <w:tcPr>
            <w:tcW w:w="200" w:type="dxa"/>
            <w:vAlign w:val="bottom"/>
          </w:tcPr>
          <w:p>
            <w:pPr>
              <w:spacing w:after="0"/>
              <w:rPr>
                <w:sz w:val="19"/>
                <w:szCs w:val="19"/>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992</w:t>
            </w:r>
          </w:p>
        </w:tc>
      </w:tr>
      <w:tr>
        <w:trPr>
          <w:trHeight w:val="230"/>
        </w:trPr>
        <w:tc>
          <w:tcPr>
            <w:tcW w:w="416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income (loss)</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2,174</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1,522</w:t>
            </w:r>
          </w:p>
        </w:tc>
        <w:tc>
          <w:tcPr>
            <w:tcW w:w="22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(1,128)</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2,394</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1,745</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(955)</w:t>
            </w: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i w:val="1"/>
                <w:iCs w:val="1"/>
                <w:color w:val="auto"/>
              </w:rPr>
              <w:t>percent of revenue</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25.0 %</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19.6 %</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i w:val="1"/>
                <w:iCs w:val="1"/>
                <w:color w:val="auto"/>
              </w:rPr>
              <w:t>(23.9 %)</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i w:val="1"/>
                <w:iCs w:val="1"/>
                <w:color w:val="auto"/>
              </w:rPr>
              <w:t>27.5 %</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i w:val="1"/>
                <w:iCs w:val="1"/>
                <w:color w:val="auto"/>
              </w:rPr>
              <w:t>22.5 %</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i w:val="1"/>
                <w:iCs w:val="1"/>
                <w:color w:val="auto"/>
              </w:rPr>
              <w:t>(20.2 %)</w:t>
            </w:r>
          </w:p>
        </w:tc>
      </w:tr>
      <w:tr>
        <w:trPr>
          <w:trHeight w:val="229"/>
        </w:trPr>
        <w:tc>
          <w:tcPr>
            <w:tcW w:w="4160" w:type="dxa"/>
            <w:vAlign w:val="bottom"/>
            <w:shd w:val="clear" w:color="auto" w:fill="DDDDDD"/>
          </w:tcPr>
          <w:p>
            <w:pPr>
              <w:ind w:left="2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1,870</w:t>
            </w: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887</w:t>
            </w:r>
          </w:p>
        </w:tc>
        <w:tc>
          <w:tcPr>
            <w:tcW w:w="220" w:type="dxa"/>
            <w:vAlign w:val="bottom"/>
            <w:shd w:val="clear" w:color="auto" w:fill="DDDDDD"/>
          </w:tcPr>
          <w:p>
            <w:pPr>
              <w:spacing w:after="0"/>
              <w:rPr>
                <w:sz w:val="19"/>
                <w:szCs w:val="19"/>
                <w:color w:val="auto"/>
              </w:rPr>
            </w:pPr>
          </w:p>
        </w:tc>
        <w:tc>
          <w:tcPr>
            <w:tcW w:w="98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(1,234)</w:t>
            </w:r>
          </w:p>
        </w:tc>
        <w:tc>
          <w:tcPr>
            <w:tcW w:w="100" w:type="dxa"/>
            <w:vAlign w:val="bottom"/>
            <w:shd w:val="clear" w:color="auto" w:fill="DDDDDD"/>
          </w:tcPr>
          <w:p>
            <w:pPr>
              <w:spacing w:after="0"/>
              <w:rPr>
                <w:sz w:val="19"/>
                <w:szCs w:val="19"/>
                <w:color w:val="auto"/>
              </w:rPr>
            </w:pPr>
          </w:p>
        </w:tc>
        <w:tc>
          <w:tcPr>
            <w:tcW w:w="200" w:type="dxa"/>
            <w:vAlign w:val="bottom"/>
            <w:shd w:val="clear" w:color="auto" w:fill="DDDDDD"/>
          </w:tcPr>
          <w:p>
            <w:pPr>
              <w:spacing w:after="0"/>
              <w:rPr>
                <w:sz w:val="19"/>
                <w:szCs w:val="19"/>
                <w:color w:val="auto"/>
              </w:rPr>
            </w:pPr>
          </w:p>
        </w:tc>
        <w:tc>
          <w:tcPr>
            <w:tcW w:w="940" w:type="dxa"/>
            <w:vAlign w:val="bottom"/>
            <w:shd w:val="clear" w:color="auto" w:fill="DDDDDD"/>
          </w:tcPr>
          <w:p>
            <w:pPr>
              <w:jc w:val="right"/>
              <w:ind w:right="130"/>
              <w:spacing w:after="0"/>
              <w:rPr>
                <w:sz w:val="20"/>
                <w:szCs w:val="20"/>
                <w:color w:val="auto"/>
              </w:rPr>
            </w:pPr>
            <w:r>
              <w:rPr>
                <w:rFonts w:ascii="Arial" w:cs="Arial" w:eastAsia="Arial" w:hAnsi="Arial"/>
                <w:sz w:val="18"/>
                <w:szCs w:val="18"/>
                <w:color w:val="auto"/>
              </w:rPr>
              <w:t>2,037</w:t>
            </w:r>
          </w:p>
        </w:tc>
        <w:tc>
          <w:tcPr>
            <w:tcW w:w="200" w:type="dxa"/>
            <w:vAlign w:val="bottom"/>
            <w:shd w:val="clear" w:color="auto" w:fill="DDDDDD"/>
          </w:tcPr>
          <w:p>
            <w:pPr>
              <w:spacing w:after="0"/>
              <w:rPr>
                <w:sz w:val="19"/>
                <w:szCs w:val="19"/>
                <w:color w:val="auto"/>
              </w:rPr>
            </w:pPr>
          </w:p>
        </w:tc>
        <w:tc>
          <w:tcPr>
            <w:tcW w:w="96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1,342</w:t>
            </w:r>
          </w:p>
        </w:tc>
        <w:tc>
          <w:tcPr>
            <w:tcW w:w="200" w:type="dxa"/>
            <w:vAlign w:val="bottom"/>
            <w:shd w:val="clear" w:color="auto" w:fill="DDDDDD"/>
          </w:tcPr>
          <w:p>
            <w:pPr>
              <w:spacing w:after="0"/>
              <w:rPr>
                <w:sz w:val="19"/>
                <w:szCs w:val="19"/>
                <w:color w:val="auto"/>
              </w:rPr>
            </w:pPr>
          </w:p>
        </w:tc>
        <w:tc>
          <w:tcPr>
            <w:tcW w:w="1000" w:type="dxa"/>
            <w:vAlign w:val="bottom"/>
            <w:shd w:val="clear" w:color="auto" w:fill="DDDDDD"/>
          </w:tcPr>
          <w:p>
            <w:pPr>
              <w:jc w:val="right"/>
              <w:ind w:right="150"/>
              <w:spacing w:after="0"/>
              <w:rPr>
                <w:sz w:val="20"/>
                <w:szCs w:val="20"/>
                <w:color w:val="auto"/>
              </w:rPr>
            </w:pPr>
            <w:r>
              <w:rPr>
                <w:rFonts w:ascii="Arial" w:cs="Arial" w:eastAsia="Arial" w:hAnsi="Arial"/>
                <w:sz w:val="18"/>
                <w:szCs w:val="18"/>
                <w:color w:val="auto"/>
              </w:rPr>
              <w:t>(1,048)</w:t>
            </w:r>
          </w:p>
        </w:tc>
      </w:tr>
      <w:tr>
        <w:trPr>
          <w:trHeight w:val="239"/>
        </w:trPr>
        <w:tc>
          <w:tcPr>
            <w:tcW w:w="4160" w:type="dxa"/>
            <w:vAlign w:val="bottom"/>
          </w:tcPr>
          <w:p>
            <w:pPr>
              <w:ind w:left="20"/>
              <w:spacing w:after="0"/>
              <w:rPr>
                <w:sz w:val="20"/>
                <w:szCs w:val="20"/>
                <w:color w:val="auto"/>
              </w:rPr>
            </w:pPr>
            <w:r>
              <w:rPr>
                <w:rFonts w:ascii="Arial" w:cs="Arial" w:eastAsia="Arial" w:hAnsi="Arial"/>
                <w:sz w:val="18"/>
                <w:szCs w:val="18"/>
                <w:color w:val="auto"/>
              </w:rPr>
              <w:t>Diluted earnings (loss) per share</w:t>
            </w:r>
          </w:p>
        </w:tc>
        <w:tc>
          <w:tcPr>
            <w:tcW w:w="18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1.67</w:t>
            </w:r>
          </w:p>
        </w:tc>
        <w:tc>
          <w:tcPr>
            <w:tcW w:w="20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0.79</w:t>
            </w:r>
          </w:p>
        </w:tc>
        <w:tc>
          <w:tcPr>
            <w:tcW w:w="22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rPr>
              <w:t>1.79</w:t>
            </w:r>
          </w:p>
        </w:tc>
        <w:tc>
          <w:tcPr>
            <w:tcW w:w="20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20"/>
                <w:szCs w:val="20"/>
                <w:color w:val="auto"/>
              </w:rPr>
            </w:pPr>
          </w:p>
        </w:tc>
        <w:tc>
          <w:tcPr>
            <w:tcW w:w="1000" w:type="dxa"/>
            <w:vAlign w:val="bottom"/>
          </w:tcPr>
          <w:p>
            <w:pPr>
              <w:jc w:val="right"/>
              <w:ind w:right="150"/>
              <w:spacing w:after="0"/>
              <w:rPr>
                <w:sz w:val="20"/>
                <w:szCs w:val="20"/>
                <w:color w:val="auto"/>
              </w:rPr>
            </w:pPr>
            <w:r>
              <w:rPr>
                <w:rFonts w:ascii="Arial" w:cs="Arial" w:eastAsia="Arial" w:hAnsi="Arial"/>
                <w:sz w:val="18"/>
                <w:szCs w:val="18"/>
                <w:color w:val="auto"/>
              </w:rPr>
              <w:t>(0.95)</w:t>
            </w:r>
          </w:p>
        </w:tc>
      </w:tr>
    </w:tbl>
    <w:p>
      <w:pPr>
        <w:spacing w:after="0" w:line="200" w:lineRule="exact"/>
        <w:rPr>
          <w:sz w:val="20"/>
          <w:szCs w:val="20"/>
          <w:color w:val="auto"/>
        </w:rPr>
      </w:pPr>
    </w:p>
    <w:p>
      <w:pPr>
        <w:spacing w:after="0" w:line="350" w:lineRule="exact"/>
        <w:rPr>
          <w:sz w:val="20"/>
          <w:szCs w:val="20"/>
          <w:color w:val="auto"/>
        </w:rPr>
      </w:pPr>
    </w:p>
    <w:p>
      <w:pPr>
        <w:ind w:right="100"/>
        <w:spacing w:after="0" w:line="241" w:lineRule="auto"/>
        <w:rPr>
          <w:sz w:val="20"/>
          <w:szCs w:val="20"/>
          <w:color w:val="auto"/>
        </w:rPr>
      </w:pPr>
      <w:r>
        <w:rPr>
          <w:rFonts w:ascii="Arial" w:cs="Arial" w:eastAsia="Arial" w:hAnsi="Arial"/>
          <w:sz w:val="18"/>
          <w:szCs w:val="18"/>
          <w:color w:val="auto"/>
        </w:rPr>
        <w:t>Investments in capital expenditures, net</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were $ 3.13 billion for the first quarter of 2025, which resulted in adjusted free cash flows</w:t>
      </w:r>
      <w:r>
        <w:rPr>
          <w:rFonts w:ascii="Arial" w:cs="Arial" w:eastAsia="Arial" w:hAnsi="Arial"/>
          <w:sz w:val="23"/>
          <w:szCs w:val="23"/>
          <w:color w:val="auto"/>
          <w:vertAlign w:val="superscript"/>
        </w:rPr>
        <w:t>(2)</w:t>
      </w:r>
      <w:r>
        <w:rPr>
          <w:rFonts w:ascii="Arial" w:cs="Arial" w:eastAsia="Arial" w:hAnsi="Arial"/>
          <w:sz w:val="18"/>
          <w:szCs w:val="18"/>
          <w:color w:val="auto"/>
        </w:rPr>
        <w:t xml:space="preserve"> of $112 million for the first quarter of 2025. Micron ended the quarter with cash, marketable investments, and restricted cash of $8.75 billion. On December 18, 2024, Micron’s Board of Directors declared a quarterly dividend of $0.115 per share, payable in cash on January 15, 2025, to shareholders of record as of the close of business on December 30, 2024.</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4"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47"/>
        </w:trPr>
        <w:tc>
          <w:tcPr>
            <w:tcW w:w="6520" w:type="dxa"/>
            <w:vAlign w:val="bottom"/>
          </w:tcPr>
          <w:p>
            <w:pPr>
              <w:spacing w:after="0"/>
              <w:rPr>
                <w:sz w:val="20"/>
                <w:szCs w:val="20"/>
                <w:color w:val="auto"/>
              </w:rPr>
            </w:pPr>
            <w:r>
              <w:rPr>
                <w:rFonts w:ascii="Arial" w:cs="Arial" w:eastAsia="Arial" w:hAnsi="Arial"/>
                <w:sz w:val="18"/>
                <w:szCs w:val="18"/>
                <w:b w:val="1"/>
                <w:bCs w:val="1"/>
                <w:color w:val="auto"/>
              </w:rPr>
              <w:t>Business Outlook</w:t>
            </w:r>
          </w:p>
        </w:tc>
        <w:tc>
          <w:tcPr>
            <w:tcW w:w="2480" w:type="dxa"/>
            <w:vAlign w:val="bottom"/>
          </w:tcPr>
          <w:p>
            <w:pPr>
              <w:spacing w:after="0"/>
              <w:rPr>
                <w:sz w:val="21"/>
                <w:szCs w:val="21"/>
                <w:color w:val="auto"/>
              </w:rPr>
            </w:pPr>
          </w:p>
        </w:tc>
        <w:tc>
          <w:tcPr>
            <w:tcW w:w="2240" w:type="dxa"/>
            <w:vAlign w:val="bottom"/>
          </w:tcPr>
          <w:p>
            <w:pPr>
              <w:spacing w:after="0"/>
              <w:rPr>
                <w:sz w:val="21"/>
                <w:szCs w:val="21"/>
                <w:color w:val="auto"/>
              </w:rPr>
            </w:pPr>
          </w:p>
        </w:tc>
      </w:tr>
      <w:tr>
        <w:trPr>
          <w:trHeight w:val="451"/>
        </w:trPr>
        <w:tc>
          <w:tcPr>
            <w:tcW w:w="6520" w:type="dxa"/>
            <w:vAlign w:val="bottom"/>
          </w:tcPr>
          <w:p>
            <w:pPr>
              <w:spacing w:after="0"/>
              <w:rPr>
                <w:sz w:val="20"/>
                <w:szCs w:val="20"/>
                <w:color w:val="auto"/>
              </w:rPr>
            </w:pPr>
            <w:r>
              <w:rPr>
                <w:rFonts w:ascii="Arial" w:cs="Arial" w:eastAsia="Arial" w:hAnsi="Arial"/>
                <w:sz w:val="18"/>
                <w:szCs w:val="18"/>
                <w:color w:val="auto"/>
              </w:rPr>
              <w:t>The following table presents Micron’s guidance for the second quarter of 2025:</w:t>
            </w:r>
          </w:p>
        </w:tc>
        <w:tc>
          <w:tcPr>
            <w:tcW w:w="24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52"/>
        </w:trPr>
        <w:tc>
          <w:tcPr>
            <w:tcW w:w="6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FQ2-25</w:t>
            </w:r>
          </w:p>
        </w:tc>
        <w:tc>
          <w:tcPr>
            <w:tcW w:w="2480" w:type="dxa"/>
            <w:vAlign w:val="bottom"/>
            <w:tcBorders>
              <w:bottom w:val="single" w:sz="8" w:color="auto"/>
            </w:tcBorders>
          </w:tcPr>
          <w:p>
            <w:pPr>
              <w:jc w:val="right"/>
              <w:ind w:right="430"/>
              <w:spacing w:after="0" w:line="253" w:lineRule="exact"/>
              <w:rPr>
                <w:sz w:val="20"/>
                <w:szCs w:val="20"/>
                <w:color w:val="auto"/>
              </w:rPr>
            </w:pPr>
            <w:r>
              <w:rPr>
                <w:rFonts w:ascii="Arial" w:cs="Arial" w:eastAsia="Arial" w:hAnsi="Arial"/>
                <w:sz w:val="18"/>
                <w:szCs w:val="18"/>
                <w:b w:val="1"/>
                <w:bCs w:val="1"/>
                <w:color w:val="auto"/>
              </w:rPr>
              <w:t>GAAP</w:t>
            </w:r>
            <w:r>
              <w:rPr>
                <w:rFonts w:ascii="Arial" w:cs="Arial" w:eastAsia="Arial" w:hAnsi="Arial"/>
                <w:sz w:val="23"/>
                <w:szCs w:val="23"/>
                <w:b w:val="1"/>
                <w:bCs w:val="1"/>
                <w:color w:val="auto"/>
                <w:vertAlign w:val="superscript"/>
              </w:rPr>
              <w:t>(1)</w:t>
            </w:r>
            <w:r>
              <w:rPr>
                <w:rFonts w:ascii="Arial" w:cs="Arial" w:eastAsia="Arial" w:hAnsi="Arial"/>
                <w:sz w:val="18"/>
                <w:szCs w:val="18"/>
                <w:b w:val="1"/>
                <w:bCs w:val="1"/>
                <w:color w:val="auto"/>
              </w:rPr>
              <w:t xml:space="preserve"> Outlook</w:t>
            </w:r>
          </w:p>
        </w:tc>
        <w:tc>
          <w:tcPr>
            <w:tcW w:w="2240" w:type="dxa"/>
            <w:vAlign w:val="bottom"/>
            <w:tcBorders>
              <w:bottom w:val="single" w:sz="8" w:color="auto"/>
            </w:tcBorders>
          </w:tcPr>
          <w:p>
            <w:pPr>
              <w:jc w:val="right"/>
              <w:ind w:right="170"/>
              <w:spacing w:after="0" w:line="253" w:lineRule="exact"/>
              <w:rPr>
                <w:sz w:val="20"/>
                <w:szCs w:val="20"/>
                <w:color w:val="auto"/>
              </w:rPr>
            </w:pPr>
            <w:r>
              <w:rPr>
                <w:rFonts w:ascii="Arial" w:cs="Arial" w:eastAsia="Arial" w:hAnsi="Arial"/>
                <w:sz w:val="18"/>
                <w:szCs w:val="18"/>
                <w:b w:val="1"/>
                <w:bCs w:val="1"/>
                <w:color w:val="auto"/>
              </w:rPr>
              <w:t>Non-GAAP</w:t>
            </w:r>
            <w:r>
              <w:rPr>
                <w:rFonts w:ascii="Arial" w:cs="Arial" w:eastAsia="Arial" w:hAnsi="Arial"/>
                <w:sz w:val="23"/>
                <w:szCs w:val="23"/>
                <w:b w:val="1"/>
                <w:bCs w:val="1"/>
                <w:color w:val="auto"/>
                <w:vertAlign w:val="superscript"/>
              </w:rPr>
              <w:t>(2)</w:t>
            </w:r>
            <w:r>
              <w:rPr>
                <w:rFonts w:ascii="Arial" w:cs="Arial" w:eastAsia="Arial" w:hAnsi="Arial"/>
                <w:sz w:val="18"/>
                <w:szCs w:val="18"/>
                <w:b w:val="1"/>
                <w:bCs w:val="1"/>
                <w:color w:val="auto"/>
              </w:rPr>
              <w:t xml:space="preserve"> Outlook</w:t>
            </w:r>
          </w:p>
        </w:tc>
      </w:tr>
      <w:tr>
        <w:trPr>
          <w:trHeight w:val="34"/>
        </w:trPr>
        <w:tc>
          <w:tcPr>
            <w:tcW w:w="6520" w:type="dxa"/>
            <w:vAlign w:val="bottom"/>
          </w:tcPr>
          <w:p>
            <w:pPr>
              <w:spacing w:after="0"/>
              <w:rPr>
                <w:sz w:val="2"/>
                <w:szCs w:val="2"/>
                <w:color w:val="auto"/>
              </w:rPr>
            </w:pPr>
          </w:p>
        </w:tc>
        <w:tc>
          <w:tcPr>
            <w:tcW w:w="248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30"/>
        </w:trPr>
        <w:tc>
          <w:tcPr>
            <w:tcW w:w="6520" w:type="dxa"/>
            <w:vAlign w:val="bottom"/>
            <w:shd w:val="clear" w:color="auto" w:fill="DDDDDD"/>
          </w:tcPr>
          <w:p>
            <w:pPr>
              <w:ind w:left="20"/>
              <w:spacing w:after="0"/>
              <w:rPr>
                <w:sz w:val="20"/>
                <w:szCs w:val="20"/>
                <w:color w:val="auto"/>
              </w:rPr>
            </w:pPr>
            <w:r>
              <w:rPr>
                <w:rFonts w:ascii="Arial" w:cs="Arial" w:eastAsia="Arial" w:hAnsi="Arial"/>
                <w:sz w:val="18"/>
                <w:szCs w:val="18"/>
                <w:color w:val="auto"/>
              </w:rPr>
              <w:t>Revenue</w:t>
            </w:r>
          </w:p>
        </w:tc>
        <w:tc>
          <w:tcPr>
            <w:tcW w:w="24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$7.90 billion ± $200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$7.90 billion ± $200 million</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480" w:type="dxa"/>
            <w:vAlign w:val="bottom"/>
          </w:tcPr>
          <w:p>
            <w:pPr>
              <w:jc w:val="right"/>
              <w:spacing w:after="0"/>
              <w:rPr>
                <w:sz w:val="20"/>
                <w:szCs w:val="20"/>
                <w:color w:val="auto"/>
              </w:rPr>
            </w:pPr>
            <w:r>
              <w:rPr>
                <w:rFonts w:ascii="Arial" w:cs="Arial" w:eastAsia="Arial" w:hAnsi="Arial"/>
                <w:sz w:val="18"/>
                <w:szCs w:val="18"/>
                <w:color w:val="auto"/>
              </w:rPr>
              <w:t>37.5% ± 1.0%</w:t>
            </w:r>
          </w:p>
        </w:tc>
        <w:tc>
          <w:tcPr>
            <w:tcW w:w="2240" w:type="dxa"/>
            <w:vAlign w:val="bottom"/>
          </w:tcPr>
          <w:p>
            <w:pPr>
              <w:jc w:val="right"/>
              <w:spacing w:after="0"/>
              <w:rPr>
                <w:sz w:val="20"/>
                <w:szCs w:val="20"/>
                <w:color w:val="auto"/>
              </w:rPr>
            </w:pPr>
            <w:r>
              <w:rPr>
                <w:rFonts w:ascii="Arial" w:cs="Arial" w:eastAsia="Arial" w:hAnsi="Arial"/>
                <w:sz w:val="18"/>
                <w:szCs w:val="18"/>
                <w:color w:val="auto"/>
              </w:rPr>
              <w:t>38.5% ± 1.0%</w:t>
            </w:r>
          </w:p>
        </w:tc>
      </w:tr>
      <w:tr>
        <w:trPr>
          <w:trHeight w:val="229"/>
        </w:trPr>
        <w:tc>
          <w:tcPr>
            <w:tcW w:w="6520" w:type="dxa"/>
            <w:vAlign w:val="bottom"/>
            <w:shd w:val="clear" w:color="auto" w:fill="DDDDDD"/>
          </w:tcPr>
          <w:p>
            <w:pPr>
              <w:ind w:left="20"/>
              <w:spacing w:after="0"/>
              <w:rPr>
                <w:sz w:val="20"/>
                <w:szCs w:val="20"/>
                <w:color w:val="auto"/>
              </w:rPr>
            </w:pPr>
            <w:r>
              <w:rPr>
                <w:rFonts w:ascii="Arial" w:cs="Arial" w:eastAsia="Arial" w:hAnsi="Arial"/>
                <w:sz w:val="18"/>
                <w:szCs w:val="18"/>
                <w:color w:val="auto"/>
              </w:rPr>
              <w:t>Operating expenses</w:t>
            </w:r>
          </w:p>
        </w:tc>
        <w:tc>
          <w:tcPr>
            <w:tcW w:w="24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$1.24 billion ± $15 million</w:t>
            </w:r>
          </w:p>
        </w:tc>
        <w:tc>
          <w:tcPr>
            <w:tcW w:w="224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$1.10 billion ± $15 million</w:t>
            </w:r>
          </w:p>
        </w:tc>
      </w:tr>
      <w:tr>
        <w:trPr>
          <w:trHeight w:val="239"/>
        </w:trPr>
        <w:tc>
          <w:tcPr>
            <w:tcW w:w="652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2480" w:type="dxa"/>
            <w:vAlign w:val="bottom"/>
          </w:tcPr>
          <w:p>
            <w:pPr>
              <w:jc w:val="right"/>
              <w:spacing w:after="0"/>
              <w:rPr>
                <w:sz w:val="20"/>
                <w:szCs w:val="20"/>
                <w:color w:val="auto"/>
              </w:rPr>
            </w:pPr>
            <w:r>
              <w:rPr>
                <w:rFonts w:ascii="Arial" w:cs="Arial" w:eastAsia="Arial" w:hAnsi="Arial"/>
                <w:sz w:val="18"/>
                <w:szCs w:val="18"/>
                <w:color w:val="auto"/>
              </w:rPr>
              <w:t>$1.26 ± $0.10</w:t>
            </w:r>
          </w:p>
        </w:tc>
        <w:tc>
          <w:tcPr>
            <w:tcW w:w="2240" w:type="dxa"/>
            <w:vAlign w:val="bottom"/>
          </w:tcPr>
          <w:p>
            <w:pPr>
              <w:jc w:val="right"/>
              <w:spacing w:after="0"/>
              <w:rPr>
                <w:sz w:val="20"/>
                <w:szCs w:val="20"/>
                <w:color w:val="auto"/>
              </w:rPr>
            </w:pPr>
            <w:r>
              <w:rPr>
                <w:rFonts w:ascii="Arial" w:cs="Arial" w:eastAsia="Arial" w:hAnsi="Arial"/>
                <w:sz w:val="18"/>
                <w:szCs w:val="18"/>
                <w:color w:val="auto"/>
              </w:rPr>
              <w:t>$1.43 ± $0.10</w:t>
            </w: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Further information regarding Micron’s business outlook is included in the prepared remarks and slides, which have been posted at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BD03F7"/>
        </w:rPr>
        <w:t>investors.micron.com</w:t>
      </w:r>
      <w:r>
        <w:rPr>
          <w:rFonts w:ascii="Arial" w:cs="Arial" w:eastAsia="Arial" w:hAnsi="Arial"/>
          <w:sz w:val="18"/>
          <w:szCs w:val="18"/>
          <w:color w:val="000000"/>
        </w:rPr>
        <w: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Webcast</w:t>
      </w:r>
    </w:p>
    <w:p>
      <w:pPr>
        <w:spacing w:after="0" w:line="252"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 xml:space="preserve">Micron will host a conference call on Wednesday, December 18, 2024 at 2:30 p.m. Mountain Time to discuss its first quarter financial results and provide forward-looking guidance for its second quarter. A live webcast of the call will be available online at </w:t>
      </w:r>
      <w:r>
        <w:rPr>
          <w:rFonts w:ascii="Arial" w:cs="Arial" w:eastAsia="Arial" w:hAnsi="Arial"/>
          <w:sz w:val="17"/>
          <w:szCs w:val="17"/>
          <w:u w:val="single" w:color="auto"/>
          <w:color w:val="BD03F7"/>
        </w:rPr>
        <w:t>investors.micron.com</w:t>
      </w:r>
      <w:r>
        <w:rPr>
          <w:rFonts w:ascii="Arial" w:cs="Arial" w:eastAsia="Arial" w:hAnsi="Arial"/>
          <w:sz w:val="17"/>
          <w:szCs w:val="17"/>
          <w:color w:val="auto"/>
        </w:rPr>
        <w:t>. A webcast replay will be available for one year after the call. For Investor Relations and other company updates, follow us on X @MicronTech.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Micron Technology, Inc.</w:t>
      </w:r>
    </w:p>
    <w:p>
      <w:pPr>
        <w:spacing w:after="0" w:line="252"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 xml:space="preserve">We are an industry leader in innovative memory and storage solutions transforming how the world uses information to enrich life </w:t>
      </w:r>
      <w:r>
        <w:rPr>
          <w:rFonts w:ascii="Arial" w:cs="Arial" w:eastAsia="Arial" w:hAnsi="Arial"/>
          <w:sz w:val="18"/>
          <w:szCs w:val="18"/>
          <w:i w:val="1"/>
          <w:iCs w:val="1"/>
          <w:color w:val="auto"/>
        </w:rPr>
        <w:t>for all</w:t>
      </w:r>
      <w:r>
        <w:rPr>
          <w:rFonts w:ascii="Arial" w:cs="Arial" w:eastAsia="Arial" w:hAnsi="Arial"/>
          <w:sz w:val="18"/>
          <w:szCs w:val="18"/>
          <w:color w:val="auto"/>
        </w:rPr>
        <w:t xml:space="preserve">. With a relentless focus on our customers, technology leadership,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 To learn more about Micron Technology, Inc. (Nasdaq: MU), visit </w:t>
      </w:r>
      <w:r>
        <w:rPr>
          <w:rFonts w:ascii="Arial" w:cs="Arial" w:eastAsia="Arial" w:hAnsi="Arial"/>
          <w:sz w:val="18"/>
          <w:szCs w:val="18"/>
          <w:u w:val="single" w:color="auto"/>
          <w:color w:val="BD03F7"/>
        </w:rPr>
        <w:t>micron.com</w:t>
      </w:r>
      <w:r>
        <w:rPr>
          <w:rFonts w:ascii="Arial" w:cs="Arial" w:eastAsia="Arial" w:hAnsi="Arial"/>
          <w:sz w:val="18"/>
          <w:szCs w:val="18"/>
          <w:color w:val="auto"/>
        </w:rPr>
        <w:t>.</w:t>
      </w:r>
    </w:p>
    <w:p>
      <w:pPr>
        <w:spacing w:after="0" w:line="219" w:lineRule="exact"/>
        <w:rPr>
          <w:sz w:val="20"/>
          <w:szCs w:val="20"/>
          <w:color w:val="auto"/>
        </w:rPr>
      </w:pPr>
    </w:p>
    <w:p>
      <w:pPr>
        <w:ind w:right="520" w:firstLine="8"/>
        <w:spacing w:after="0" w:line="269" w:lineRule="auto"/>
        <w:tabs>
          <w:tab w:leader="none" w:pos="183"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2024 Micron Technology, Inc. All rights reserved. Micron, the Micron logo, and all other Micron trademarks are the property of Micron Technology, Inc. All other trademarks are the property of their respective owners.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This press release contains forward-looking statements regarding our industry, our strategic focus, demand for our products, and our financial and operating results, including our guidance for the second quarter of 2025. These forward-looking statements are subject to a number of risks and uncertainties that could cause actual results to differ materially. Please refer to the documents we file with the Securities and Exchange Commission, including our most recent Form 10-K and our upcoming Form 10-Q. These documents contain and identify important factors that could cause our actual results to differ materially from those contained in these forward-looking statements. These certain factors can be found at </w:t>
      </w:r>
      <w:r>
        <w:rPr>
          <w:rFonts w:ascii="Arial" w:cs="Arial" w:eastAsia="Arial" w:hAnsi="Arial"/>
          <w:sz w:val="18"/>
          <w:szCs w:val="18"/>
          <w:u w:val="single" w:color="auto"/>
          <w:color w:val="BD03F7"/>
        </w:rPr>
        <w:t>investors.micron.com/risk-factor</w:t>
      </w:r>
      <w:r>
        <w:rPr>
          <w:rFonts w:ascii="Arial" w:cs="Arial" w:eastAsia="Arial" w:hAnsi="Arial"/>
          <w:sz w:val="18"/>
          <w:szCs w:val="18"/>
          <w:color w:val="auto"/>
        </w:rPr>
        <w:t>. Although we believe that the expectations reflected in the forward-looking statements are reasonable, we cannot guarantee future results, levels of activity, performance, or achievements. We are under no duty to update any of the forward-looking statements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20" w:hanging="312"/>
        <w:spacing w:after="0"/>
        <w:tabs>
          <w:tab w:leader="none" w:pos="320"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GAAP represents U.S. Generally Accepted Accounting Principles.</w:t>
      </w:r>
    </w:p>
    <w:p>
      <w:pPr>
        <w:jc w:val="both"/>
        <w:ind w:left="340" w:right="220" w:hanging="332"/>
        <w:spacing w:after="0" w:line="230" w:lineRule="auto"/>
        <w:tabs>
          <w:tab w:leader="none" w:pos="334" w:val="left"/>
        </w:tabs>
        <w:numPr>
          <w:ilvl w:val="0"/>
          <w:numId w:val="4"/>
        </w:numPr>
        <w:rPr>
          <w:rFonts w:ascii="Arial" w:cs="Arial" w:eastAsia="Arial" w:hAnsi="Arial"/>
          <w:sz w:val="23"/>
          <w:szCs w:val="23"/>
          <w:color w:val="auto"/>
          <w:vertAlign w:val="superscript"/>
        </w:rPr>
      </w:pPr>
      <w:r>
        <w:rPr>
          <w:rFonts w:ascii="Arial" w:cs="Arial" w:eastAsia="Arial" w:hAnsi="Arial"/>
          <w:sz w:val="18"/>
          <w:szCs w:val="18"/>
          <w:color w:val="auto"/>
        </w:rPr>
        <w:t>Non-GAAP represents GAAP excluding the impact of certain activities, which management excludes in analyzing our operating results and understanding trends in our earnings, adjusted free cash flow, and business outlook. Further information regarding Micron’s use of non-GAAP measures and reconciliations between GAAP and non-GAAP measures are included within this press release.</w:t>
      </w: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890" w:right="339" w:bottom="1440" w:gutter="0" w:footer="0" w:header="0"/>
        </w:sectPr>
      </w:pPr>
    </w:p>
    <w:bookmarkStart w:id="5" w:name="page6"/>
    <w:bookmarkEnd w:id="5"/>
    <w:p>
      <w:pPr>
        <w:jc w:val="center"/>
        <w:ind w:right="6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millions, except per share amounts)</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1st Qtr.</w:t>
            </w:r>
          </w:p>
        </w:tc>
        <w:tc>
          <w:tcPr>
            <w:tcW w:w="160" w:type="dxa"/>
            <w:vAlign w:val="bottom"/>
          </w:tcPr>
          <w:p>
            <w:pPr>
              <w:spacing w:after="0"/>
              <w:rPr>
                <w:sz w:val="19"/>
                <w:szCs w:val="19"/>
                <w:color w:val="auto"/>
              </w:rPr>
            </w:pPr>
          </w:p>
        </w:tc>
        <w:tc>
          <w:tcPr>
            <w:tcW w:w="118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4th Qtr.</w:t>
            </w:r>
          </w:p>
        </w:tc>
        <w:tc>
          <w:tcPr>
            <w:tcW w:w="240" w:type="dxa"/>
            <w:vAlign w:val="bottom"/>
          </w:tcPr>
          <w:p>
            <w:pPr>
              <w:spacing w:after="0"/>
              <w:rPr>
                <w:sz w:val="19"/>
                <w:szCs w:val="19"/>
                <w:color w:val="auto"/>
              </w:rPr>
            </w:pPr>
          </w:p>
        </w:tc>
        <w:tc>
          <w:tcPr>
            <w:tcW w:w="110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1st Qtr.</w:t>
            </w:r>
          </w:p>
        </w:tc>
      </w:tr>
      <w:tr>
        <w:trPr>
          <w:trHeight w:val="181"/>
        </w:trPr>
        <w:tc>
          <w:tcPr>
            <w:tcW w:w="7120" w:type="dxa"/>
            <w:vAlign w:val="bottom"/>
          </w:tcPr>
          <w:p>
            <w:pPr>
              <w:spacing w:after="0"/>
              <w:rPr>
                <w:sz w:val="15"/>
                <w:szCs w:val="15"/>
                <w:color w:val="auto"/>
              </w:rPr>
            </w:pPr>
          </w:p>
        </w:tc>
        <w:tc>
          <w:tcPr>
            <w:tcW w:w="134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November 28,</w:t>
            </w:r>
          </w:p>
        </w:tc>
        <w:tc>
          <w:tcPr>
            <w:tcW w:w="160" w:type="dxa"/>
            <w:vAlign w:val="bottom"/>
          </w:tcPr>
          <w:p>
            <w:pPr>
              <w:spacing w:after="0"/>
              <w:rPr>
                <w:sz w:val="15"/>
                <w:szCs w:val="15"/>
                <w:color w:val="auto"/>
              </w:rPr>
            </w:pPr>
          </w:p>
        </w:tc>
        <w:tc>
          <w:tcPr>
            <w:tcW w:w="1180" w:type="dxa"/>
            <w:vAlign w:val="bottom"/>
          </w:tcPr>
          <w:p>
            <w:pPr>
              <w:jc w:val="center"/>
              <w:ind w:right="90"/>
              <w:spacing w:after="0" w:line="181" w:lineRule="exact"/>
              <w:rPr>
                <w:sz w:val="20"/>
                <w:szCs w:val="20"/>
                <w:color w:val="auto"/>
              </w:rPr>
            </w:pPr>
            <w:r>
              <w:rPr>
                <w:rFonts w:ascii="Arial" w:cs="Arial" w:eastAsia="Arial" w:hAnsi="Arial"/>
                <w:sz w:val="18"/>
                <w:szCs w:val="18"/>
                <w:b w:val="1"/>
                <w:bCs w:val="1"/>
                <w:color w:val="auto"/>
                <w:w w:val="99"/>
              </w:rPr>
              <w:t>August 29,</w:t>
            </w:r>
          </w:p>
        </w:tc>
        <w:tc>
          <w:tcPr>
            <w:tcW w:w="134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November 30,</w:t>
            </w:r>
          </w:p>
        </w:tc>
      </w:tr>
      <w:tr>
        <w:trPr>
          <w:trHeight w:val="243"/>
        </w:trPr>
        <w:tc>
          <w:tcPr>
            <w:tcW w:w="71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2024</w:t>
            </w: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2024</w:t>
            </w: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9"/>
              </w:rPr>
              <w:t>2023</w:t>
            </w:r>
          </w:p>
        </w:tc>
      </w:tr>
      <w:tr>
        <w:trPr>
          <w:trHeight w:val="236"/>
        </w:trPr>
        <w:tc>
          <w:tcPr>
            <w:tcW w:w="7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30"/>
        </w:trPr>
        <w:tc>
          <w:tcPr>
            <w:tcW w:w="71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8,709</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7,750</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4,726</w:t>
            </w:r>
          </w:p>
        </w:tc>
      </w:tr>
      <w:tr>
        <w:trPr>
          <w:trHeight w:val="229"/>
        </w:trPr>
        <w:tc>
          <w:tcPr>
            <w:tcW w:w="71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5,013</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4,761</w:t>
            </w:r>
          </w:p>
        </w:tc>
      </w:tr>
      <w:tr>
        <w:trPr>
          <w:trHeight w:val="223"/>
        </w:trPr>
        <w:tc>
          <w:tcPr>
            <w:tcW w:w="71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3,348</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2,737</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w:t>
            </w:r>
          </w:p>
        </w:tc>
      </w:tr>
      <w:tr>
        <w:trPr>
          <w:trHeight w:val="256"/>
        </w:trPr>
        <w:tc>
          <w:tcPr>
            <w:tcW w:w="7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712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888</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845</w:t>
            </w: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288</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295</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712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operating (income) expense, net</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auto"/>
            </w:tcBorders>
            <w:shd w:val="clear" w:color="auto" w:fill="D1D2D4"/>
          </w:tcPr>
          <w:p>
            <w:pPr>
              <w:spacing w:after="0"/>
              <w:rPr>
                <w:sz w:val="19"/>
                <w:szCs w:val="19"/>
                <w:color w:val="auto"/>
              </w:rPr>
            </w:pP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7120" w:type="dxa"/>
            <w:vAlign w:val="bottom"/>
          </w:tcPr>
          <w:p>
            <w:pPr>
              <w:ind w:left="220"/>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2,174</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1,522</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(1,128)</w:t>
            </w:r>
          </w:p>
        </w:tc>
      </w:tr>
      <w:tr>
        <w:trPr>
          <w:trHeight w:val="257"/>
        </w:trPr>
        <w:tc>
          <w:tcPr>
            <w:tcW w:w="712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c>
          <w:tcPr>
            <w:tcW w:w="160" w:type="dxa"/>
            <w:vAlign w:val="bottom"/>
            <w:shd w:val="clear" w:color="auto" w:fill="D1D2D4"/>
          </w:tcPr>
          <w:p>
            <w:pPr>
              <w:spacing w:after="0"/>
              <w:rPr>
                <w:sz w:val="22"/>
                <w:szCs w:val="22"/>
                <w:color w:val="auto"/>
              </w:rPr>
            </w:pPr>
          </w:p>
        </w:tc>
        <w:tc>
          <w:tcPr>
            <w:tcW w:w="1180" w:type="dxa"/>
            <w:vAlign w:val="bottom"/>
            <w:shd w:val="clear" w:color="auto" w:fill="D1D2D4"/>
          </w:tcPr>
          <w:p>
            <w:pPr>
              <w:spacing w:after="0"/>
              <w:rPr>
                <w:sz w:val="22"/>
                <w:szCs w:val="22"/>
                <w:color w:val="auto"/>
              </w:rPr>
            </w:pPr>
          </w:p>
        </w:tc>
        <w:tc>
          <w:tcPr>
            <w:tcW w:w="240" w:type="dxa"/>
            <w:vAlign w:val="bottom"/>
            <w:shd w:val="clear" w:color="auto" w:fill="D1D2D4"/>
          </w:tcPr>
          <w:p>
            <w:pPr>
              <w:spacing w:after="0"/>
              <w:rPr>
                <w:sz w:val="22"/>
                <w:szCs w:val="22"/>
                <w:color w:val="auto"/>
              </w:rPr>
            </w:pPr>
          </w:p>
        </w:tc>
        <w:tc>
          <w:tcPr>
            <w:tcW w:w="1100" w:type="dxa"/>
            <w:vAlign w:val="bottom"/>
            <w:shd w:val="clear" w:color="auto" w:fill="D1D2D4"/>
          </w:tcPr>
          <w:p>
            <w:pPr>
              <w:spacing w:after="0"/>
              <w:rPr>
                <w:sz w:val="22"/>
                <w:szCs w:val="22"/>
                <w:color w:val="auto"/>
              </w:rPr>
            </w:pPr>
          </w:p>
        </w:tc>
      </w:tr>
      <w:tr>
        <w:trPr>
          <w:trHeight w:val="229"/>
        </w:trPr>
        <w:tc>
          <w:tcPr>
            <w:tcW w:w="712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71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(136)</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71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712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2,152</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1,510</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(1,155)</w:t>
            </w:r>
          </w:p>
        </w:tc>
      </w:tr>
      <w:tr>
        <w:trPr>
          <w:trHeight w:val="256"/>
        </w:trPr>
        <w:tc>
          <w:tcPr>
            <w:tcW w:w="7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712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Income tax (provision) benefit</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(283)</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(623)</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712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Equity in net income (loss) of equity method investees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8"/>
        </w:trPr>
        <w:tc>
          <w:tcPr>
            <w:tcW w:w="7120" w:type="dxa"/>
            <w:vAlign w:val="bottom"/>
            <w:tcBorders>
              <w:bottom w:val="single" w:sz="8" w:color="D1D2D4"/>
            </w:tcBorders>
            <w:shd w:val="clear" w:color="auto" w:fill="D1D2D4"/>
          </w:tcPr>
          <w:p>
            <w:pPr>
              <w:ind w:left="22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1,870</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887</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(1,234)</w:t>
            </w:r>
          </w:p>
        </w:tc>
      </w:tr>
      <w:tr>
        <w:trPr>
          <w:trHeight w:val="20"/>
        </w:trPr>
        <w:tc>
          <w:tcPr>
            <w:tcW w:w="712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00" w:type="dxa"/>
            <w:vAlign w:val="bottom"/>
            <w:tcBorders>
              <w:top w:val="single" w:sz="8" w:color="D1D2D4"/>
              <w:bottom w:val="single" w:sz="8" w:color="auto"/>
            </w:tcBorders>
          </w:tcPr>
          <w:p>
            <w:pPr>
              <w:spacing w:after="0" w:line="20" w:lineRule="exact"/>
              <w:rPr>
                <w:sz w:val="1"/>
                <w:szCs w:val="1"/>
                <w:color w:val="auto"/>
              </w:rPr>
            </w:pPr>
          </w:p>
        </w:tc>
      </w:tr>
      <w:tr>
        <w:trPr>
          <w:trHeight w:val="203"/>
        </w:trPr>
        <w:tc>
          <w:tcPr>
            <w:tcW w:w="7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0"/>
        </w:trPr>
        <w:tc>
          <w:tcPr>
            <w:tcW w:w="71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Earnings (loss) per share</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r>
      <w:tr>
        <w:trPr>
          <w:trHeight w:val="229"/>
        </w:trPr>
        <w:tc>
          <w:tcPr>
            <w:tcW w:w="7120" w:type="dxa"/>
            <w:vAlign w:val="bottom"/>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0.80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71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0.79</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w:t>
            </w:r>
          </w:p>
        </w:tc>
      </w:tr>
      <w:tr>
        <w:trPr>
          <w:trHeight w:val="257"/>
        </w:trPr>
        <w:tc>
          <w:tcPr>
            <w:tcW w:w="7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30"/>
        </w:trPr>
        <w:tc>
          <w:tcPr>
            <w:tcW w:w="7120" w:type="dxa"/>
            <w:vAlign w:val="bottom"/>
            <w:shd w:val="clear" w:color="auto" w:fill="D1D2D4"/>
          </w:tcPr>
          <w:p>
            <w:pPr>
              <w:ind w:left="20"/>
              <w:spacing w:after="0"/>
              <w:rPr>
                <w:sz w:val="20"/>
                <w:szCs w:val="20"/>
                <w:color w:val="auto"/>
              </w:rPr>
            </w:pPr>
            <w:r>
              <w:rPr>
                <w:rFonts w:ascii="Arial" w:cs="Arial" w:eastAsia="Arial" w:hAnsi="Arial"/>
                <w:sz w:val="18"/>
                <w:szCs w:val="18"/>
                <w:color w:val="auto"/>
              </w:rPr>
              <w:t>Number of shares used in per share calculations</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spacing w:after="0"/>
              <w:rPr>
                <w:sz w:val="19"/>
                <w:szCs w:val="19"/>
                <w:color w:val="auto"/>
              </w:rPr>
            </w:pPr>
          </w:p>
        </w:tc>
      </w:tr>
      <w:tr>
        <w:trPr>
          <w:trHeight w:val="229"/>
        </w:trPr>
        <w:tc>
          <w:tcPr>
            <w:tcW w:w="7120" w:type="dxa"/>
            <w:vAlign w:val="bottom"/>
          </w:tcPr>
          <w:p>
            <w:pPr>
              <w:ind w:left="22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1,111</w:t>
            </w: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1,108</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1,100</w:t>
            </w:r>
          </w:p>
        </w:tc>
      </w:tr>
      <w:tr>
        <w:trPr>
          <w:trHeight w:val="230"/>
        </w:trPr>
        <w:tc>
          <w:tcPr>
            <w:tcW w:w="7120" w:type="dxa"/>
            <w:vAlign w:val="bottom"/>
            <w:shd w:val="clear" w:color="auto" w:fill="D1D2D4"/>
          </w:tcPr>
          <w:p>
            <w:pPr>
              <w:ind w:left="22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1,122</w:t>
            </w:r>
          </w:p>
        </w:tc>
        <w:tc>
          <w:tcPr>
            <w:tcW w:w="160" w:type="dxa"/>
            <w:vAlign w:val="bottom"/>
            <w:shd w:val="clear" w:color="auto" w:fill="D1D2D4"/>
          </w:tcPr>
          <w:p>
            <w:pPr>
              <w:spacing w:after="0"/>
              <w:rPr>
                <w:sz w:val="19"/>
                <w:szCs w:val="19"/>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1,125</w:t>
            </w:r>
          </w:p>
        </w:tc>
        <w:tc>
          <w:tcPr>
            <w:tcW w:w="240" w:type="dxa"/>
            <w:vAlign w:val="bottom"/>
            <w:shd w:val="clear" w:color="auto" w:fill="D1D2D4"/>
          </w:tcPr>
          <w:p>
            <w:pPr>
              <w:spacing w:after="0"/>
              <w:rPr>
                <w:sz w:val="19"/>
                <w:szCs w:val="19"/>
                <w:color w:val="auto"/>
              </w:rPr>
            </w:pPr>
          </w:p>
        </w:tc>
        <w:tc>
          <w:tcPr>
            <w:tcW w:w="110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80" w:top="1133"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 of</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November 28,</w:t>
            </w:r>
          </w:p>
        </w:tc>
        <w:tc>
          <w:tcPr>
            <w:tcW w:w="180" w:type="dxa"/>
            <w:vAlign w:val="bottom"/>
          </w:tcPr>
          <w:p>
            <w:pPr>
              <w:spacing w:after="0"/>
              <w:rPr>
                <w:sz w:val="17"/>
                <w:szCs w:val="17"/>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b w:val="1"/>
                <w:bCs w:val="1"/>
                <w:color w:val="auto"/>
              </w:rPr>
              <w:t>August 29,</w:t>
            </w:r>
          </w:p>
        </w:tc>
        <w:tc>
          <w:tcPr>
            <w:tcW w:w="0" w:type="dxa"/>
            <w:vAlign w:val="bottom"/>
          </w:tcPr>
          <w:p>
            <w:pPr>
              <w:spacing w:after="0"/>
              <w:rPr>
                <w:sz w:val="1"/>
                <w:szCs w:val="1"/>
                <w:color w:val="auto"/>
              </w:rPr>
            </w:pPr>
          </w:p>
        </w:tc>
      </w:tr>
      <w:tr>
        <w:trPr>
          <w:trHeight w:val="243"/>
        </w:trPr>
        <w:tc>
          <w:tcPr>
            <w:tcW w:w="8540" w:type="dxa"/>
            <w:vAlign w:val="bottom"/>
            <w:tcBorders>
              <w:bottom w:val="single" w:sz="8" w:color="auto"/>
            </w:tcBorders>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34"/>
        </w:trPr>
        <w:tc>
          <w:tcPr>
            <w:tcW w:w="8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5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Cash and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6,693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7,041</w:t>
            </w:r>
          </w:p>
        </w:tc>
        <w:tc>
          <w:tcPr>
            <w:tcW w:w="0" w:type="dxa"/>
            <w:vAlign w:val="bottom"/>
          </w:tcPr>
          <w:p>
            <w:pPr>
              <w:spacing w:after="0"/>
              <w:rPr>
                <w:sz w:val="1"/>
                <w:szCs w:val="1"/>
                <w:color w:val="auto"/>
              </w:rPr>
            </w:pPr>
          </w:p>
        </w:tc>
      </w:tr>
      <w:tr>
        <w:trPr>
          <w:trHeight w:val="230"/>
        </w:trPr>
        <w:tc>
          <w:tcPr>
            <w:tcW w:w="8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895</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7,423</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6,615</w:t>
            </w:r>
          </w:p>
        </w:tc>
        <w:tc>
          <w:tcPr>
            <w:tcW w:w="0" w:type="dxa"/>
            <w:vAlign w:val="bottom"/>
          </w:tcPr>
          <w:p>
            <w:pPr>
              <w:spacing w:after="0"/>
              <w:rPr>
                <w:sz w:val="1"/>
                <w:szCs w:val="1"/>
                <w:color w:val="auto"/>
              </w:rPr>
            </w:pPr>
          </w:p>
        </w:tc>
      </w:tr>
      <w:tr>
        <w:trPr>
          <w:trHeight w:val="229"/>
        </w:trPr>
        <w:tc>
          <w:tcPr>
            <w:tcW w:w="8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8,705</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8,875</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3"/>
        </w:trPr>
        <w:tc>
          <w:tcPr>
            <w:tcW w:w="85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24,493</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24,372</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Long-term marketable investments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1,156</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29"/>
        </w:trPr>
        <w:tc>
          <w:tcPr>
            <w:tcW w:w="8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Property, plant, and equipment</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41,476</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39,749</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622</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30"/>
        </w:trPr>
        <w:tc>
          <w:tcPr>
            <w:tcW w:w="8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Intangible assets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30"/>
        </w:trPr>
        <w:tc>
          <w:tcPr>
            <w:tcW w:w="8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D1D2D4"/>
            </w:tcBorders>
            <w:shd w:val="clear" w:color="auto" w:fill="D1D2D4"/>
          </w:tcPr>
          <w:p>
            <w:pPr>
              <w:ind w:left="50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71,461</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69,416</w:t>
            </w:r>
          </w:p>
        </w:tc>
        <w:tc>
          <w:tcPr>
            <w:tcW w:w="0" w:type="dxa"/>
            <w:vAlign w:val="bottom"/>
          </w:tcPr>
          <w:p>
            <w:pPr>
              <w:spacing w:after="0"/>
              <w:rPr>
                <w:sz w:val="1"/>
                <w:szCs w:val="1"/>
                <w:color w:val="auto"/>
              </w:rPr>
            </w:pPr>
          </w:p>
        </w:tc>
      </w:tr>
      <w:tr>
        <w:trPr>
          <w:trHeight w:val="20"/>
        </w:trPr>
        <w:tc>
          <w:tcPr>
            <w:tcW w:w="854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spacing w:after="0"/>
              <w:rPr>
                <w:sz w:val="19"/>
                <w:szCs w:val="19"/>
                <w:color w:val="auto"/>
              </w:rPr>
            </w:pP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7,126</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30"/>
        </w:trPr>
        <w:tc>
          <w:tcPr>
            <w:tcW w:w="8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Current debt</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29"/>
        </w:trPr>
        <w:tc>
          <w:tcPr>
            <w:tcW w:w="85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23"/>
        </w:trPr>
        <w:tc>
          <w:tcPr>
            <w:tcW w:w="8540" w:type="dxa"/>
            <w:vAlign w:val="bottom"/>
            <w:shd w:val="clear" w:color="auto" w:fill="D1D2D4"/>
          </w:tcPr>
          <w:p>
            <w:pPr>
              <w:ind w:left="2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9,015</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9,248</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13,252</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12,966</w:t>
            </w:r>
          </w:p>
        </w:tc>
        <w:tc>
          <w:tcPr>
            <w:tcW w:w="0" w:type="dxa"/>
            <w:vAlign w:val="bottom"/>
          </w:tcPr>
          <w:p>
            <w:pPr>
              <w:spacing w:after="0"/>
              <w:rPr>
                <w:sz w:val="1"/>
                <w:szCs w:val="1"/>
                <w:color w:val="auto"/>
              </w:rPr>
            </w:pPr>
          </w:p>
        </w:tc>
      </w:tr>
      <w:tr>
        <w:trPr>
          <w:trHeight w:val="230"/>
        </w:trPr>
        <w:tc>
          <w:tcPr>
            <w:tcW w:w="8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588</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Noncurrent unearned government incentives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29"/>
        </w:trPr>
        <w:tc>
          <w:tcPr>
            <w:tcW w:w="854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1,239</w:t>
            </w:r>
          </w:p>
        </w:tc>
        <w:tc>
          <w:tcPr>
            <w:tcW w:w="18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D1D2D4"/>
            </w:tcBorders>
          </w:tcPr>
          <w:p>
            <w:pPr>
              <w:ind w:left="3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24,664</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24,285</w:t>
            </w:r>
          </w:p>
        </w:tc>
        <w:tc>
          <w:tcPr>
            <w:tcW w:w="0" w:type="dxa"/>
            <w:vAlign w:val="bottom"/>
          </w:tcPr>
          <w:p>
            <w:pPr>
              <w:spacing w:after="0"/>
              <w:rPr>
                <w:sz w:val="1"/>
                <w:szCs w:val="1"/>
                <w:color w:val="auto"/>
              </w:rPr>
            </w:pPr>
          </w:p>
        </w:tc>
      </w:tr>
      <w:tr>
        <w:trPr>
          <w:trHeight w:val="196"/>
        </w:trPr>
        <w:tc>
          <w:tcPr>
            <w:tcW w:w="8540" w:type="dxa"/>
            <w:vAlign w:val="bottom"/>
            <w:shd w:val="clear" w:color="auto" w:fill="D1D2D4"/>
          </w:tcPr>
          <w:p>
            <w:pPr>
              <w:spacing w:after="0"/>
              <w:rPr>
                <w:sz w:val="17"/>
                <w:szCs w:val="17"/>
                <w:color w:val="auto"/>
              </w:rPr>
            </w:pPr>
          </w:p>
        </w:tc>
        <w:tc>
          <w:tcPr>
            <w:tcW w:w="280" w:type="dxa"/>
            <w:vAlign w:val="bottom"/>
            <w:shd w:val="clear" w:color="auto" w:fill="D1D2D4"/>
          </w:tcPr>
          <w:p>
            <w:pPr>
              <w:spacing w:after="0"/>
              <w:rPr>
                <w:sz w:val="17"/>
                <w:szCs w:val="17"/>
                <w:color w:val="auto"/>
              </w:rPr>
            </w:pPr>
          </w:p>
        </w:tc>
        <w:tc>
          <w:tcPr>
            <w:tcW w:w="1040" w:type="dxa"/>
            <w:vAlign w:val="bottom"/>
            <w:shd w:val="clear" w:color="auto" w:fill="D1D2D4"/>
          </w:tcPr>
          <w:p>
            <w:pPr>
              <w:spacing w:after="0"/>
              <w:rPr>
                <w:sz w:val="17"/>
                <w:szCs w:val="17"/>
                <w:color w:val="auto"/>
              </w:rPr>
            </w:pPr>
          </w:p>
        </w:tc>
        <w:tc>
          <w:tcPr>
            <w:tcW w:w="18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104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Common stock</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8540" w:type="dxa"/>
            <w:vAlign w:val="bottom"/>
          </w:tcPr>
          <w:p>
            <w:pPr>
              <w:ind w:left="100"/>
              <w:spacing w:after="0"/>
              <w:rPr>
                <w:sz w:val="20"/>
                <w:szCs w:val="20"/>
                <w:color w:val="auto"/>
              </w:rPr>
            </w:pPr>
            <w:r>
              <w:rPr>
                <w:rFonts w:ascii="Arial" w:cs="Arial" w:eastAsia="Arial" w:hAnsi="Arial"/>
                <w:sz w:val="18"/>
                <w:szCs w:val="18"/>
                <w:color w:val="auto"/>
              </w:rPr>
              <w:t>Additional capital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12,317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12,115</w:t>
            </w:r>
          </w:p>
        </w:tc>
        <w:tc>
          <w:tcPr>
            <w:tcW w:w="0" w:type="dxa"/>
            <w:vAlign w:val="bottom"/>
          </w:tcPr>
          <w:p>
            <w:pPr>
              <w:spacing w:after="0"/>
              <w:rPr>
                <w:sz w:val="1"/>
                <w:szCs w:val="1"/>
                <w:color w:val="auto"/>
              </w:rPr>
            </w:pPr>
          </w:p>
        </w:tc>
      </w:tr>
      <w:tr>
        <w:trPr>
          <w:trHeight w:val="230"/>
        </w:trPr>
        <w:tc>
          <w:tcPr>
            <w:tcW w:w="85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Retained earnings</w:t>
            </w:r>
          </w:p>
        </w:tc>
        <w:tc>
          <w:tcPr>
            <w:tcW w:w="280" w:type="dxa"/>
            <w:vAlign w:val="bottom"/>
            <w:shd w:val="clear" w:color="auto" w:fill="D1D2D4"/>
          </w:tcPr>
          <w:p>
            <w:pPr>
              <w:spacing w:after="0"/>
              <w:rPr>
                <w:sz w:val="19"/>
                <w:szCs w:val="19"/>
                <w:color w:val="auto"/>
              </w:rPr>
            </w:pPr>
          </w:p>
        </w:tc>
        <w:tc>
          <w:tcPr>
            <w:tcW w:w="10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42,427</w:t>
            </w:r>
          </w:p>
        </w:tc>
        <w:tc>
          <w:tcPr>
            <w:tcW w:w="180" w:type="dxa"/>
            <w:vAlign w:val="bottom"/>
            <w:shd w:val="clear" w:color="auto" w:fill="D1D2D4"/>
          </w:tcPr>
          <w:p>
            <w:pPr>
              <w:spacing w:after="0"/>
              <w:rPr>
                <w:sz w:val="19"/>
                <w:szCs w:val="19"/>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40,877</w:t>
            </w:r>
          </w:p>
        </w:tc>
        <w:tc>
          <w:tcPr>
            <w:tcW w:w="0" w:type="dxa"/>
            <w:vAlign w:val="bottom"/>
          </w:tcPr>
          <w:p>
            <w:pPr>
              <w:spacing w:after="0"/>
              <w:rPr>
                <w:sz w:val="1"/>
                <w:szCs w:val="1"/>
                <w:color w:val="auto"/>
              </w:rPr>
            </w:pPr>
          </w:p>
        </w:tc>
      </w:tr>
      <w:tr>
        <w:trPr>
          <w:trHeight w:val="230"/>
        </w:trPr>
        <w:tc>
          <w:tcPr>
            <w:tcW w:w="8540" w:type="dxa"/>
            <w:vAlign w:val="bottom"/>
          </w:tcPr>
          <w:p>
            <w:pPr>
              <w:ind w:left="100"/>
              <w:spacing w:after="0"/>
              <w:rPr>
                <w:sz w:val="20"/>
                <w:szCs w:val="20"/>
                <w:color w:val="auto"/>
              </w:rPr>
            </w:pPr>
            <w:r>
              <w:rPr>
                <w:rFonts w:ascii="Arial" w:cs="Arial" w:eastAsia="Arial" w:hAnsi="Arial"/>
                <w:sz w:val="18"/>
                <w:szCs w:val="18"/>
                <w:color w:val="auto"/>
              </w:rPr>
              <w:t>Treasury stock</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(7,852)</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(7,852)</w:t>
            </w:r>
          </w:p>
        </w:tc>
        <w:tc>
          <w:tcPr>
            <w:tcW w:w="0" w:type="dxa"/>
            <w:vAlign w:val="bottom"/>
          </w:tcPr>
          <w:p>
            <w:pPr>
              <w:spacing w:after="0"/>
              <w:rPr>
                <w:sz w:val="1"/>
                <w:szCs w:val="1"/>
                <w:color w:val="auto"/>
              </w:rPr>
            </w:pPr>
          </w:p>
        </w:tc>
      </w:tr>
      <w:tr>
        <w:trPr>
          <w:trHeight w:val="230"/>
        </w:trPr>
        <w:tc>
          <w:tcPr>
            <w:tcW w:w="8540" w:type="dxa"/>
            <w:vAlign w:val="bottom"/>
            <w:shd w:val="clear" w:color="auto" w:fill="D1D2D4"/>
          </w:tcPr>
          <w:p>
            <w:pPr>
              <w:ind w:left="10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bottom w:val="single" w:sz="8" w:color="auto"/>
            </w:tcBorders>
            <w:shd w:val="clear" w:color="auto" w:fill="D1D2D4"/>
          </w:tcPr>
          <w:p>
            <w:pPr>
              <w:spacing w:after="0"/>
              <w:rPr>
                <w:sz w:val="19"/>
                <w:szCs w:val="19"/>
                <w:color w:val="auto"/>
              </w:rPr>
            </w:pP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D1D2D4"/>
            </w:tcBorders>
          </w:tcPr>
          <w:p>
            <w:pPr>
              <w:ind w:left="34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46,797</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45,131</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D1D2D4"/>
            </w:tcBorders>
            <w:shd w:val="clear" w:color="auto" w:fill="D1D2D4"/>
          </w:tcPr>
          <w:p>
            <w:pPr>
              <w:ind w:left="500"/>
              <w:spacing w:after="0"/>
              <w:rPr>
                <w:sz w:val="20"/>
                <w:szCs w:val="20"/>
                <w:color w:val="auto"/>
              </w:rPr>
            </w:pPr>
            <w:r>
              <w:rPr>
                <w:rFonts w:ascii="Arial" w:cs="Arial" w:eastAsia="Arial" w:hAnsi="Arial"/>
                <w:sz w:val="18"/>
                <w:szCs w:val="18"/>
                <w:color w:val="auto"/>
              </w:rPr>
              <w:t>Total liabilities and equity</w:t>
            </w:r>
          </w:p>
        </w:tc>
        <w:tc>
          <w:tcPr>
            <w:tcW w:w="280" w:type="dxa"/>
            <w:vAlign w:val="bottom"/>
            <w:tcBorders>
              <w:bottom w:val="single" w:sz="8" w:color="auto"/>
            </w:tcBorders>
            <w:shd w:val="clear" w:color="auto" w:fill="D1D2D4"/>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71,461</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69,416</w:t>
            </w:r>
          </w:p>
        </w:tc>
        <w:tc>
          <w:tcPr>
            <w:tcW w:w="0" w:type="dxa"/>
            <w:vAlign w:val="bottom"/>
          </w:tcPr>
          <w:p>
            <w:pPr>
              <w:spacing w:after="0"/>
              <w:rPr>
                <w:sz w:val="1"/>
                <w:szCs w:val="1"/>
                <w:color w:val="auto"/>
              </w:rPr>
            </w:pPr>
          </w:p>
        </w:tc>
      </w:tr>
      <w:tr>
        <w:trPr>
          <w:trHeight w:val="20"/>
        </w:trPr>
        <w:tc>
          <w:tcPr>
            <w:tcW w:w="8540" w:type="dxa"/>
            <w:vAlign w:val="bottom"/>
            <w:tcBorders>
              <w:top w:val="single" w:sz="8" w:color="D1D2D4"/>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04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40" w:top="89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28,</w:t>
            </w:r>
          </w:p>
        </w:tc>
        <w:tc>
          <w:tcPr>
            <w:tcW w:w="120" w:type="dxa"/>
            <w:vAlign w:val="bottom"/>
          </w:tcPr>
          <w:p>
            <w:pPr>
              <w:spacing w:after="0"/>
              <w:rPr>
                <w:sz w:val="17"/>
                <w:szCs w:val="17"/>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November 30,</w:t>
            </w:r>
          </w:p>
        </w:tc>
        <w:tc>
          <w:tcPr>
            <w:tcW w:w="0" w:type="dxa"/>
            <w:vAlign w:val="bottom"/>
          </w:tcPr>
          <w:p>
            <w:pPr>
              <w:spacing w:after="0"/>
              <w:rPr>
                <w:sz w:val="1"/>
                <w:szCs w:val="1"/>
                <w:color w:val="auto"/>
              </w:rPr>
            </w:pPr>
          </w:p>
        </w:tc>
      </w:tr>
      <w:tr>
        <w:trPr>
          <w:trHeight w:val="243"/>
        </w:trPr>
        <w:tc>
          <w:tcPr>
            <w:tcW w:w="83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34"/>
        </w:trPr>
        <w:tc>
          <w:tcPr>
            <w:tcW w:w="8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20"/>
              <w:spacing w:after="0"/>
              <w:rPr>
                <w:sz w:val="20"/>
                <w:szCs w:val="20"/>
                <w:color w:val="auto"/>
              </w:rPr>
            </w:pPr>
            <w:r>
              <w:rPr>
                <w:rFonts w:ascii="Arial" w:cs="Arial" w:eastAsia="Arial" w:hAnsi="Arial"/>
                <w:sz w:val="18"/>
                <w:szCs w:val="18"/>
                <w:color w:val="auto"/>
              </w:rPr>
              <w:t>Depreciation expense and amortization of intangible assets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Change in operating assets and liabilities: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Receivables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(817)</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0"/>
        </w:trPr>
        <w:tc>
          <w:tcPr>
            <w:tcW w:w="836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9"/>
        </w:trPr>
        <w:tc>
          <w:tcPr>
            <w:tcW w:w="8360" w:type="dxa"/>
            <w:vAlign w:val="bottom"/>
          </w:tcPr>
          <w:p>
            <w:pPr>
              <w:ind w:left="46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3,244</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0" w:type="dxa"/>
            <w:vAlign w:val="bottom"/>
          </w:tcPr>
          <w:p>
            <w:pPr>
              <w:spacing w:after="0"/>
              <w:rPr>
                <w:sz w:val="1"/>
                <w:szCs w:val="1"/>
                <w:color w:val="auto"/>
              </w:rPr>
            </w:pPr>
          </w:p>
        </w:tc>
      </w:tr>
      <w:tr>
        <w:trPr>
          <w:trHeight w:val="237"/>
        </w:trPr>
        <w:tc>
          <w:tcPr>
            <w:tcW w:w="8360" w:type="dxa"/>
            <w:vAlign w:val="bottom"/>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320" w:type="dxa"/>
            <w:vAlign w:val="bottom"/>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3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(3,206)</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(1,796)</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Purchases of available-for-sale securities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Proceeds from maturities and sales of available-for-sale securities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29"/>
        </w:trPr>
        <w:tc>
          <w:tcPr>
            <w:tcW w:w="8360" w:type="dxa"/>
            <w:vAlign w:val="bottom"/>
          </w:tcPr>
          <w:p>
            <w:pPr>
              <w:ind w:left="20"/>
              <w:spacing w:after="0"/>
              <w:rPr>
                <w:sz w:val="20"/>
                <w:szCs w:val="20"/>
                <w:color w:val="auto"/>
              </w:rPr>
            </w:pPr>
            <w:r>
              <w:rPr>
                <w:rFonts w:ascii="Arial" w:cs="Arial" w:eastAsia="Arial" w:hAnsi="Arial"/>
                <w:sz w:val="18"/>
                <w:szCs w:val="18"/>
                <w:color w:val="auto"/>
              </w:rPr>
              <w:t>Proceeds from government incentives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D1D2D4"/>
            </w:tcBorders>
          </w:tcPr>
          <w:p>
            <w:pPr>
              <w:ind w:left="140"/>
              <w:spacing w:after="0"/>
              <w:rPr>
                <w:sz w:val="20"/>
                <w:szCs w:val="20"/>
                <w:color w:val="auto"/>
              </w:rPr>
            </w:pPr>
            <w:r>
              <w:rPr>
                <w:rFonts w:ascii="Arial" w:cs="Arial" w:eastAsia="Arial" w:hAnsi="Arial"/>
                <w:sz w:val="18"/>
                <w:szCs w:val="18"/>
                <w:color w:val="auto"/>
              </w:rPr>
              <w:t>Net cash provided by (used for) investing activities</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r>
        <w:trPr>
          <w:trHeight w:val="236"/>
        </w:trPr>
        <w:tc>
          <w:tcPr>
            <w:tcW w:w="8360" w:type="dxa"/>
            <w:vAlign w:val="bottom"/>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320" w:type="dxa"/>
            <w:vAlign w:val="bottom"/>
            <w:shd w:val="clear" w:color="auto" w:fill="D1D2D4"/>
          </w:tcPr>
          <w:p>
            <w:pPr>
              <w:spacing w:after="0"/>
              <w:rPr>
                <w:sz w:val="20"/>
                <w:szCs w:val="20"/>
                <w:color w:val="auto"/>
              </w:rPr>
            </w:pPr>
          </w:p>
        </w:tc>
        <w:tc>
          <w:tcPr>
            <w:tcW w:w="120" w:type="dxa"/>
            <w:vAlign w:val="bottom"/>
            <w:shd w:val="clear" w:color="auto" w:fill="D1D2D4"/>
          </w:tcPr>
          <w:p>
            <w:pPr>
              <w:spacing w:after="0"/>
              <w:rPr>
                <w:sz w:val="20"/>
                <w:szCs w:val="20"/>
                <w:color w:val="auto"/>
              </w:rPr>
            </w:pPr>
          </w:p>
        </w:tc>
        <w:tc>
          <w:tcPr>
            <w:tcW w:w="132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of dividends to shareholders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30"/>
        </w:trPr>
        <w:tc>
          <w:tcPr>
            <w:tcW w:w="8360" w:type="dxa"/>
            <w:vAlign w:val="bottom"/>
          </w:tcPr>
          <w:p>
            <w:pPr>
              <w:ind w:left="20"/>
              <w:spacing w:after="0"/>
              <w:rPr>
                <w:sz w:val="20"/>
                <w:szCs w:val="20"/>
                <w:color w:val="auto"/>
              </w:rPr>
            </w:pPr>
            <w:r>
              <w:rPr>
                <w:rFonts w:ascii="Arial" w:cs="Arial" w:eastAsia="Arial" w:hAnsi="Arial"/>
                <w:sz w:val="18"/>
                <w:szCs w:val="18"/>
                <w:color w:val="auto"/>
              </w:rPr>
              <w:t>Repayments of debt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23"/>
        </w:trPr>
        <w:tc>
          <w:tcPr>
            <w:tcW w:w="8360" w:type="dxa"/>
            <w:vAlign w:val="bottom"/>
            <w:shd w:val="clear" w:color="auto" w:fill="D1D2D4"/>
          </w:tcPr>
          <w:p>
            <w:pPr>
              <w:ind w:left="140"/>
              <w:spacing w:after="0"/>
              <w:rPr>
                <w:sz w:val="20"/>
                <w:szCs w:val="20"/>
                <w:color w:val="auto"/>
              </w:rPr>
            </w:pPr>
            <w:r>
              <w:rPr>
                <w:rFonts w:ascii="Arial" w:cs="Arial" w:eastAsia="Arial" w:hAnsi="Arial"/>
                <w:sz w:val="18"/>
                <w:szCs w:val="18"/>
                <w:color w:val="auto"/>
              </w:rPr>
              <w:t>Net cash provided by (used for) financing activities</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auto"/>
            </w:tcBorders>
            <w:shd w:val="clear" w:color="auto" w:fill="D1D2D4"/>
          </w:tcPr>
          <w:p>
            <w:pPr>
              <w:spacing w:after="0"/>
              <w:rPr>
                <w:sz w:val="19"/>
                <w:szCs w:val="19"/>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37"/>
        </w:trPr>
        <w:tc>
          <w:tcPr>
            <w:tcW w:w="8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Effect of changes in currency exchange rates on cash, cash equivalents, and restricted cash</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6"/>
        </w:trPr>
        <w:tc>
          <w:tcPr>
            <w:tcW w:w="8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D1D2D4"/>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(355)</w:t>
            </w:r>
          </w:p>
        </w:tc>
        <w:tc>
          <w:tcPr>
            <w:tcW w:w="120" w:type="dxa"/>
            <w:vAlign w:val="bottom"/>
            <w:shd w:val="clear" w:color="auto" w:fill="D1D2D4"/>
          </w:tcPr>
          <w:p>
            <w:pPr>
              <w:spacing w:after="0"/>
              <w:rPr>
                <w:sz w:val="19"/>
                <w:szCs w:val="19"/>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7,052</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8,656</w:t>
            </w:r>
          </w:p>
        </w:tc>
        <w:tc>
          <w:tcPr>
            <w:tcW w:w="0" w:type="dxa"/>
            <w:vAlign w:val="bottom"/>
          </w:tcPr>
          <w:p>
            <w:pPr>
              <w:spacing w:after="0"/>
              <w:rPr>
                <w:sz w:val="1"/>
                <w:szCs w:val="1"/>
                <w:color w:val="auto"/>
              </w:rPr>
            </w:pPr>
          </w:p>
        </w:tc>
      </w:tr>
      <w:tr>
        <w:trPr>
          <w:trHeight w:val="248"/>
        </w:trPr>
        <w:tc>
          <w:tcPr>
            <w:tcW w:w="83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6,697</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8,146</w:t>
            </w:r>
          </w:p>
        </w:tc>
        <w:tc>
          <w:tcPr>
            <w:tcW w:w="0" w:type="dxa"/>
            <w:vAlign w:val="bottom"/>
          </w:tcPr>
          <w:p>
            <w:pPr>
              <w:spacing w:after="0"/>
              <w:rPr>
                <w:sz w:val="1"/>
                <w:szCs w:val="1"/>
                <w:color w:val="auto"/>
              </w:rPr>
            </w:pPr>
          </w:p>
        </w:tc>
      </w:tr>
      <w:tr>
        <w:trPr>
          <w:trHeight w:val="20"/>
        </w:trPr>
        <w:tc>
          <w:tcPr>
            <w:tcW w:w="8360" w:type="dxa"/>
            <w:vAlign w:val="bottom"/>
            <w:tcBorders>
              <w:top w:val="single" w:sz="8" w:color="D1D2D4"/>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120" w:type="dxa"/>
            <w:vAlign w:val="bottom"/>
            <w:tcBorders>
              <w:top w:val="single" w:sz="8" w:color="D1D2D4"/>
              <w:bottom w:val="single" w:sz="8" w:color="auto"/>
            </w:tcBorders>
          </w:tcPr>
          <w:p>
            <w:pPr>
              <w:spacing w:after="0" w:line="20" w:lineRule="exact"/>
              <w:rPr>
                <w:sz w:val="1"/>
                <w:szCs w:val="1"/>
                <w:color w:val="auto"/>
              </w:rPr>
            </w:pPr>
          </w:p>
        </w:tc>
        <w:tc>
          <w:tcPr>
            <w:tcW w:w="13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890" w:right="339" w:bottom="1440" w:gutter="0" w:footer="0" w:header="0"/>
        </w:sectPr>
      </w:pPr>
    </w:p>
    <w:bookmarkStart w:id="8" w:name="page9"/>
    <w:bookmarkEnd w:id="8"/>
    <w:p>
      <w:pPr>
        <w:ind w:left="4340"/>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RECONCILIATION OF GAAP TO NON-GAAP MEASURES</w:t>
      </w:r>
    </w:p>
    <w:p>
      <w:pPr>
        <w:spacing w:after="0" w:line="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(In millions, except per share amounts)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1st Qtr.</w:t>
            </w:r>
          </w:p>
        </w:tc>
        <w:tc>
          <w:tcPr>
            <w:tcW w:w="160" w:type="dxa"/>
            <w:vAlign w:val="bottom"/>
          </w:tcPr>
          <w:p>
            <w:pPr>
              <w:spacing w:after="0"/>
              <w:rPr>
                <w:sz w:val="19"/>
                <w:szCs w:val="19"/>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4th Qtr.</w:t>
            </w:r>
          </w:p>
        </w:tc>
        <w:tc>
          <w:tcPr>
            <w:tcW w:w="2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1st Qtr.</w:t>
            </w:r>
          </w:p>
        </w:tc>
      </w:tr>
      <w:tr>
        <w:trPr>
          <w:trHeight w:val="181"/>
        </w:trPr>
        <w:tc>
          <w:tcPr>
            <w:tcW w:w="7260" w:type="dxa"/>
            <w:vAlign w:val="bottom"/>
          </w:tcPr>
          <w:p>
            <w:pPr>
              <w:spacing w:after="0"/>
              <w:rPr>
                <w:sz w:val="15"/>
                <w:szCs w:val="15"/>
                <w:color w:val="auto"/>
              </w:rPr>
            </w:pPr>
          </w:p>
        </w:tc>
        <w:tc>
          <w:tcPr>
            <w:tcW w:w="13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November 28,</w:t>
            </w:r>
          </w:p>
        </w:tc>
        <w:tc>
          <w:tcPr>
            <w:tcW w:w="160" w:type="dxa"/>
            <w:vAlign w:val="bottom"/>
          </w:tcPr>
          <w:p>
            <w:pPr>
              <w:spacing w:after="0"/>
              <w:rPr>
                <w:sz w:val="15"/>
                <w:szCs w:val="15"/>
                <w:color w:val="auto"/>
              </w:rPr>
            </w:pPr>
          </w:p>
        </w:tc>
        <w:tc>
          <w:tcPr>
            <w:tcW w:w="114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August 29,</w:t>
            </w:r>
          </w:p>
        </w:tc>
        <w:tc>
          <w:tcPr>
            <w:tcW w:w="1340" w:type="dxa"/>
            <w:vAlign w:val="bottom"/>
            <w:gridSpan w:val="3"/>
          </w:tcPr>
          <w:p>
            <w:pPr>
              <w:jc w:val="center"/>
              <w:spacing w:after="0" w:line="181" w:lineRule="exact"/>
              <w:rPr>
                <w:sz w:val="20"/>
                <w:szCs w:val="20"/>
                <w:color w:val="auto"/>
              </w:rPr>
            </w:pPr>
            <w:r>
              <w:rPr>
                <w:rFonts w:ascii="Arial" w:cs="Arial" w:eastAsia="Arial" w:hAnsi="Arial"/>
                <w:sz w:val="18"/>
                <w:szCs w:val="18"/>
                <w:b w:val="1"/>
                <w:bCs w:val="1"/>
                <w:color w:val="auto"/>
                <w:w w:val="99"/>
              </w:rPr>
              <w:t>November 30,</w:t>
            </w:r>
          </w:p>
        </w:tc>
      </w:tr>
      <w:tr>
        <w:trPr>
          <w:trHeight w:val="243"/>
        </w:trPr>
        <w:tc>
          <w:tcPr>
            <w:tcW w:w="72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2024</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2024</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2023</w:t>
            </w:r>
          </w:p>
        </w:tc>
        <w:tc>
          <w:tcPr>
            <w:tcW w:w="20" w:type="dxa"/>
            <w:vAlign w:val="bottom"/>
          </w:tcPr>
          <w:p>
            <w:pPr>
              <w:spacing w:after="0"/>
              <w:rPr>
                <w:sz w:val="21"/>
                <w:szCs w:val="21"/>
                <w:color w:val="auto"/>
              </w:rPr>
            </w:pPr>
          </w:p>
        </w:tc>
      </w:tr>
      <w:tr>
        <w:trPr>
          <w:trHeight w:val="34"/>
        </w:trPr>
        <w:tc>
          <w:tcPr>
            <w:tcW w:w="7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7260" w:type="dxa"/>
            <w:vAlign w:val="bottom"/>
            <w:shd w:val="clear" w:color="auto" w:fill="D1D2D4"/>
          </w:tcPr>
          <w:p>
            <w:pPr>
              <w:spacing w:after="0"/>
              <w:rPr>
                <w:sz w:val="20"/>
                <w:szCs w:val="20"/>
                <w:color w:val="auto"/>
              </w:rPr>
            </w:pPr>
            <w:r>
              <w:rPr>
                <w:rFonts w:ascii="Arial" w:cs="Arial" w:eastAsia="Arial" w:hAnsi="Arial"/>
                <w:sz w:val="18"/>
                <w:szCs w:val="18"/>
                <w:b w:val="1"/>
                <w:bCs w:val="1"/>
                <w:color w:val="auto"/>
              </w:rPr>
              <w:t>GAAP gross margin</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3,348</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2,737</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r>
      <w:tr>
        <w:trPr>
          <w:trHeight w:val="229"/>
        </w:trPr>
        <w:tc>
          <w:tcPr>
            <w:tcW w:w="726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r>
      <w:tr>
        <w:trPr>
          <w:trHeight w:val="229"/>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Non-GAAP gross margin</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r>
      <w:tr>
        <w:trPr>
          <w:trHeight w:val="20"/>
        </w:trPr>
        <w:tc>
          <w:tcPr>
            <w:tcW w:w="726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b w:val="1"/>
                <w:bCs w:val="1"/>
                <w:color w:val="auto"/>
              </w:rPr>
              <w:t>GAAP operating expenses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1,174</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1,215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1,093</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9"/>
                <w:szCs w:val="19"/>
                <w:color w:val="auto"/>
              </w:rPr>
            </w:pPr>
          </w:p>
        </w:tc>
      </w:tr>
      <w:tr>
        <w:trPr>
          <w:trHeight w:val="229"/>
        </w:trPr>
        <w:tc>
          <w:tcPr>
            <w:tcW w:w="7260" w:type="dxa"/>
            <w:vAlign w:val="bottom"/>
            <w:tcBorders>
              <w:bottom w:val="single" w:sz="8" w:color="D1D2D4"/>
            </w:tcBorders>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248"/>
        </w:trPr>
        <w:tc>
          <w:tcPr>
            <w:tcW w:w="726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8"/>
                <w:szCs w:val="18"/>
                <w:b w:val="1"/>
                <w:bCs w:val="1"/>
                <w:color w:val="auto"/>
              </w:rPr>
              <w:t>Non-GAAP operating expenses</w:t>
            </w:r>
          </w:p>
        </w:tc>
        <w:tc>
          <w:tcPr>
            <w:tcW w:w="22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1,047</w:t>
            </w:r>
          </w:p>
        </w:tc>
        <w:tc>
          <w:tcPr>
            <w:tcW w:w="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1,081</w:t>
            </w:r>
          </w:p>
        </w:tc>
        <w:tc>
          <w:tcPr>
            <w:tcW w:w="240" w:type="dxa"/>
            <w:vAlign w:val="bottom"/>
            <w:tcBorders>
              <w:bottom w:val="single" w:sz="8" w:color="auto"/>
            </w:tcBorders>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992</w:t>
            </w:r>
          </w:p>
        </w:tc>
        <w:tc>
          <w:tcPr>
            <w:tcW w:w="20" w:type="dxa"/>
            <w:vAlign w:val="bottom"/>
          </w:tcPr>
          <w:p>
            <w:pPr>
              <w:spacing w:after="0"/>
              <w:rPr>
                <w:sz w:val="21"/>
                <w:szCs w:val="21"/>
                <w:color w:val="auto"/>
              </w:rPr>
            </w:pPr>
          </w:p>
        </w:tc>
      </w:tr>
      <w:tr>
        <w:trPr>
          <w:trHeight w:val="20"/>
        </w:trPr>
        <w:tc>
          <w:tcPr>
            <w:tcW w:w="7260" w:type="dxa"/>
            <w:vAlign w:val="bottom"/>
            <w:tcBorders>
              <w:top w:val="single" w:sz="8" w:color="D1D2D4"/>
            </w:tcBorders>
          </w:tcPr>
          <w:p>
            <w:pPr>
              <w:spacing w:after="0" w:line="20" w:lineRule="exact"/>
              <w:rPr>
                <w:sz w:val="1"/>
                <w:szCs w:val="1"/>
                <w:color w:val="auto"/>
              </w:rPr>
            </w:pPr>
          </w:p>
        </w:tc>
        <w:tc>
          <w:tcPr>
            <w:tcW w:w="22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1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7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7260" w:type="dxa"/>
            <w:vAlign w:val="bottom"/>
            <w:shd w:val="clear" w:color="auto" w:fill="D1D2D4"/>
          </w:tcPr>
          <w:p>
            <w:pPr>
              <w:spacing w:after="0"/>
              <w:rPr>
                <w:sz w:val="20"/>
                <w:szCs w:val="20"/>
                <w:color w:val="auto"/>
              </w:rPr>
            </w:pPr>
            <w:r>
              <w:rPr>
                <w:rFonts w:ascii="Arial" w:cs="Arial" w:eastAsia="Arial" w:hAnsi="Arial"/>
                <w:sz w:val="18"/>
                <w:szCs w:val="18"/>
                <w:b w:val="1"/>
                <w:bCs w:val="1"/>
                <w:color w:val="auto"/>
              </w:rPr>
              <w:t>GAAP operating income (loss)</w:t>
            </w:r>
          </w:p>
        </w:tc>
        <w:tc>
          <w:tcPr>
            <w:tcW w:w="22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2,174</w:t>
            </w:r>
          </w:p>
        </w:tc>
        <w:tc>
          <w:tcPr>
            <w:tcW w:w="160" w:type="dxa"/>
            <w:vAlign w:val="bottom"/>
            <w:shd w:val="clear" w:color="auto" w:fill="D1D2D4"/>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1,522</w:t>
            </w:r>
          </w:p>
        </w:tc>
        <w:tc>
          <w:tcPr>
            <w:tcW w:w="240" w:type="dxa"/>
            <w:vAlign w:val="bottom"/>
            <w:shd w:val="clear" w:color="auto" w:fill="D1D2D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(1,128)</w:t>
            </w:r>
          </w:p>
        </w:tc>
        <w:tc>
          <w:tcPr>
            <w:tcW w:w="20" w:type="dxa"/>
            <w:vAlign w:val="bottom"/>
          </w:tcPr>
          <w:p>
            <w:pPr>
              <w:spacing w:after="0"/>
              <w:rPr>
                <w:sz w:val="19"/>
                <w:szCs w:val="19"/>
                <w:color w:val="auto"/>
              </w:rPr>
            </w:pPr>
          </w:p>
        </w:tc>
      </w:tr>
      <w:tr>
        <w:trPr>
          <w:trHeight w:val="230"/>
        </w:trPr>
        <w:tc>
          <w:tcPr>
            <w:tcW w:w="726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217</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r>
      <w:tr>
        <w:trPr>
          <w:trHeight w:val="229"/>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9"/>
                <w:szCs w:val="19"/>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Non-GAAP operating income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w:t>
            </w:r>
          </w:p>
        </w:tc>
        <w:tc>
          <w:tcPr>
            <w:tcW w:w="20" w:type="dxa"/>
            <w:vAlign w:val="bottom"/>
          </w:tcPr>
          <w:p>
            <w:pPr>
              <w:spacing w:after="0"/>
              <w:rPr>
                <w:sz w:val="19"/>
                <w:szCs w:val="19"/>
                <w:color w:val="auto"/>
              </w:rPr>
            </w:pPr>
          </w:p>
        </w:tc>
      </w:tr>
      <w:tr>
        <w:trPr>
          <w:trHeight w:val="20"/>
        </w:trPr>
        <w:tc>
          <w:tcPr>
            <w:tcW w:w="726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260" w:type="dxa"/>
            <w:vAlign w:val="bottom"/>
          </w:tcPr>
          <w:p>
            <w:pPr>
              <w:spacing w:after="0"/>
              <w:rPr>
                <w:sz w:val="20"/>
                <w:szCs w:val="20"/>
                <w:color w:val="auto"/>
              </w:rPr>
            </w:pPr>
            <w:r>
              <w:rPr>
                <w:rFonts w:ascii="Arial" w:cs="Arial" w:eastAsia="Arial" w:hAnsi="Arial"/>
                <w:sz w:val="18"/>
                <w:szCs w:val="18"/>
                <w:b w:val="1"/>
                <w:bCs w:val="1"/>
                <w:color w:val="auto"/>
              </w:rPr>
              <w:t>GAAP net income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1,870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(1,234)</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217</w:t>
            </w: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213</w:t>
            </w: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19"/>
                <w:szCs w:val="19"/>
                <w:color w:val="auto"/>
              </w:rPr>
            </w:pPr>
          </w:p>
        </w:tc>
      </w:tr>
      <w:tr>
        <w:trPr>
          <w:trHeight w:val="229"/>
        </w:trPr>
        <w:tc>
          <w:tcPr>
            <w:tcW w:w="7260" w:type="dxa"/>
            <w:vAlign w:val="bottom"/>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Estimated tax effects of above and other tax adjustments</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236</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Non-GAAP net income (loss)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20" w:type="dxa"/>
            <w:vAlign w:val="bottom"/>
          </w:tcPr>
          <w:p>
            <w:pPr>
              <w:spacing w:after="0"/>
              <w:rPr>
                <w:sz w:val="19"/>
                <w:szCs w:val="19"/>
                <w:color w:val="auto"/>
              </w:rPr>
            </w:pPr>
          </w:p>
        </w:tc>
      </w:tr>
      <w:tr>
        <w:trPr>
          <w:trHeight w:val="20"/>
        </w:trPr>
        <w:tc>
          <w:tcPr>
            <w:tcW w:w="726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b w:val="1"/>
                <w:bCs w:val="1"/>
                <w:color w:val="auto"/>
              </w:rPr>
              <w:t>GAAP weighted-average common shares outstanding - Diluted</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1,122</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1,125</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1,100</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Adjustment for stock-based compensation</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Non-GAAP weighted-average common shares outstanding - Diluted</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1,138</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20" w:type="dxa"/>
            <w:vAlign w:val="bottom"/>
          </w:tcPr>
          <w:p>
            <w:pPr>
              <w:spacing w:after="0"/>
              <w:rPr>
                <w:sz w:val="19"/>
                <w:szCs w:val="19"/>
                <w:color w:val="auto"/>
              </w:rPr>
            </w:pPr>
          </w:p>
        </w:tc>
      </w:tr>
      <w:tr>
        <w:trPr>
          <w:trHeight w:val="20"/>
        </w:trPr>
        <w:tc>
          <w:tcPr>
            <w:tcW w:w="7260" w:type="dxa"/>
            <w:vAlign w:val="bottom"/>
            <w:tcBorders>
              <w:bottom w:val="single" w:sz="8" w:color="D1D2D4"/>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7260" w:type="dxa"/>
            <w:vAlign w:val="bottom"/>
            <w:shd w:val="clear" w:color="auto" w:fill="D1D2D4"/>
          </w:tcPr>
          <w:p>
            <w:pPr>
              <w:spacing w:after="0"/>
              <w:rPr>
                <w:sz w:val="19"/>
                <w:szCs w:val="19"/>
                <w:color w:val="auto"/>
              </w:rPr>
            </w:pPr>
          </w:p>
        </w:tc>
        <w:tc>
          <w:tcPr>
            <w:tcW w:w="22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160" w:type="dxa"/>
            <w:vAlign w:val="bottom"/>
            <w:shd w:val="clear" w:color="auto" w:fill="D1D2D4"/>
          </w:tcPr>
          <w:p>
            <w:pPr>
              <w:spacing w:after="0"/>
              <w:rPr>
                <w:sz w:val="19"/>
                <w:szCs w:val="19"/>
                <w:color w:val="auto"/>
              </w:rPr>
            </w:pPr>
          </w:p>
        </w:tc>
        <w:tc>
          <w:tcPr>
            <w:tcW w:w="1140" w:type="dxa"/>
            <w:vAlign w:val="bottom"/>
            <w:shd w:val="clear" w:color="auto" w:fill="D1D2D4"/>
          </w:tcPr>
          <w:p>
            <w:pPr>
              <w:spacing w:after="0"/>
              <w:rPr>
                <w:sz w:val="19"/>
                <w:szCs w:val="19"/>
                <w:color w:val="auto"/>
              </w:rPr>
            </w:pPr>
          </w:p>
        </w:tc>
        <w:tc>
          <w:tcPr>
            <w:tcW w:w="240" w:type="dxa"/>
            <w:vAlign w:val="bottom"/>
            <w:shd w:val="clear" w:color="auto" w:fill="D1D2D4"/>
          </w:tcPr>
          <w:p>
            <w:pPr>
              <w:spacing w:after="0"/>
              <w:rPr>
                <w:sz w:val="19"/>
                <w:szCs w:val="19"/>
                <w:color w:val="auto"/>
              </w:rPr>
            </w:pPr>
          </w:p>
        </w:tc>
        <w:tc>
          <w:tcPr>
            <w:tcW w:w="1080" w:type="dxa"/>
            <w:vAlign w:val="bottom"/>
            <w:shd w:val="clear" w:color="auto" w:fill="D1D2D4"/>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b w:val="1"/>
                <w:bCs w:val="1"/>
                <w:color w:val="auto"/>
              </w:rPr>
              <w:t>GAAP diluted earnings (loss) per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9"/>
                <w:szCs w:val="19"/>
                <w:color w:val="auto"/>
              </w:rPr>
            </w:pPr>
          </w:p>
        </w:tc>
      </w:tr>
      <w:tr>
        <w:trPr>
          <w:trHeight w:val="230"/>
        </w:trPr>
        <w:tc>
          <w:tcPr>
            <w:tcW w:w="7260" w:type="dxa"/>
            <w:vAlign w:val="bottom"/>
            <w:shd w:val="clear" w:color="auto" w:fill="D1D2D4"/>
          </w:tcPr>
          <w:p>
            <w:pPr>
              <w:ind w:left="120"/>
              <w:spacing w:after="0"/>
              <w:rPr>
                <w:sz w:val="20"/>
                <w:szCs w:val="20"/>
                <w:color w:val="auto"/>
              </w:rPr>
            </w:pPr>
            <w:r>
              <w:rPr>
                <w:rFonts w:ascii="Arial" w:cs="Arial" w:eastAsia="Arial" w:hAnsi="Arial"/>
                <w:sz w:val="18"/>
                <w:szCs w:val="18"/>
                <w:color w:val="auto"/>
              </w:rPr>
              <w:t>Effects of the above adjustments</w:t>
            </w:r>
          </w:p>
        </w:tc>
        <w:tc>
          <w:tcPr>
            <w:tcW w:w="22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0.39</w:t>
            </w:r>
          </w:p>
        </w:tc>
        <w:tc>
          <w:tcPr>
            <w:tcW w:w="240" w:type="dxa"/>
            <w:vAlign w:val="bottom"/>
            <w:tcBorders>
              <w:bottom w:val="single" w:sz="8" w:color="auto"/>
            </w:tcBorders>
            <w:shd w:val="clear" w:color="auto" w:fill="D1D2D4"/>
          </w:tcPr>
          <w:p>
            <w:pPr>
              <w:spacing w:after="0"/>
              <w:rPr>
                <w:sz w:val="19"/>
                <w:szCs w:val="19"/>
                <w:color w:val="auto"/>
              </w:rPr>
            </w:pPr>
          </w:p>
        </w:tc>
        <w:tc>
          <w:tcPr>
            <w:tcW w:w="10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0.17</w:t>
            </w:r>
          </w:p>
        </w:tc>
        <w:tc>
          <w:tcPr>
            <w:tcW w:w="20" w:type="dxa"/>
            <w:vAlign w:val="bottom"/>
          </w:tcPr>
          <w:p>
            <w:pPr>
              <w:spacing w:after="0"/>
              <w:rPr>
                <w:sz w:val="19"/>
                <w:szCs w:val="19"/>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Non-GAAP diluted earnings (loss) per share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(0.95)</w:t>
            </w:r>
          </w:p>
        </w:tc>
        <w:tc>
          <w:tcPr>
            <w:tcW w:w="20" w:type="dxa"/>
            <w:vAlign w:val="bottom"/>
          </w:tcPr>
          <w:p>
            <w:pPr>
              <w:spacing w:after="0"/>
              <w:rPr>
                <w:sz w:val="19"/>
                <w:szCs w:val="19"/>
                <w:color w:val="auto"/>
              </w:rPr>
            </w:pPr>
          </w:p>
        </w:tc>
      </w:tr>
      <w:tr>
        <w:trPr>
          <w:trHeight w:val="20"/>
        </w:trPr>
        <w:tc>
          <w:tcPr>
            <w:tcW w:w="7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61"/>
        </w:trPr>
        <w:tc>
          <w:tcPr>
            <w:tcW w:w="7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200"/>
          </w:cols>
          <w:pgMar w:left="360" w:top="890" w:right="339" w:bottom="1440" w:gutter="0" w:footer="0" w:header="0"/>
        </w:sectPr>
      </w:pPr>
    </w:p>
    <w:bookmarkStart w:id="9" w:name="page10"/>
    <w:bookmarkEnd w:id="9"/>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8700" w:type="dxa"/>
            <w:vAlign w:val="bottom"/>
            <w:gridSpan w:val="4"/>
          </w:tcPr>
          <w:p>
            <w:pPr>
              <w:ind w:left="2860"/>
              <w:spacing w:after="0"/>
              <w:rPr>
                <w:sz w:val="20"/>
                <w:szCs w:val="20"/>
                <w:color w:val="auto"/>
              </w:rPr>
            </w:pPr>
            <w:r>
              <w:rPr>
                <w:rFonts w:ascii="Arial" w:cs="Arial" w:eastAsia="Arial" w:hAnsi="Arial"/>
                <w:sz w:val="18"/>
                <w:szCs w:val="18"/>
                <w:b w:val="1"/>
                <w:bCs w:val="1"/>
                <w:color w:val="auto"/>
              </w:rPr>
              <w:t>RECONCILIATION OF GAAP TO NON-GAAP MEASURES, Continued</w:t>
            </w: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82"/>
        </w:trPr>
        <w:tc>
          <w:tcPr>
            <w:tcW w:w="7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1st Qtr.</w:t>
            </w:r>
          </w:p>
        </w:tc>
        <w:tc>
          <w:tcPr>
            <w:tcW w:w="160" w:type="dxa"/>
            <w:vAlign w:val="bottom"/>
          </w:tcPr>
          <w:p>
            <w:pPr>
              <w:spacing w:after="0"/>
              <w:rPr>
                <w:sz w:val="24"/>
                <w:szCs w:val="24"/>
                <w:color w:val="auto"/>
              </w:rPr>
            </w:pPr>
          </w:p>
        </w:tc>
        <w:tc>
          <w:tcPr>
            <w:tcW w:w="114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4th Qtr.</w:t>
            </w:r>
          </w:p>
        </w:tc>
        <w:tc>
          <w:tcPr>
            <w:tcW w:w="240" w:type="dxa"/>
            <w:vAlign w:val="bottom"/>
          </w:tcPr>
          <w:p>
            <w:pPr>
              <w:spacing w:after="0"/>
              <w:rPr>
                <w:sz w:val="24"/>
                <w:szCs w:val="24"/>
                <w:color w:val="auto"/>
              </w:rPr>
            </w:pPr>
          </w:p>
        </w:tc>
        <w:tc>
          <w:tcPr>
            <w:tcW w:w="10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1st Qtr.</w:t>
            </w:r>
          </w:p>
        </w:tc>
      </w:tr>
      <w:tr>
        <w:trPr>
          <w:trHeight w:val="181"/>
        </w:trPr>
        <w:tc>
          <w:tcPr>
            <w:tcW w:w="7240" w:type="dxa"/>
            <w:vAlign w:val="bottom"/>
          </w:tcPr>
          <w:p>
            <w:pPr>
              <w:spacing w:after="0"/>
              <w:rPr>
                <w:sz w:val="15"/>
                <w:szCs w:val="15"/>
                <w:color w:val="auto"/>
              </w:rPr>
            </w:pPr>
          </w:p>
        </w:tc>
        <w:tc>
          <w:tcPr>
            <w:tcW w:w="130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November 28,</w:t>
            </w:r>
          </w:p>
        </w:tc>
        <w:tc>
          <w:tcPr>
            <w:tcW w:w="160" w:type="dxa"/>
            <w:vAlign w:val="bottom"/>
          </w:tcPr>
          <w:p>
            <w:pPr>
              <w:spacing w:after="0"/>
              <w:rPr>
                <w:sz w:val="15"/>
                <w:szCs w:val="15"/>
                <w:color w:val="auto"/>
              </w:rPr>
            </w:pPr>
          </w:p>
        </w:tc>
        <w:tc>
          <w:tcPr>
            <w:tcW w:w="1140" w:type="dxa"/>
            <w:vAlign w:val="bottom"/>
          </w:tcPr>
          <w:p>
            <w:pPr>
              <w:jc w:val="center"/>
              <w:ind w:right="50"/>
              <w:spacing w:after="0" w:line="181" w:lineRule="exact"/>
              <w:rPr>
                <w:sz w:val="20"/>
                <w:szCs w:val="20"/>
                <w:color w:val="auto"/>
              </w:rPr>
            </w:pPr>
            <w:r>
              <w:rPr>
                <w:rFonts w:ascii="Arial" w:cs="Arial" w:eastAsia="Arial" w:hAnsi="Arial"/>
                <w:sz w:val="18"/>
                <w:szCs w:val="18"/>
                <w:b w:val="1"/>
                <w:bCs w:val="1"/>
                <w:color w:val="auto"/>
                <w:w w:val="99"/>
              </w:rPr>
              <w:t>August 29,</w:t>
            </w:r>
          </w:p>
        </w:tc>
        <w:tc>
          <w:tcPr>
            <w:tcW w:w="1320" w:type="dxa"/>
            <w:vAlign w:val="bottom"/>
            <w:gridSpan w:val="2"/>
          </w:tcPr>
          <w:p>
            <w:pPr>
              <w:jc w:val="center"/>
              <w:spacing w:after="0" w:line="181" w:lineRule="exact"/>
              <w:rPr>
                <w:sz w:val="20"/>
                <w:szCs w:val="20"/>
                <w:color w:val="auto"/>
              </w:rPr>
            </w:pPr>
            <w:r>
              <w:rPr>
                <w:rFonts w:ascii="Arial" w:cs="Arial" w:eastAsia="Arial" w:hAnsi="Arial"/>
                <w:sz w:val="18"/>
                <w:szCs w:val="18"/>
                <w:b w:val="1"/>
                <w:bCs w:val="1"/>
                <w:color w:val="auto"/>
                <w:w w:val="99"/>
              </w:rPr>
              <w:t>November 30,</w:t>
            </w:r>
          </w:p>
        </w:tc>
      </w:tr>
      <w:tr>
        <w:trPr>
          <w:trHeight w:val="243"/>
        </w:trPr>
        <w:tc>
          <w:tcPr>
            <w:tcW w:w="7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2024</w:t>
            </w:r>
          </w:p>
        </w:tc>
        <w:tc>
          <w:tcPr>
            <w:tcW w:w="1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2024</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2023</w:t>
            </w:r>
          </w:p>
        </w:tc>
      </w:tr>
      <w:tr>
        <w:trPr>
          <w:trHeight w:val="34"/>
        </w:trPr>
        <w:tc>
          <w:tcPr>
            <w:tcW w:w="7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72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GAAP net cash provided by operating activities</w:t>
            </w:r>
          </w:p>
        </w:tc>
        <w:tc>
          <w:tcPr>
            <w:tcW w:w="22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3,244</w:t>
            </w:r>
          </w:p>
        </w:tc>
        <w:tc>
          <w:tcPr>
            <w:tcW w:w="160" w:type="dxa"/>
            <w:vAlign w:val="bottom"/>
            <w:shd w:val="clear" w:color="auto" w:fill="DBDBDB"/>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3,405</w:t>
            </w:r>
          </w:p>
        </w:tc>
        <w:tc>
          <w:tcPr>
            <w:tcW w:w="240" w:type="dxa"/>
            <w:vAlign w:val="bottom"/>
            <w:shd w:val="clear" w:color="auto" w:fill="DBDBDB"/>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1,401</w:t>
            </w:r>
          </w:p>
        </w:tc>
      </w:tr>
      <w:tr>
        <w:trPr>
          <w:trHeight w:val="257"/>
        </w:trPr>
        <w:tc>
          <w:tcPr>
            <w:tcW w:w="7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29"/>
        </w:trPr>
        <w:tc>
          <w:tcPr>
            <w:tcW w:w="7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Expenditures for property, plant, and equipment</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(3,206)</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(3,120)</w:t>
            </w:r>
          </w:p>
        </w:tc>
        <w:tc>
          <w:tcPr>
            <w:tcW w:w="2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(1,796)</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Payments on equipment purchase contracts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30"/>
        </w:trPr>
        <w:tc>
          <w:tcPr>
            <w:tcW w:w="724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Proceeds from sales of property, plant, and equipment</w:t>
            </w:r>
          </w:p>
        </w:tc>
        <w:tc>
          <w:tcPr>
            <w:tcW w:w="22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DBDBDB"/>
          </w:tcPr>
          <w:p>
            <w:pPr>
              <w:spacing w:after="0"/>
              <w:rPr>
                <w:sz w:val="19"/>
                <w:szCs w:val="19"/>
                <w:color w:val="auto"/>
              </w:rPr>
            </w:pPr>
          </w:p>
        </w:tc>
        <w:tc>
          <w:tcPr>
            <w:tcW w:w="11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DBDBDB"/>
          </w:tcPr>
          <w:p>
            <w:pPr>
              <w:spacing w:after="0"/>
              <w:rPr>
                <w:sz w:val="19"/>
                <w:szCs w:val="19"/>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33</w:t>
            </w:r>
          </w:p>
        </w:tc>
      </w:tr>
      <w:tr>
        <w:trPr>
          <w:trHeight w:val="229"/>
        </w:trPr>
        <w:tc>
          <w:tcPr>
            <w:tcW w:w="7240" w:type="dxa"/>
            <w:vAlign w:val="bottom"/>
            <w:tcBorders>
              <w:bottom w:val="single" w:sz="8" w:color="DBDBDB"/>
            </w:tcBorders>
          </w:tcPr>
          <w:p>
            <w:pPr>
              <w:ind w:left="20"/>
              <w:spacing w:after="0"/>
              <w:rPr>
                <w:sz w:val="20"/>
                <w:szCs w:val="20"/>
                <w:color w:val="auto"/>
              </w:rPr>
            </w:pPr>
            <w:r>
              <w:rPr>
                <w:rFonts w:ascii="Arial" w:cs="Arial" w:eastAsia="Arial" w:hAnsi="Arial"/>
                <w:sz w:val="18"/>
                <w:szCs w:val="18"/>
                <w:color w:val="auto"/>
              </w:rPr>
              <w:t>Proceeds from government incentives</w:t>
            </w: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7240" w:type="dxa"/>
            <w:vAlign w:val="bottom"/>
            <w:shd w:val="clear" w:color="auto" w:fill="DBDBDB"/>
          </w:tcPr>
          <w:p>
            <w:pPr>
              <w:ind w:left="20"/>
              <w:spacing w:after="0"/>
              <w:rPr>
                <w:sz w:val="20"/>
                <w:szCs w:val="20"/>
                <w:color w:val="auto"/>
              </w:rPr>
            </w:pPr>
            <w:r>
              <w:rPr>
                <w:rFonts w:ascii="Arial" w:cs="Arial" w:eastAsia="Arial" w:hAnsi="Arial"/>
                <w:sz w:val="18"/>
                <w:szCs w:val="18"/>
                <w:b w:val="1"/>
                <w:bCs w:val="1"/>
                <w:color w:val="auto"/>
              </w:rPr>
              <w:t>Investments in capital expenditures, net</w:t>
            </w:r>
          </w:p>
        </w:tc>
        <w:tc>
          <w:tcPr>
            <w:tcW w:w="22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(3,132)</w:t>
            </w:r>
          </w:p>
        </w:tc>
        <w:tc>
          <w:tcPr>
            <w:tcW w:w="160" w:type="dxa"/>
            <w:vAlign w:val="bottom"/>
            <w:tcBorders>
              <w:bottom w:val="single" w:sz="8" w:color="auto"/>
            </w:tcBorders>
            <w:shd w:val="clear" w:color="auto" w:fill="DBDBDB"/>
          </w:tcPr>
          <w:p>
            <w:pPr>
              <w:spacing w:after="0"/>
              <w:rPr>
                <w:sz w:val="19"/>
                <w:szCs w:val="19"/>
                <w:color w:val="auto"/>
              </w:rPr>
            </w:pP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(3,082)</w:t>
            </w:r>
          </w:p>
        </w:tc>
        <w:tc>
          <w:tcPr>
            <w:tcW w:w="240" w:type="dxa"/>
            <w:vAlign w:val="bottom"/>
            <w:tcBorders>
              <w:bottom w:val="single" w:sz="8" w:color="auto"/>
            </w:tcBorders>
            <w:shd w:val="clear" w:color="auto" w:fill="DBDBDB"/>
          </w:tcPr>
          <w:p>
            <w:pPr>
              <w:spacing w:after="0"/>
              <w:rPr>
                <w:sz w:val="19"/>
                <w:szCs w:val="19"/>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8"/>
                <w:szCs w:val="18"/>
                <w:color w:val="auto"/>
              </w:rPr>
              <w:t>(1,734)</w:t>
            </w:r>
          </w:p>
        </w:tc>
      </w:tr>
      <w:tr>
        <w:trPr>
          <w:trHeight w:val="22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Adjusted free cash flow</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w:t>
            </w:r>
          </w:p>
        </w:tc>
      </w:tr>
      <w:tr>
        <w:trPr>
          <w:trHeight w:val="21"/>
        </w:trPr>
        <w:tc>
          <w:tcPr>
            <w:tcW w:w="7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tables above reconcile GAAP to non-GAAP measures of gross margin, operating expenses, operating income (loss), net income (loss), diluted shares, diluted earnings (loss) per share, and adjusted free cash flow. The non-GAAP adjustments above may or may not be infrequent or nonrecurring in nature, but are a result of periodic or non-core operating activities. We believe this non-GAAP information is helpful in understanding trends and in analyzing our operating results and earnings. We are providing this information to investors to assist in performing analysis of our operating results. When evaluating performance and making decisions on how to allocate our resources, management uses this non-GAAP information and believes investors should have access to similar data when making their investment decisions. We believe these non-GAAP financial measures increase transparency by providing investors with useful supplemental information about the financial performance of our business, enabling enhanced comparison of our operating results between periods and with peer companies. The presentation of these adjusted amounts varies from amounts presented in accordance with U.S. GAAP and therefore may not be comparable to amounts reported by other companies. Our management excludes the following items as applicable in analyzing our operating results and understanding trends in our earnings:</w:t>
      </w:r>
    </w:p>
    <w:p>
      <w:pPr>
        <w:spacing w:after="0" w:line="20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and losses from settlements;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Restructure and asset impairments;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Goodwill impairment; and</w:t>
      </w:r>
    </w:p>
    <w:p>
      <w:pPr>
        <w:spacing w:after="0" w:line="9" w:lineRule="exact"/>
        <w:rPr>
          <w:rFonts w:ascii="Arial" w:cs="Arial" w:eastAsia="Arial" w:hAnsi="Arial"/>
          <w:sz w:val="18"/>
          <w:szCs w:val="18"/>
          <w:color w:val="auto"/>
        </w:rPr>
      </w:pPr>
    </w:p>
    <w:p>
      <w:pPr>
        <w:ind w:left="660" w:right="80" w:hanging="328"/>
        <w:spacing w:after="0" w:line="255"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estimated tax effects of above, non-cash changes in net deferred income taxes, assessments of tax exposures, certain tax matters related to prior fiscal periods, and significant changes in tax law. The divergence between our GAAP and non-GAAP income tax provision relates to the difference in our GAAP and non-GAAP estimated annual effective tax rates, which are computed separately.</w:t>
      </w:r>
    </w:p>
    <w:p>
      <w:pPr>
        <w:spacing w:after="0" w:line="20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Non-GAAP diluted shares are adjusted for the impact of additional shares resulting from the exclusion of stock-based compensation from non-GAAP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89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OUTLOOK</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FQ2-25</w:t>
            </w:r>
          </w:p>
        </w:tc>
        <w:tc>
          <w:tcPr>
            <w:tcW w:w="3280" w:type="dxa"/>
            <w:vAlign w:val="bottom"/>
            <w:gridSpan w:val="2"/>
          </w:tcPr>
          <w:p>
            <w:pPr>
              <w:ind w:left="1420"/>
              <w:spacing w:after="0"/>
              <w:rPr>
                <w:sz w:val="20"/>
                <w:szCs w:val="20"/>
                <w:color w:val="auto"/>
              </w:rPr>
            </w:pPr>
            <w:r>
              <w:rPr>
                <w:rFonts w:ascii="Arial" w:cs="Arial" w:eastAsia="Arial" w:hAnsi="Arial"/>
                <w:sz w:val="18"/>
                <w:szCs w:val="18"/>
                <w:b w:val="1"/>
                <w:bCs w:val="1"/>
                <w:color w:val="auto"/>
              </w:rPr>
              <w:t>GAAP Outlook</w:t>
            </w:r>
          </w:p>
        </w:tc>
        <w:tc>
          <w:tcPr>
            <w:tcW w:w="23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Adjustments</w:t>
            </w:r>
          </w:p>
        </w:tc>
        <w:tc>
          <w:tcPr>
            <w:tcW w:w="2240" w:type="dxa"/>
            <w:vAlign w:val="bottom"/>
          </w:tcPr>
          <w:p>
            <w:pPr>
              <w:jc w:val="right"/>
              <w:ind w:right="210"/>
              <w:spacing w:after="0"/>
              <w:rPr>
                <w:sz w:val="20"/>
                <w:szCs w:val="20"/>
                <w:color w:val="auto"/>
              </w:rPr>
            </w:pPr>
            <w:r>
              <w:rPr>
                <w:rFonts w:ascii="Arial" w:cs="Arial" w:eastAsia="Arial" w:hAnsi="Arial"/>
                <w:sz w:val="18"/>
                <w:szCs w:val="18"/>
                <w:b w:val="1"/>
                <w:bCs w:val="1"/>
                <w:color w:val="auto"/>
              </w:rPr>
              <w:t>Non-GAAP Outlook</w:t>
            </w:r>
          </w:p>
        </w:tc>
      </w:tr>
      <w:tr>
        <w:trPr>
          <w:trHeight w:val="34"/>
        </w:trPr>
        <w:tc>
          <w:tcPr>
            <w:tcW w:w="3300" w:type="dxa"/>
            <w:vAlign w:val="bottom"/>
            <w:tcBorders>
              <w:top w:val="single" w:sz="8" w:color="auto"/>
            </w:tcBorders>
          </w:tcPr>
          <w:p>
            <w:pPr>
              <w:spacing w:after="0"/>
              <w:rPr>
                <w:sz w:val="2"/>
                <w:szCs w:val="2"/>
                <w:color w:val="auto"/>
              </w:rPr>
            </w:pPr>
          </w:p>
        </w:tc>
        <w:tc>
          <w:tcPr>
            <w:tcW w:w="31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40" w:type="dxa"/>
            <w:vAlign w:val="bottom"/>
            <w:tcBorders>
              <w:top w:val="single" w:sz="8" w:color="auto"/>
            </w:tcBorders>
          </w:tcPr>
          <w:p>
            <w:pPr>
              <w:spacing w:after="0"/>
              <w:rPr>
                <w:sz w:val="2"/>
                <w:szCs w:val="2"/>
                <w:color w:val="auto"/>
              </w:rPr>
            </w:pPr>
          </w:p>
        </w:tc>
      </w:tr>
      <w:tr>
        <w:trPr>
          <w:trHeight w:val="229"/>
        </w:trPr>
        <w:tc>
          <w:tcPr>
            <w:tcW w:w="3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Revenue</w:t>
            </w:r>
          </w:p>
        </w:tc>
        <w:tc>
          <w:tcPr>
            <w:tcW w:w="328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$7.90 billion ± $200 million</w:t>
            </w:r>
          </w:p>
        </w:tc>
        <w:tc>
          <w:tcPr>
            <w:tcW w:w="2380" w:type="dxa"/>
            <w:vAlign w:val="bottom"/>
            <w:gridSpan w:val="2"/>
            <w:shd w:val="clear" w:color="auto" w:fill="D1D2D4"/>
          </w:tcPr>
          <w:p>
            <w:pPr>
              <w:jc w:val="center"/>
              <w:ind w:right="12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$7.90 billion ± $200 million</w:t>
            </w:r>
          </w:p>
        </w:tc>
      </w:tr>
      <w:tr>
        <w:trPr>
          <w:trHeight w:val="229"/>
        </w:trPr>
        <w:tc>
          <w:tcPr>
            <w:tcW w:w="330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160" w:type="dxa"/>
            <w:vAlign w:val="bottom"/>
          </w:tcPr>
          <w:p>
            <w:pPr>
              <w:jc w:val="right"/>
              <w:spacing w:after="0"/>
              <w:rPr>
                <w:sz w:val="20"/>
                <w:szCs w:val="20"/>
                <w:color w:val="auto"/>
              </w:rPr>
            </w:pPr>
            <w:r>
              <w:rPr>
                <w:rFonts w:ascii="Arial" w:cs="Arial" w:eastAsia="Arial" w:hAnsi="Arial"/>
                <w:sz w:val="18"/>
                <w:szCs w:val="18"/>
                <w:color w:val="auto"/>
              </w:rPr>
              <w:t>37.5% ± 1.0%</w:t>
            </w:r>
          </w:p>
        </w:tc>
        <w:tc>
          <w:tcPr>
            <w:tcW w:w="120" w:type="dxa"/>
            <w:vAlign w:val="bottom"/>
          </w:tcPr>
          <w:p>
            <w:pPr>
              <w:spacing w:after="0"/>
              <w:rPr>
                <w:sz w:val="19"/>
                <w:szCs w:val="19"/>
                <w:color w:val="auto"/>
              </w:rPr>
            </w:pPr>
          </w:p>
        </w:tc>
        <w:tc>
          <w:tcPr>
            <w:tcW w:w="23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 A</w:t>
            </w:r>
          </w:p>
        </w:tc>
        <w:tc>
          <w:tcPr>
            <w:tcW w:w="2240" w:type="dxa"/>
            <w:vAlign w:val="bottom"/>
          </w:tcPr>
          <w:p>
            <w:pPr>
              <w:jc w:val="right"/>
              <w:spacing w:after="0"/>
              <w:rPr>
                <w:sz w:val="20"/>
                <w:szCs w:val="20"/>
                <w:color w:val="auto"/>
              </w:rPr>
            </w:pPr>
            <w:r>
              <w:rPr>
                <w:rFonts w:ascii="Arial" w:cs="Arial" w:eastAsia="Arial" w:hAnsi="Arial"/>
                <w:sz w:val="18"/>
                <w:szCs w:val="18"/>
                <w:color w:val="auto"/>
              </w:rPr>
              <w:t>38.5% ± 1.0%</w:t>
            </w:r>
          </w:p>
        </w:tc>
      </w:tr>
      <w:tr>
        <w:trPr>
          <w:trHeight w:val="230"/>
        </w:trPr>
        <w:tc>
          <w:tcPr>
            <w:tcW w:w="3300" w:type="dxa"/>
            <w:vAlign w:val="bottom"/>
            <w:shd w:val="clear" w:color="auto" w:fill="D1D2D4"/>
          </w:tcPr>
          <w:p>
            <w:pPr>
              <w:ind w:left="20"/>
              <w:spacing w:after="0"/>
              <w:rPr>
                <w:sz w:val="20"/>
                <w:szCs w:val="20"/>
                <w:color w:val="auto"/>
              </w:rPr>
            </w:pPr>
            <w:r>
              <w:rPr>
                <w:rFonts w:ascii="Arial" w:cs="Arial" w:eastAsia="Arial" w:hAnsi="Arial"/>
                <w:sz w:val="18"/>
                <w:szCs w:val="18"/>
                <w:color w:val="auto"/>
              </w:rPr>
              <w:t>Operating expenses</w:t>
            </w:r>
          </w:p>
        </w:tc>
        <w:tc>
          <w:tcPr>
            <w:tcW w:w="3280" w:type="dxa"/>
            <w:vAlign w:val="bottom"/>
            <w:gridSpan w:val="2"/>
            <w:shd w:val="clear" w:color="auto" w:fill="D1D2D4"/>
          </w:tcPr>
          <w:p>
            <w:pPr>
              <w:jc w:val="right"/>
              <w:ind w:right="120"/>
              <w:spacing w:after="0"/>
              <w:rPr>
                <w:sz w:val="20"/>
                <w:szCs w:val="20"/>
                <w:color w:val="auto"/>
              </w:rPr>
            </w:pPr>
            <w:r>
              <w:rPr>
                <w:rFonts w:ascii="Arial" w:cs="Arial" w:eastAsia="Arial" w:hAnsi="Arial"/>
                <w:sz w:val="18"/>
                <w:szCs w:val="18"/>
                <w:color w:val="auto"/>
              </w:rPr>
              <w:t>$1.24 billion ± $15 million</w:t>
            </w:r>
          </w:p>
        </w:tc>
        <w:tc>
          <w:tcPr>
            <w:tcW w:w="2380" w:type="dxa"/>
            <w:vAlign w:val="bottom"/>
            <w:gridSpan w:val="2"/>
            <w:shd w:val="clear" w:color="auto" w:fill="D1D2D4"/>
          </w:tcPr>
          <w:p>
            <w:pPr>
              <w:ind w:left="320"/>
              <w:spacing w:after="0"/>
              <w:rPr>
                <w:sz w:val="20"/>
                <w:szCs w:val="20"/>
                <w:color w:val="auto"/>
              </w:rPr>
            </w:pPr>
            <w:r>
              <w:rPr>
                <w:rFonts w:ascii="Arial" w:cs="Arial" w:eastAsia="Arial" w:hAnsi="Arial"/>
                <w:sz w:val="18"/>
                <w:szCs w:val="18"/>
                <w:color w:val="auto"/>
              </w:rPr>
              <w:t>$140 million B</w:t>
            </w:r>
          </w:p>
        </w:tc>
        <w:tc>
          <w:tcPr>
            <w:tcW w:w="2240" w:type="dxa"/>
            <w:vAlign w:val="bottom"/>
            <w:shd w:val="clear" w:color="auto" w:fill="D1D2D4"/>
          </w:tcPr>
          <w:p>
            <w:pPr>
              <w:jc w:val="right"/>
              <w:spacing w:after="0"/>
              <w:rPr>
                <w:sz w:val="20"/>
                <w:szCs w:val="20"/>
                <w:color w:val="auto"/>
              </w:rPr>
            </w:pPr>
            <w:r>
              <w:rPr>
                <w:rFonts w:ascii="Arial" w:cs="Arial" w:eastAsia="Arial" w:hAnsi="Arial"/>
                <w:sz w:val="18"/>
                <w:szCs w:val="18"/>
                <w:color w:val="auto"/>
              </w:rPr>
              <w:t>$1.10 billion ± $15 million</w:t>
            </w:r>
          </w:p>
        </w:tc>
      </w:tr>
      <w:tr>
        <w:trPr>
          <w:trHeight w:val="311"/>
        </w:trPr>
        <w:tc>
          <w:tcPr>
            <w:tcW w:w="3300" w:type="dxa"/>
            <w:vAlign w:val="bottom"/>
          </w:tcPr>
          <w:p>
            <w:pPr>
              <w:ind w:left="20"/>
              <w:spacing w:after="0"/>
              <w:rPr>
                <w:sz w:val="20"/>
                <w:szCs w:val="20"/>
                <w:color w:val="auto"/>
              </w:rPr>
            </w:pPr>
            <w:r>
              <w:rPr>
                <w:rFonts w:ascii="Arial" w:cs="Arial" w:eastAsia="Arial" w:hAnsi="Arial"/>
                <w:sz w:val="18"/>
                <w:szCs w:val="18"/>
                <w:color w:val="auto"/>
              </w:rPr>
              <w:t>Diluted earnings per share</w:t>
            </w:r>
            <w:r>
              <w:rPr>
                <w:rFonts w:ascii="Arial" w:cs="Arial" w:eastAsia="Arial" w:hAnsi="Arial"/>
                <w:sz w:val="23"/>
                <w:szCs w:val="23"/>
                <w:color w:val="auto"/>
                <w:vertAlign w:val="superscript"/>
              </w:rPr>
              <w:t>(1)</w:t>
            </w:r>
          </w:p>
        </w:tc>
        <w:tc>
          <w:tcPr>
            <w:tcW w:w="3160" w:type="dxa"/>
            <w:vAlign w:val="bottom"/>
          </w:tcPr>
          <w:p>
            <w:pPr>
              <w:jc w:val="right"/>
              <w:spacing w:after="0"/>
              <w:rPr>
                <w:sz w:val="20"/>
                <w:szCs w:val="20"/>
                <w:color w:val="auto"/>
              </w:rPr>
            </w:pPr>
            <w:r>
              <w:rPr>
                <w:rFonts w:ascii="Arial" w:cs="Arial" w:eastAsia="Arial" w:hAnsi="Arial"/>
                <w:sz w:val="18"/>
                <w:szCs w:val="18"/>
                <w:color w:val="auto"/>
              </w:rPr>
              <w:t>$1.26 ± $0.10</w:t>
            </w:r>
          </w:p>
        </w:tc>
        <w:tc>
          <w:tcPr>
            <w:tcW w:w="120" w:type="dxa"/>
            <w:vAlign w:val="bottom"/>
          </w:tcPr>
          <w:p>
            <w:pPr>
              <w:spacing w:after="0"/>
              <w:rPr>
                <w:sz w:val="24"/>
                <w:szCs w:val="24"/>
                <w:color w:val="auto"/>
              </w:rPr>
            </w:pPr>
          </w:p>
        </w:tc>
        <w:tc>
          <w:tcPr>
            <w:tcW w:w="2380" w:type="dxa"/>
            <w:vAlign w:val="bottom"/>
            <w:gridSpan w:val="2"/>
          </w:tcPr>
          <w:p>
            <w:pPr>
              <w:ind w:left="820"/>
              <w:spacing w:after="0"/>
              <w:rPr>
                <w:sz w:val="20"/>
                <w:szCs w:val="20"/>
                <w:color w:val="auto"/>
              </w:rPr>
            </w:pPr>
            <w:r>
              <w:rPr>
                <w:rFonts w:ascii="Arial" w:cs="Arial" w:eastAsia="Arial" w:hAnsi="Arial"/>
                <w:sz w:val="18"/>
                <w:szCs w:val="18"/>
                <w:color w:val="auto"/>
              </w:rPr>
              <w:t>$0.17 A, B, C</w:t>
            </w:r>
          </w:p>
        </w:tc>
        <w:tc>
          <w:tcPr>
            <w:tcW w:w="2240" w:type="dxa"/>
            <w:vAlign w:val="bottom"/>
          </w:tcPr>
          <w:p>
            <w:pPr>
              <w:jc w:val="right"/>
              <w:spacing w:after="0"/>
              <w:rPr>
                <w:sz w:val="20"/>
                <w:szCs w:val="20"/>
                <w:color w:val="auto"/>
              </w:rPr>
            </w:pPr>
            <w:r>
              <w:rPr>
                <w:rFonts w:ascii="Arial" w:cs="Arial" w:eastAsia="Arial" w:hAnsi="Arial"/>
                <w:sz w:val="18"/>
                <w:szCs w:val="18"/>
                <w:color w:val="auto"/>
              </w:rPr>
              <w:t>$1.43 ± $0.10</w:t>
            </w:r>
          </w:p>
        </w:tc>
      </w:tr>
    </w:tbl>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Non-GAAP Adjustments</w:t>
      </w:r>
    </w:p>
    <w:p>
      <w:pPr>
        <w:ind w:left="40"/>
        <w:spacing w:after="0"/>
        <w:rPr>
          <w:sz w:val="20"/>
          <w:szCs w:val="20"/>
          <w:color w:val="auto"/>
        </w:rPr>
      </w:pPr>
      <w:r>
        <w:rPr>
          <w:rFonts w:ascii="Arial" w:cs="Arial" w:eastAsia="Arial" w:hAnsi="Arial"/>
          <w:sz w:val="18"/>
          <w:szCs w:val="18"/>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A</w:t>
            </w:r>
          </w:p>
        </w:tc>
        <w:tc>
          <w:tcPr>
            <w:tcW w:w="8700" w:type="dxa"/>
            <w:vAlign w:val="bottom"/>
            <w:shd w:val="clear" w:color="auto" w:fill="D1D2D4"/>
          </w:tcPr>
          <w:p>
            <w:pPr>
              <w:ind w:left="100"/>
              <w:spacing w:after="0"/>
              <w:rPr>
                <w:sz w:val="20"/>
                <w:szCs w:val="20"/>
                <w:color w:val="auto"/>
              </w:rPr>
            </w:pPr>
            <w:r>
              <w:rPr>
                <w:rFonts w:ascii="Arial" w:cs="Arial" w:eastAsia="Arial" w:hAnsi="Arial"/>
                <w:sz w:val="18"/>
                <w:szCs w:val="18"/>
                <w:color w:val="auto"/>
              </w:rPr>
              <w:t>Stock-based compensation – cost of goods sold</w:t>
            </w:r>
          </w:p>
        </w:tc>
        <w:tc>
          <w:tcPr>
            <w:tcW w:w="1000" w:type="dxa"/>
            <w:vAlign w:val="bottom"/>
            <w:shd w:val="clear" w:color="auto" w:fill="D1D2D4"/>
          </w:tcPr>
          <w:p>
            <w:pPr>
              <w:jc w:val="right"/>
              <w:ind w:right="7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240" w:type="dxa"/>
            <w:vAlign w:val="bottom"/>
          </w:tcPr>
          <w:p>
            <w:pPr>
              <w:ind w:left="20"/>
              <w:spacing w:after="0"/>
              <w:rPr>
                <w:sz w:val="20"/>
                <w:szCs w:val="20"/>
                <w:color w:val="auto"/>
              </w:rPr>
            </w:pPr>
            <w:r>
              <w:rPr>
                <w:rFonts w:ascii="Arial" w:cs="Arial" w:eastAsia="Arial" w:hAnsi="Arial"/>
                <w:sz w:val="18"/>
                <w:szCs w:val="18"/>
                <w:color w:val="auto"/>
              </w:rPr>
              <w:t>B</w:t>
            </w:r>
          </w:p>
        </w:tc>
        <w:tc>
          <w:tcPr>
            <w:tcW w:w="8700" w:type="dxa"/>
            <w:vAlign w:val="bottom"/>
          </w:tcPr>
          <w:p>
            <w:pPr>
              <w:ind w:left="100"/>
              <w:spacing w:after="0"/>
              <w:rPr>
                <w:sz w:val="20"/>
                <w:szCs w:val="20"/>
                <w:color w:val="auto"/>
              </w:rPr>
            </w:pPr>
            <w:r>
              <w:rPr>
                <w:rFonts w:ascii="Arial" w:cs="Arial" w:eastAsia="Arial" w:hAnsi="Arial"/>
                <w:sz w:val="18"/>
                <w:szCs w:val="18"/>
                <w:color w:val="auto"/>
              </w:rPr>
              <w:t>Stock-based compensation – research and development</w:t>
            </w:r>
          </w:p>
        </w:tc>
        <w:tc>
          <w:tcPr>
            <w:tcW w:w="10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29"/>
        </w:trPr>
        <w:tc>
          <w:tcPr>
            <w:tcW w:w="240" w:type="dxa"/>
            <w:vAlign w:val="bottom"/>
            <w:shd w:val="clear" w:color="auto" w:fill="D1D2D4"/>
          </w:tcPr>
          <w:p>
            <w:pPr>
              <w:ind w:left="20"/>
              <w:spacing w:after="0"/>
              <w:rPr>
                <w:sz w:val="20"/>
                <w:szCs w:val="20"/>
                <w:color w:val="auto"/>
              </w:rPr>
            </w:pPr>
            <w:r>
              <w:rPr>
                <w:rFonts w:ascii="Arial" w:cs="Arial" w:eastAsia="Arial" w:hAnsi="Arial"/>
                <w:sz w:val="18"/>
                <w:szCs w:val="18"/>
                <w:color w:val="auto"/>
              </w:rPr>
              <w:t>B</w:t>
            </w:r>
          </w:p>
        </w:tc>
        <w:tc>
          <w:tcPr>
            <w:tcW w:w="8700" w:type="dxa"/>
            <w:vAlign w:val="bottom"/>
            <w:shd w:val="clear" w:color="auto" w:fill="D1D2D4"/>
          </w:tcPr>
          <w:p>
            <w:pPr>
              <w:ind w:left="100"/>
              <w:spacing w:after="0"/>
              <w:rPr>
                <w:sz w:val="20"/>
                <w:szCs w:val="20"/>
                <w:color w:val="auto"/>
              </w:rPr>
            </w:pPr>
            <w:r>
              <w:rPr>
                <w:rFonts w:ascii="Arial" w:cs="Arial" w:eastAsia="Arial" w:hAnsi="Arial"/>
                <w:sz w:val="18"/>
                <w:szCs w:val="18"/>
                <w:color w:val="auto"/>
              </w:rPr>
              <w:t>Stock-based compensation – sales, general, and administrative</w:t>
            </w:r>
          </w:p>
        </w:tc>
        <w:tc>
          <w:tcPr>
            <w:tcW w:w="1000" w:type="dxa"/>
            <w:vAlign w:val="bottom"/>
            <w:shd w:val="clear" w:color="auto" w:fill="D1D2D4"/>
          </w:tcPr>
          <w:p>
            <w:pPr>
              <w:spacing w:after="0"/>
              <w:rPr>
                <w:sz w:val="19"/>
                <w:szCs w:val="19"/>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8"/>
                <w:szCs w:val="18"/>
                <w:color w:val="auto"/>
              </w:rPr>
              <w:t>55</w:t>
            </w:r>
          </w:p>
        </w:tc>
      </w:tr>
      <w:tr>
        <w:trPr>
          <w:trHeight w:val="229"/>
        </w:trPr>
        <w:tc>
          <w:tcPr>
            <w:tcW w:w="240" w:type="dxa"/>
            <w:vAlign w:val="bottom"/>
            <w:tcBorders>
              <w:bottom w:val="single" w:sz="8" w:color="D1D2D4"/>
            </w:tcBorders>
          </w:tcPr>
          <w:p>
            <w:pPr>
              <w:ind w:left="20"/>
              <w:spacing w:after="0"/>
              <w:rPr>
                <w:sz w:val="20"/>
                <w:szCs w:val="20"/>
                <w:color w:val="auto"/>
              </w:rPr>
            </w:pPr>
            <w:r>
              <w:rPr>
                <w:rFonts w:ascii="Arial" w:cs="Arial" w:eastAsia="Arial" w:hAnsi="Arial"/>
                <w:sz w:val="18"/>
                <w:szCs w:val="18"/>
                <w:color w:val="auto"/>
              </w:rPr>
              <w:t>C</w:t>
            </w:r>
          </w:p>
        </w:tc>
        <w:tc>
          <w:tcPr>
            <w:tcW w:w="8700" w:type="dxa"/>
            <w:vAlign w:val="bottom"/>
            <w:tcBorders>
              <w:bottom w:val="single" w:sz="8" w:color="D1D2D4"/>
            </w:tcBorders>
          </w:tcPr>
          <w:p>
            <w:pPr>
              <w:ind w:left="100"/>
              <w:spacing w:after="0"/>
              <w:rPr>
                <w:sz w:val="20"/>
                <w:szCs w:val="20"/>
                <w:color w:val="auto"/>
              </w:rPr>
            </w:pPr>
            <w:r>
              <w:rPr>
                <w:rFonts w:ascii="Arial" w:cs="Arial" w:eastAsia="Arial" w:hAnsi="Arial"/>
                <w:sz w:val="18"/>
                <w:szCs w:val="18"/>
                <w:color w:val="auto"/>
              </w:rPr>
              <w:t>Tax effects of the above items and other tax adjustments</w:t>
            </w:r>
          </w:p>
        </w:tc>
        <w:tc>
          <w:tcPr>
            <w:tcW w:w="10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48"/>
        </w:trPr>
        <w:tc>
          <w:tcPr>
            <w:tcW w:w="240" w:type="dxa"/>
            <w:vAlign w:val="bottom"/>
            <w:tcBorders>
              <w:bottom w:val="single" w:sz="8" w:color="D1D2D4"/>
            </w:tcBorders>
            <w:shd w:val="clear" w:color="auto" w:fill="D1D2D4"/>
          </w:tcPr>
          <w:p>
            <w:pPr>
              <w:spacing w:after="0"/>
              <w:rPr>
                <w:sz w:val="21"/>
                <w:szCs w:val="21"/>
                <w:color w:val="auto"/>
              </w:rPr>
            </w:pPr>
          </w:p>
        </w:tc>
        <w:tc>
          <w:tcPr>
            <w:tcW w:w="8700" w:type="dxa"/>
            <w:vAlign w:val="bottom"/>
            <w:tcBorders>
              <w:bottom w:val="single" w:sz="8" w:color="D1D2D4"/>
            </w:tcBorders>
            <w:shd w:val="clear" w:color="auto" w:fill="D1D2D4"/>
          </w:tcPr>
          <w:p>
            <w:pPr>
              <w:spacing w:after="0"/>
              <w:rPr>
                <w:sz w:val="21"/>
                <w:szCs w:val="21"/>
                <w:color w:val="auto"/>
              </w:rPr>
            </w:pPr>
          </w:p>
        </w:tc>
        <w:tc>
          <w:tcPr>
            <w:tcW w:w="1000" w:type="dxa"/>
            <w:vAlign w:val="bottom"/>
            <w:tcBorders>
              <w:bottom w:val="single" w:sz="8" w:color="auto"/>
            </w:tcBorders>
            <w:shd w:val="clear" w:color="auto" w:fill="D1D2D4"/>
          </w:tcPr>
          <w:p>
            <w:pPr>
              <w:jc w:val="right"/>
              <w:ind w:right="7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8"/>
                <w:szCs w:val="18"/>
                <w:color w:val="auto"/>
              </w:rPr>
              <w:t>194</w:t>
            </w:r>
          </w:p>
        </w:tc>
      </w:tr>
      <w:tr>
        <w:trPr>
          <w:trHeight w:val="20"/>
        </w:trPr>
        <w:tc>
          <w:tcPr>
            <w:tcW w:w="240" w:type="dxa"/>
            <w:vAlign w:val="bottom"/>
            <w:tcBorders>
              <w:top w:val="single" w:sz="8" w:color="D1D2D4"/>
            </w:tcBorders>
          </w:tcPr>
          <w:p>
            <w:pPr>
              <w:spacing w:after="0" w:line="20" w:lineRule="exact"/>
              <w:rPr>
                <w:sz w:val="1"/>
                <w:szCs w:val="1"/>
                <w:color w:val="auto"/>
              </w:rPr>
            </w:pPr>
          </w:p>
        </w:tc>
        <w:tc>
          <w:tcPr>
            <w:tcW w:w="8700" w:type="dxa"/>
            <w:vAlign w:val="bottom"/>
            <w:tcBorders>
              <w:top w:val="single" w:sz="8" w:color="D1D2D4"/>
            </w:tcBorders>
          </w:tcPr>
          <w:p>
            <w:pPr>
              <w:spacing w:after="0" w:line="20" w:lineRule="exact"/>
              <w:rPr>
                <w:sz w:val="1"/>
                <w:szCs w:val="1"/>
                <w:color w:val="auto"/>
              </w:rPr>
            </w:pPr>
          </w:p>
        </w:tc>
        <w:tc>
          <w:tcPr>
            <w:tcW w:w="1000" w:type="dxa"/>
            <w:vAlign w:val="bottom"/>
            <w:tcBorders>
              <w:top w:val="single" w:sz="8" w:color="D1D2D4"/>
              <w:bottom w:val="single" w:sz="8" w:color="auto"/>
            </w:tcBorders>
          </w:tcPr>
          <w:p>
            <w:pPr>
              <w:spacing w:after="0" w:line="20" w:lineRule="exact"/>
              <w:rPr>
                <w:sz w:val="1"/>
                <w:szCs w:val="1"/>
                <w:color w:val="auto"/>
              </w:rPr>
            </w:pPr>
          </w:p>
        </w:tc>
        <w:tc>
          <w:tcPr>
            <w:tcW w:w="1260" w:type="dxa"/>
            <w:vAlign w:val="bottom"/>
            <w:tcBorders>
              <w:top w:val="single" w:sz="8" w:color="D1D2D4"/>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340" w:right="60" w:hanging="332"/>
        <w:spacing w:after="0" w:line="231" w:lineRule="auto"/>
        <w:tabs>
          <w:tab w:leader="none" w:pos="334" w:val="left"/>
        </w:tabs>
        <w:numPr>
          <w:ilvl w:val="0"/>
          <w:numId w:val="6"/>
        </w:numPr>
        <w:rPr>
          <w:rFonts w:ascii="Arial" w:cs="Arial" w:eastAsia="Arial" w:hAnsi="Arial"/>
          <w:sz w:val="23"/>
          <w:szCs w:val="23"/>
          <w:color w:val="auto"/>
          <w:vertAlign w:val="superscript"/>
        </w:rPr>
      </w:pPr>
      <w:r>
        <w:rPr>
          <w:rFonts w:ascii="Arial" w:cs="Arial" w:eastAsia="Arial" w:hAnsi="Arial"/>
          <w:sz w:val="18"/>
          <w:szCs w:val="18"/>
          <w:color w:val="auto"/>
        </w:rPr>
        <w:t>GAAP earnings per share based on approximately 1.12 billion diluted shares and non-GAAP earnings per share based on approximately 1.14 billion diluted shares.</w:t>
      </w:r>
    </w:p>
    <w:p>
      <w:pPr>
        <w:spacing w:after="0" w:line="221"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The tables above reconcile our GAAP to non-GAAP guidance based on the current outlook. The guidance does not incorporate the impact of any potential business combinations, divestitures, additional restructuring activities, balance sheet valuation adjustments, strategic investments, financing transactions, and other significant transactions. The timing and impact of such items are dependent on future events that may be uncertain or outside of our control.</w:t>
      </w:r>
    </w:p>
    <w:p>
      <w:pPr>
        <w:spacing w:after="0" w:line="200" w:lineRule="exact"/>
        <w:rPr>
          <w:sz w:val="20"/>
          <w:szCs w:val="20"/>
          <w:color w:val="auto"/>
        </w:rPr>
      </w:pPr>
    </w:p>
    <w:p>
      <w:pPr>
        <w:spacing w:after="0" w:line="3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2024-12-18T15:06:34Z</dcterms:created>
  <dcterms:modified xsi:type="dcterms:W3CDTF">2024-12-18T15:06:34Z</dcterms:modified>
</cp:coreProperties>
</file>