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w:t>
      </w: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24, 2003</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jc w:val="center"/>
              <w:ind w:left="230"/>
              <w:spacing w:after="0"/>
              <w:rPr>
                <w:sz w:val="20"/>
                <w:szCs w:val="20"/>
                <w:color w:val="auto"/>
              </w:rPr>
            </w:pPr>
            <w:r>
              <w:rPr>
                <w:rFonts w:ascii="Arial" w:cs="Arial" w:eastAsia="Arial" w:hAnsi="Arial"/>
                <w:sz w:val="18"/>
                <w:szCs w:val="18"/>
                <w:b w:val="1"/>
                <w:bCs w:val="1"/>
                <w:color w:val="auto"/>
                <w:w w:val="93"/>
              </w:rPr>
              <w:t>Delaware</w:t>
            </w:r>
          </w:p>
        </w:tc>
        <w:tc>
          <w:tcPr>
            <w:tcW w:w="4260" w:type="dxa"/>
            <w:vAlign w:val="bottom"/>
          </w:tcPr>
          <w:p>
            <w:pPr>
              <w:jc w:val="right"/>
              <w:ind w:right="1570"/>
              <w:spacing w:after="0"/>
              <w:rPr>
                <w:sz w:val="20"/>
                <w:szCs w:val="20"/>
                <w:color w:val="auto"/>
              </w:rPr>
            </w:pPr>
            <w:r>
              <w:rPr>
                <w:rFonts w:ascii="Arial" w:cs="Arial" w:eastAsia="Arial" w:hAnsi="Arial"/>
                <w:sz w:val="18"/>
                <w:szCs w:val="18"/>
                <w:b w:val="1"/>
                <w:bCs w:val="1"/>
                <w:color w:val="auto"/>
              </w:rPr>
              <w:t>001-10658</w:t>
            </w:r>
          </w:p>
        </w:tc>
        <w:tc>
          <w:tcPr>
            <w:tcW w:w="3460" w:type="dxa"/>
            <w:vAlign w:val="bottom"/>
          </w:tcPr>
          <w:p>
            <w:pPr>
              <w:jc w:val="right"/>
              <w:ind w:right="1290"/>
              <w:spacing w:after="0"/>
              <w:rPr>
                <w:sz w:val="20"/>
                <w:szCs w:val="20"/>
                <w:color w:val="auto"/>
              </w:rPr>
            </w:pPr>
            <w:r>
              <w:rPr>
                <w:rFonts w:ascii="Arial" w:cs="Arial" w:eastAsia="Arial" w:hAnsi="Arial"/>
                <w:sz w:val="18"/>
                <w:szCs w:val="18"/>
                <w:b w:val="1"/>
                <w:bCs w:val="1"/>
                <w:color w:val="auto"/>
              </w:rPr>
              <w:t>75-1618004</w:t>
            </w:r>
          </w:p>
        </w:tc>
        <w:tc>
          <w:tcPr>
            <w:tcW w:w="20" w:type="dxa"/>
            <w:vAlign w:val="bottom"/>
          </w:tcPr>
          <w:p>
            <w:pPr>
              <w:spacing w:after="0"/>
              <w:rPr>
                <w:sz w:val="19"/>
                <w:szCs w:val="19"/>
                <w:color w:val="auto"/>
              </w:rPr>
            </w:pPr>
          </w:p>
        </w:tc>
      </w:tr>
      <w:tr>
        <w:trPr>
          <w:trHeight w:val="230"/>
        </w:trPr>
        <w:tc>
          <w:tcPr>
            <w:tcW w:w="3700" w:type="dxa"/>
            <w:vAlign w:val="bottom"/>
          </w:tcPr>
          <w:p>
            <w:pPr>
              <w:jc w:val="center"/>
              <w:ind w:left="210"/>
              <w:spacing w:after="0"/>
              <w:rPr>
                <w:sz w:val="20"/>
                <w:szCs w:val="20"/>
                <w:color w:val="auto"/>
              </w:rPr>
            </w:pPr>
            <w:r>
              <w:rPr>
                <w:rFonts w:ascii="Arial" w:cs="Arial" w:eastAsia="Arial" w:hAnsi="Arial"/>
                <w:sz w:val="18"/>
                <w:szCs w:val="18"/>
                <w:color w:val="auto"/>
                <w:w w:val="92"/>
              </w:rPr>
              <w:t>(State or other jurisdiction of incorporation)</w:t>
            </w:r>
          </w:p>
        </w:tc>
        <w:tc>
          <w:tcPr>
            <w:tcW w:w="4260" w:type="dxa"/>
            <w:vAlign w:val="bottom"/>
          </w:tcPr>
          <w:p>
            <w:pPr>
              <w:jc w:val="center"/>
              <w:ind w:left="70"/>
              <w:spacing w:after="0"/>
              <w:rPr>
                <w:sz w:val="20"/>
                <w:szCs w:val="20"/>
                <w:color w:val="auto"/>
              </w:rPr>
            </w:pPr>
            <w:r>
              <w:rPr>
                <w:rFonts w:ascii="Arial" w:cs="Arial" w:eastAsia="Arial" w:hAnsi="Arial"/>
                <w:sz w:val="18"/>
                <w:szCs w:val="18"/>
                <w:color w:val="auto"/>
                <w:w w:val="92"/>
              </w:rPr>
              <w:t>(Commission File Number)</w:t>
            </w:r>
          </w:p>
        </w:tc>
        <w:tc>
          <w:tcPr>
            <w:tcW w:w="3460" w:type="dxa"/>
            <w:vAlign w:val="bottom"/>
          </w:tcPr>
          <w:p>
            <w:pPr>
              <w:jc w:val="center"/>
              <w:ind w:right="70"/>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20"/>
                <w:szCs w:val="20"/>
                <w:color w:val="auto"/>
              </w:rPr>
            </w:pPr>
          </w:p>
        </w:tc>
      </w:tr>
      <w:tr>
        <w:trPr>
          <w:trHeight w:val="414"/>
        </w:trPr>
        <w:tc>
          <w:tcPr>
            <w:tcW w:w="3700" w:type="dxa"/>
            <w:vAlign w:val="bottom"/>
          </w:tcPr>
          <w:p>
            <w:pPr>
              <w:spacing w:after="0"/>
              <w:rPr>
                <w:sz w:val="24"/>
                <w:szCs w:val="24"/>
                <w:color w:val="auto"/>
              </w:rPr>
            </w:pPr>
          </w:p>
        </w:tc>
        <w:tc>
          <w:tcPr>
            <w:tcW w:w="4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8000 South Federal Way</w:t>
            </w: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3700" w:type="dxa"/>
            <w:vAlign w:val="bottom"/>
          </w:tcPr>
          <w:p>
            <w:pPr>
              <w:spacing w:after="0"/>
              <w:rPr>
                <w:sz w:val="19"/>
                <w:szCs w:val="19"/>
                <w:color w:val="auto"/>
              </w:rPr>
            </w:pPr>
          </w:p>
        </w:tc>
        <w:tc>
          <w:tcPr>
            <w:tcW w:w="42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Boise, Idaho 83707-006</w:t>
            </w:r>
          </w:p>
        </w:tc>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p>
        </w:tc>
        <w:tc>
          <w:tcPr>
            <w:tcW w:w="4260" w:type="dxa"/>
            <w:vAlign w:val="bottom"/>
          </w:tcPr>
          <w:p>
            <w:pPr>
              <w:jc w:val="center"/>
              <w:ind w:right="150"/>
              <w:spacing w:after="0"/>
              <w:rPr>
                <w:sz w:val="20"/>
                <w:szCs w:val="20"/>
                <w:color w:val="auto"/>
              </w:rPr>
            </w:pPr>
            <w:r>
              <w:rPr>
                <w:rFonts w:ascii="Arial" w:cs="Arial" w:eastAsia="Arial" w:hAnsi="Arial"/>
                <w:sz w:val="18"/>
                <w:szCs w:val="18"/>
                <w:color w:val="auto"/>
                <w:w w:val="92"/>
              </w:rPr>
              <w:t>(Address of principal executive offices)</w:t>
            </w:r>
          </w:p>
        </w:tc>
        <w:tc>
          <w:tcPr>
            <w:tcW w:w="3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3700" w:type="dxa"/>
            <w:vAlign w:val="bottom"/>
          </w:tcPr>
          <w:p>
            <w:pPr>
              <w:spacing w:after="0"/>
              <w:rPr>
                <w:sz w:val="24"/>
                <w:szCs w:val="24"/>
                <w:color w:val="auto"/>
              </w:rPr>
            </w:pPr>
          </w:p>
        </w:tc>
        <w:tc>
          <w:tcPr>
            <w:tcW w:w="4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(208) 368-4000</w:t>
            </w: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700" w:type="dxa"/>
            <w:vAlign w:val="bottom"/>
          </w:tcPr>
          <w:p>
            <w:pPr>
              <w:spacing w:after="0"/>
              <w:rPr>
                <w:sz w:val="20"/>
                <w:szCs w:val="20"/>
                <w:color w:val="auto"/>
              </w:rPr>
            </w:pPr>
          </w:p>
        </w:tc>
        <w:tc>
          <w:tcPr>
            <w:tcW w:w="4260" w:type="dxa"/>
            <w:vAlign w:val="bottom"/>
          </w:tcPr>
          <w:p>
            <w:pPr>
              <w:jc w:val="center"/>
              <w:ind w:right="150"/>
              <w:spacing w:after="0"/>
              <w:rPr>
                <w:sz w:val="20"/>
                <w:szCs w:val="20"/>
                <w:color w:val="auto"/>
              </w:rPr>
            </w:pPr>
            <w:r>
              <w:rPr>
                <w:rFonts w:ascii="Arial" w:cs="Arial" w:eastAsia="Arial" w:hAnsi="Arial"/>
                <w:sz w:val="18"/>
                <w:szCs w:val="18"/>
                <w:color w:val="auto"/>
                <w:w w:val="90"/>
              </w:rPr>
              <w:t>(Registrant’s telephone number, including area code)</w:t>
            </w:r>
          </w:p>
        </w:tc>
        <w:tc>
          <w:tcPr>
            <w:tcW w:w="3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370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88"/>
        </w:trPr>
        <w:tc>
          <w:tcPr>
            <w:tcW w:w="3700" w:type="dxa"/>
            <w:vAlign w:val="bottom"/>
            <w:tcBorders>
              <w:bottom w:val="single" w:sz="8" w:color="auto"/>
            </w:tcBorders>
          </w:tcPr>
          <w:p>
            <w:pPr>
              <w:spacing w:after="0"/>
              <w:rPr>
                <w:sz w:val="7"/>
                <w:szCs w:val="7"/>
                <w:color w:val="auto"/>
              </w:rPr>
            </w:pPr>
          </w:p>
        </w:tc>
        <w:tc>
          <w:tcPr>
            <w:tcW w:w="4260" w:type="dxa"/>
            <w:vAlign w:val="bottom"/>
            <w:tcBorders>
              <w:bottom w:val="single" w:sz="8" w:color="auto"/>
            </w:tcBorders>
          </w:tcPr>
          <w:p>
            <w:pPr>
              <w:spacing w:after="0"/>
              <w:rPr>
                <w:sz w:val="7"/>
                <w:szCs w:val="7"/>
                <w:color w:val="auto"/>
              </w:rPr>
            </w:pPr>
          </w:p>
        </w:tc>
        <w:tc>
          <w:tcPr>
            <w:tcW w:w="3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21"/>
        </w:trPr>
        <w:tc>
          <w:tcPr>
            <w:tcW w:w="370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jc w:val="both"/>
        <w:ind w:right="180" w:firstLine="1297"/>
        <w:spacing w:after="0" w:line="279" w:lineRule="auto"/>
        <w:rPr>
          <w:sz w:val="20"/>
          <w:szCs w:val="20"/>
          <w:color w:val="auto"/>
        </w:rPr>
      </w:pPr>
      <w:r>
        <w:rPr>
          <w:rFonts w:ascii="Arial" w:cs="Arial" w:eastAsia="Arial" w:hAnsi="Arial"/>
          <w:sz w:val="17"/>
          <w:szCs w:val="17"/>
          <w:color w:val="auto"/>
        </w:rPr>
        <w:t>On September 24, 2003, Micron Technology, Inc. (the “Company”) entered into a business agreement with Intel Corporation, a Delaware corporation (“Intel”) whereby Intel Capital Corporation, a subsidiary of Intel (“Intel Capital”) purchased from the Company $450,000,000 of rights that are exercisable for shares of common stock, $0.10 par value, of the Company (the “Rights”) at a purchase price per Right of $13.29, and Intel and the Company entered into certain business arrangements with respect to certain of the Company’s products.</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Item 7.</w:t>
            </w:r>
          </w:p>
        </w:tc>
        <w:tc>
          <w:tcPr>
            <w:tcW w:w="10260" w:type="dxa"/>
            <w:vAlign w:val="bottom"/>
            <w:gridSpan w:val="2"/>
          </w:tcPr>
          <w:p>
            <w:pPr>
              <w:ind w:left="4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60" w:type="dxa"/>
            <w:vAlign w:val="bottom"/>
          </w:tcPr>
          <w:p>
            <w:pPr>
              <w:spacing w:after="0"/>
              <w:rPr>
                <w:sz w:val="24"/>
                <w:szCs w:val="24"/>
                <w:color w:val="auto"/>
              </w:rPr>
            </w:pPr>
          </w:p>
        </w:tc>
        <w:tc>
          <w:tcPr>
            <w:tcW w:w="10260" w:type="dxa"/>
            <w:vAlign w:val="bottom"/>
            <w:gridSpan w:val="2"/>
          </w:tcPr>
          <w:p>
            <w:pPr>
              <w:ind w:left="440"/>
              <w:spacing w:after="0"/>
              <w:rPr>
                <w:sz w:val="20"/>
                <w:szCs w:val="20"/>
                <w:color w:val="auto"/>
              </w:rPr>
            </w:pPr>
            <w:r>
              <w:rPr>
                <w:rFonts w:ascii="Arial" w:cs="Arial" w:eastAsia="Arial" w:hAnsi="Arial"/>
                <w:sz w:val="18"/>
                <w:szCs w:val="18"/>
                <w:color w:val="auto"/>
              </w:rPr>
              <w:t>(c) Exhibits.</w:t>
            </w:r>
          </w:p>
        </w:tc>
      </w:tr>
      <w:tr>
        <w:trPr>
          <w:trHeight w:val="432"/>
        </w:trPr>
        <w:tc>
          <w:tcPr>
            <w:tcW w:w="1160" w:type="dxa"/>
            <w:vAlign w:val="bottom"/>
          </w:tcPr>
          <w:p>
            <w:pPr>
              <w:spacing w:after="0"/>
              <w:rPr>
                <w:sz w:val="24"/>
                <w:szCs w:val="24"/>
                <w:color w:val="auto"/>
              </w:rPr>
            </w:pPr>
          </w:p>
        </w:tc>
        <w:tc>
          <w:tcPr>
            <w:tcW w:w="10260" w:type="dxa"/>
            <w:vAlign w:val="bottom"/>
            <w:gridSpan w:val="2"/>
          </w:tcPr>
          <w:p>
            <w:pPr>
              <w:ind w:left="440"/>
              <w:spacing w:after="0"/>
              <w:rPr>
                <w:sz w:val="20"/>
                <w:szCs w:val="20"/>
                <w:color w:val="auto"/>
              </w:rPr>
            </w:pPr>
            <w:r>
              <w:rPr>
                <w:rFonts w:ascii="Arial" w:cs="Arial" w:eastAsia="Arial" w:hAnsi="Arial"/>
                <w:sz w:val="18"/>
                <w:szCs w:val="18"/>
                <w:color w:val="auto"/>
              </w:rPr>
              <w:t>The following exhibits are filed herewith:</w:t>
            </w:r>
          </w:p>
        </w:tc>
      </w:tr>
      <w:tr>
        <w:trPr>
          <w:trHeight w:val="365"/>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24"/>
                <w:szCs w:val="24"/>
                <w:color w:val="auto"/>
              </w:rPr>
            </w:pPr>
          </w:p>
        </w:tc>
        <w:tc>
          <w:tcPr>
            <w:tcW w:w="976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160" w:type="dxa"/>
            <w:vAlign w:val="bottom"/>
          </w:tcPr>
          <w:p>
            <w:pPr>
              <w:ind w:left="20"/>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Securities Purchase Agreement, dated September 24, 2003, between the Company and Intel Capital.</w:t>
            </w:r>
          </w:p>
        </w:tc>
      </w:tr>
      <w:tr>
        <w:trPr>
          <w:trHeight w:val="216"/>
        </w:trPr>
        <w:tc>
          <w:tcPr>
            <w:tcW w:w="1160" w:type="dxa"/>
            <w:vAlign w:val="bottom"/>
          </w:tcPr>
          <w:p>
            <w:pPr>
              <w:ind w:left="20"/>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Stock Rights Agreement, dated September 24, 2003, between the Company and Intel Capital.</w:t>
            </w:r>
          </w:p>
        </w:tc>
      </w:tr>
      <w:tr>
        <w:trPr>
          <w:trHeight w:val="216"/>
        </w:trPr>
        <w:tc>
          <w:tcPr>
            <w:tcW w:w="1160" w:type="dxa"/>
            <w:vAlign w:val="bottom"/>
          </w:tcPr>
          <w:p>
            <w:pPr>
              <w:ind w:left="20"/>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Business Agreement, dated September 24, 2003, between the Company and Intel. *</w:t>
            </w: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10.2</w:t>
            </w:r>
          </w:p>
        </w:tc>
        <w:tc>
          <w:tcPr>
            <w:tcW w:w="50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Securities Rights and Restrictions Agreement, dated September 24, 2003, between the Company and Intel Capital.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4"/>
          <w:szCs w:val="24"/>
          <w:color w:val="auto"/>
        </w:rPr>
      </w:pPr>
    </w:p>
    <w:p>
      <w:pPr>
        <w:ind w:left="5660" w:right="2820" w:hanging="5652"/>
        <w:spacing w:after="0" w:line="528" w:lineRule="auto"/>
        <w:tabs>
          <w:tab w:leader="none" w:pos="179" w:val="left"/>
        </w:tabs>
        <w:numPr>
          <w:ilvl w:val="0"/>
          <w:numId w:val="1"/>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filed with the Commission.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000" w:type="dxa"/>
            <w:vAlign w:val="bottom"/>
            <w:gridSpan w:val="2"/>
          </w:tcPr>
          <w:p>
            <w:pPr>
              <w:ind w:left="2920"/>
              <w:spacing w:after="0"/>
              <w:rPr>
                <w:sz w:val="20"/>
                <w:szCs w:val="20"/>
                <w:color w:val="auto"/>
              </w:rPr>
            </w:pPr>
            <w:r>
              <w:rPr>
                <w:rFonts w:ascii="Arial" w:cs="Arial" w:eastAsia="Arial" w:hAnsi="Arial"/>
                <w:sz w:val="18"/>
                <w:szCs w:val="18"/>
                <w:b w:val="1"/>
                <w:bCs w:val="1"/>
                <w:color w:val="auto"/>
              </w:rPr>
              <w:t>MICRON TECHNOLOGY, INC.</w:t>
            </w:r>
          </w:p>
        </w:tc>
        <w:tc>
          <w:tcPr>
            <w:tcW w:w="560" w:type="dxa"/>
            <w:vAlign w:val="bottom"/>
          </w:tcPr>
          <w:p>
            <w:pPr>
              <w:spacing w:after="0"/>
              <w:rPr>
                <w:sz w:val="20"/>
                <w:szCs w:val="20"/>
                <w:color w:val="auto"/>
              </w:rPr>
            </w:pPr>
          </w:p>
        </w:tc>
      </w:tr>
      <w:tr>
        <w:trPr>
          <w:trHeight w:val="648"/>
        </w:trPr>
        <w:tc>
          <w:tcPr>
            <w:tcW w:w="3880" w:type="dxa"/>
            <w:vAlign w:val="bottom"/>
          </w:tcPr>
          <w:p>
            <w:pPr>
              <w:ind w:left="20"/>
              <w:spacing w:after="0"/>
              <w:rPr>
                <w:sz w:val="20"/>
                <w:szCs w:val="20"/>
                <w:color w:val="auto"/>
              </w:rPr>
            </w:pPr>
            <w:r>
              <w:rPr>
                <w:rFonts w:ascii="Arial" w:cs="Arial" w:eastAsia="Arial" w:hAnsi="Arial"/>
                <w:sz w:val="18"/>
                <w:szCs w:val="18"/>
                <w:color w:val="auto"/>
              </w:rPr>
              <w:t>Date:   September 29, 2003</w:t>
            </w:r>
          </w:p>
        </w:tc>
        <w:tc>
          <w:tcPr>
            <w:tcW w:w="3660" w:type="dxa"/>
            <w:vAlign w:val="bottom"/>
          </w:tcPr>
          <w:p>
            <w:pPr>
              <w:ind w:left="2920"/>
              <w:spacing w:after="0"/>
              <w:rPr>
                <w:sz w:val="20"/>
                <w:szCs w:val="20"/>
                <w:color w:val="auto"/>
              </w:rPr>
            </w:pPr>
            <w:r>
              <w:rPr>
                <w:rFonts w:ascii="Arial" w:cs="Arial" w:eastAsia="Arial" w:hAnsi="Arial"/>
                <w:sz w:val="18"/>
                <w:szCs w:val="18"/>
                <w:color w:val="auto"/>
              </w:rPr>
              <w:t>By:</w:t>
            </w:r>
          </w:p>
        </w:tc>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W.G. Stover, Jr.</w:t>
            </w:r>
          </w:p>
        </w:tc>
        <w:tc>
          <w:tcPr>
            <w:tcW w:w="560" w:type="dxa"/>
            <w:vAlign w:val="bottom"/>
          </w:tcPr>
          <w:p>
            <w:pPr>
              <w:spacing w:after="0"/>
              <w:rPr>
                <w:sz w:val="24"/>
                <w:szCs w:val="24"/>
                <w:color w:val="auto"/>
              </w:rPr>
            </w:pPr>
          </w:p>
        </w:tc>
      </w:tr>
      <w:tr>
        <w:trPr>
          <w:trHeight w:val="195"/>
        </w:trPr>
        <w:tc>
          <w:tcPr>
            <w:tcW w:w="3880" w:type="dxa"/>
            <w:vAlign w:val="bottom"/>
          </w:tcPr>
          <w:p>
            <w:pPr>
              <w:spacing w:after="0"/>
              <w:rPr>
                <w:sz w:val="16"/>
                <w:szCs w:val="16"/>
                <w:color w:val="auto"/>
              </w:rPr>
            </w:pPr>
          </w:p>
        </w:tc>
        <w:tc>
          <w:tcPr>
            <w:tcW w:w="3660" w:type="dxa"/>
            <w:vAlign w:val="bottom"/>
          </w:tcPr>
          <w:p>
            <w:pPr>
              <w:ind w:left="2920"/>
              <w:spacing w:after="0" w:line="195" w:lineRule="exact"/>
              <w:rPr>
                <w:sz w:val="20"/>
                <w:szCs w:val="20"/>
                <w:color w:val="auto"/>
              </w:rPr>
            </w:pPr>
            <w:r>
              <w:rPr>
                <w:rFonts w:ascii="Arial" w:cs="Arial" w:eastAsia="Arial" w:hAnsi="Arial"/>
                <w:sz w:val="18"/>
                <w:szCs w:val="18"/>
                <w:color w:val="auto"/>
              </w:rPr>
              <w:t>Name:</w:t>
            </w:r>
          </w:p>
        </w:tc>
        <w:tc>
          <w:tcPr>
            <w:tcW w:w="3340" w:type="dxa"/>
            <w:vAlign w:val="bottom"/>
          </w:tcPr>
          <w:p>
            <w:pPr>
              <w:ind w:left="20"/>
              <w:spacing w:after="0" w:line="195" w:lineRule="exact"/>
              <w:rPr>
                <w:sz w:val="20"/>
                <w:szCs w:val="20"/>
                <w:color w:val="auto"/>
              </w:rPr>
            </w:pPr>
            <w:r>
              <w:rPr>
                <w:rFonts w:ascii="Arial" w:cs="Arial" w:eastAsia="Arial" w:hAnsi="Arial"/>
                <w:sz w:val="18"/>
                <w:szCs w:val="18"/>
                <w:color w:val="auto"/>
              </w:rPr>
              <w:t>W.G. Stover, Jr.</w:t>
            </w:r>
          </w:p>
        </w:tc>
        <w:tc>
          <w:tcPr>
            <w:tcW w:w="560" w:type="dxa"/>
            <w:vAlign w:val="bottom"/>
          </w:tcPr>
          <w:p>
            <w:pPr>
              <w:spacing w:after="0"/>
              <w:rPr>
                <w:sz w:val="16"/>
                <w:szCs w:val="16"/>
                <w:color w:val="auto"/>
              </w:rPr>
            </w:pPr>
          </w:p>
        </w:tc>
      </w:tr>
      <w:tr>
        <w:trPr>
          <w:trHeight w:val="216"/>
        </w:trPr>
        <w:tc>
          <w:tcPr>
            <w:tcW w:w="3880" w:type="dxa"/>
            <w:vAlign w:val="bottom"/>
          </w:tcPr>
          <w:p>
            <w:pPr>
              <w:spacing w:after="0"/>
              <w:rPr>
                <w:sz w:val="18"/>
                <w:szCs w:val="18"/>
                <w:color w:val="auto"/>
              </w:rPr>
            </w:pPr>
          </w:p>
        </w:tc>
        <w:tc>
          <w:tcPr>
            <w:tcW w:w="3660" w:type="dxa"/>
            <w:vAlign w:val="bottom"/>
          </w:tcPr>
          <w:p>
            <w:pPr>
              <w:ind w:left="2920"/>
              <w:spacing w:after="0"/>
              <w:rPr>
                <w:sz w:val="20"/>
                <w:szCs w:val="20"/>
                <w:color w:val="auto"/>
              </w:rPr>
            </w:pPr>
            <w:r>
              <w:rPr>
                <w:rFonts w:ascii="Arial" w:cs="Arial" w:eastAsia="Arial" w:hAnsi="Arial"/>
                <w:sz w:val="18"/>
                <w:szCs w:val="18"/>
                <w:color w:val="auto"/>
              </w:rPr>
              <w:t>Title:</w:t>
            </w:r>
          </w:p>
        </w:tc>
        <w:tc>
          <w:tcPr>
            <w:tcW w:w="3340" w:type="dxa"/>
            <w:vAlign w:val="bottom"/>
          </w:tcPr>
          <w:p>
            <w:pPr>
              <w:ind w:left="20"/>
              <w:spacing w:after="0"/>
              <w:rPr>
                <w:sz w:val="20"/>
                <w:szCs w:val="20"/>
                <w:color w:val="auto"/>
              </w:rPr>
            </w:pPr>
            <w:r>
              <w:rPr>
                <w:rFonts w:ascii="Arial" w:cs="Arial" w:eastAsia="Arial" w:hAnsi="Arial"/>
                <w:sz w:val="18"/>
                <w:szCs w:val="18"/>
                <w:color w:val="auto"/>
              </w:rPr>
              <w:t>Vice President of Finance and</w:t>
            </w:r>
          </w:p>
        </w:tc>
        <w:tc>
          <w:tcPr>
            <w:tcW w:w="560" w:type="dxa"/>
            <w:vAlign w:val="bottom"/>
          </w:tcPr>
          <w:p>
            <w:pPr>
              <w:spacing w:after="0"/>
              <w:rPr>
                <w:sz w:val="18"/>
                <w:szCs w:val="18"/>
                <w:color w:val="auto"/>
              </w:rPr>
            </w:pPr>
          </w:p>
        </w:tc>
      </w:tr>
      <w:tr>
        <w:trPr>
          <w:trHeight w:val="230"/>
        </w:trPr>
        <w:tc>
          <w:tcPr>
            <w:tcW w:w="38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560" w:type="dxa"/>
            <w:vAlign w:val="bottom"/>
          </w:tcPr>
          <w:p>
            <w:pPr>
              <w:spacing w:after="0"/>
              <w:rPr>
                <w:sz w:val="20"/>
                <w:szCs w:val="20"/>
                <w:color w:val="auto"/>
              </w:rPr>
            </w:pPr>
          </w:p>
        </w:tc>
      </w:tr>
      <w:tr>
        <w:trPr>
          <w:trHeight w:val="432"/>
        </w:trPr>
        <w:tc>
          <w:tcPr>
            <w:tcW w:w="3880" w:type="dxa"/>
            <w:vAlign w:val="bottom"/>
          </w:tcPr>
          <w:p>
            <w:pPr>
              <w:spacing w:after="0"/>
              <w:rPr>
                <w:sz w:val="24"/>
                <w:szCs w:val="24"/>
                <w:color w:val="auto"/>
              </w:rPr>
            </w:pPr>
          </w:p>
        </w:tc>
        <w:tc>
          <w:tcPr>
            <w:tcW w:w="3660" w:type="dxa"/>
            <w:vAlign w:val="bottom"/>
          </w:tcPr>
          <w:p>
            <w:pPr>
              <w:ind w:left="1780"/>
              <w:spacing w:after="0"/>
              <w:rPr>
                <w:sz w:val="20"/>
                <w:szCs w:val="20"/>
                <w:color w:val="auto"/>
              </w:rPr>
            </w:pPr>
            <w:r>
              <w:rPr>
                <w:rFonts w:ascii="Arial" w:cs="Arial" w:eastAsia="Arial" w:hAnsi="Arial"/>
                <w:sz w:val="18"/>
                <w:szCs w:val="18"/>
                <w:color w:val="auto"/>
              </w:rPr>
              <w:t>3</w:t>
            </w:r>
          </w:p>
        </w:tc>
        <w:tc>
          <w:tcPr>
            <w:tcW w:w="3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4"/>
        </w:trPr>
        <w:tc>
          <w:tcPr>
            <w:tcW w:w="3880" w:type="dxa"/>
            <w:vAlign w:val="bottom"/>
            <w:tcBorders>
              <w:bottom w:val="single" w:sz="8" w:color="808080"/>
            </w:tcBorders>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33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585" w:right="21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80" w:type="dxa"/>
            <w:vAlign w:val="bottom"/>
          </w:tcPr>
          <w:p>
            <w:pPr>
              <w:ind w:left="2900"/>
              <w:spacing w:after="0"/>
              <w:rPr>
                <w:sz w:val="20"/>
                <w:szCs w:val="20"/>
                <w:color w:val="auto"/>
              </w:rPr>
            </w:pPr>
            <w:r>
              <w:rPr>
                <w:rFonts w:ascii="Arial" w:cs="Arial" w:eastAsia="Arial" w:hAnsi="Arial"/>
                <w:sz w:val="18"/>
                <w:szCs w:val="18"/>
                <w:b w:val="1"/>
                <w:bCs w:val="1"/>
                <w:color w:val="auto"/>
              </w:rPr>
              <w:t>INDEX TO EXHIBITS FILED WITH</w:t>
            </w:r>
          </w:p>
        </w:tc>
      </w:tr>
      <w:tr>
        <w:trPr>
          <w:trHeight w:val="234"/>
        </w:trPr>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80" w:type="dxa"/>
            <w:vAlign w:val="bottom"/>
          </w:tcPr>
          <w:p>
            <w:pPr>
              <w:ind w:left="1600"/>
              <w:spacing w:after="0"/>
              <w:rPr>
                <w:sz w:val="20"/>
                <w:szCs w:val="20"/>
                <w:color w:val="auto"/>
              </w:rPr>
            </w:pPr>
            <w:r>
              <w:rPr>
                <w:rFonts w:ascii="Arial" w:cs="Arial" w:eastAsia="Arial" w:hAnsi="Arial"/>
                <w:sz w:val="18"/>
                <w:szCs w:val="18"/>
                <w:b w:val="1"/>
                <w:bCs w:val="1"/>
                <w:color w:val="auto"/>
              </w:rPr>
              <w:t>THE CURRENT REPORT ON FORM 8-K DATED September 24, 2003</w:t>
            </w:r>
          </w:p>
        </w:tc>
      </w:tr>
      <w:tr>
        <w:trPr>
          <w:trHeight w:val="581"/>
        </w:trPr>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0080" w:type="dxa"/>
            <w:vAlign w:val="bottom"/>
          </w:tcPr>
          <w:p>
            <w:pPr>
              <w:ind w:left="468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10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Securities Purchase Agreement, dated September 24, 2003, between the Company and Intel Capital.</w:t>
            </w:r>
          </w:p>
        </w:tc>
      </w:tr>
      <w:tr>
        <w:trPr>
          <w:trHeight w:val="216"/>
        </w:trPr>
        <w:tc>
          <w:tcPr>
            <w:tcW w:w="1040" w:type="dxa"/>
            <w:vAlign w:val="bottom"/>
          </w:tcPr>
          <w:p>
            <w:pPr>
              <w:ind w:left="2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Stock Rights Agreement, dated September 24, 2003, between the Company and Intel Capital.</w:t>
            </w:r>
          </w:p>
        </w:tc>
      </w:tr>
      <w:tr>
        <w:trPr>
          <w:trHeight w:val="216"/>
        </w:trPr>
        <w:tc>
          <w:tcPr>
            <w:tcW w:w="1040" w:type="dxa"/>
            <w:vAlign w:val="bottom"/>
          </w:tcPr>
          <w:p>
            <w:pPr>
              <w:ind w:left="2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Business Agreement, dated September 24, 2003, between the Company and Intel.*</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Securities Rights and Restrictions Agreement, dated September 24, 2003, between the Company and Intel Capital.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 Portions of this exhibit have been omitted pursuant to a request for confidential treatment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 CAPITAL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24,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512445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9" w:lineRule="exact"/>
        <w:rPr>
          <w:sz w:val="20"/>
          <w:szCs w:val="20"/>
          <w:color w:val="auto"/>
        </w:rPr>
      </w:pPr>
    </w:p>
    <w:p>
      <w:pPr>
        <w:ind w:left="740" w:hanging="732"/>
        <w:spacing w:after="0"/>
        <w:tabs>
          <w:tab w:leader="none" w:pos="74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DEFINITIONS</w:t>
        </w:r>
      </w:hyperlink>
    </w:p>
    <w:p>
      <w:pPr>
        <w:spacing w:after="0" w:line="23" w:lineRule="exact"/>
        <w:rPr>
          <w:rFonts w:ascii="Arial" w:cs="Arial" w:eastAsia="Arial" w:hAnsi="Arial"/>
          <w:sz w:val="18"/>
          <w:szCs w:val="18"/>
          <w:u w:val="single" w:color="auto"/>
          <w:color w:val="0000EE"/>
        </w:rPr>
      </w:pPr>
    </w:p>
    <w:p>
      <w:pPr>
        <w:ind w:left="740"/>
        <w:spacing w:after="0"/>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1.1</w:t>
        </w:r>
      </w:hyperlink>
      <w:hyperlink w:anchor="page4">
        <w:r>
          <w:rPr>
            <w:rFonts w:ascii="Arial" w:cs="Arial" w:eastAsia="Arial" w:hAnsi="Arial"/>
            <w:sz w:val="16"/>
            <w:szCs w:val="16"/>
            <w:u w:val="single" w:color="auto"/>
            <w:color w:val="0000EE"/>
          </w:rPr>
          <w:t>Certain Defined Terms; Interpretation</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1.2</w:t>
        </w:r>
      </w:hyperlink>
      <w:hyperlink w:anchor="page5">
        <w:r>
          <w:rPr>
            <w:rFonts w:ascii="Arial" w:cs="Arial" w:eastAsia="Arial" w:hAnsi="Arial"/>
            <w:sz w:val="16"/>
            <w:szCs w:val="16"/>
            <w:u w:val="single" w:color="auto"/>
            <w:color w:val="0000EE"/>
          </w:rPr>
          <w:t>Index of Other Defined Terms</w:t>
        </w:r>
      </w:hyperlink>
    </w:p>
    <w:p>
      <w:pPr>
        <w:spacing w:after="0" w:line="210" w:lineRule="exact"/>
        <w:rPr>
          <w:rFonts w:ascii="Arial" w:cs="Arial" w:eastAsia="Arial" w:hAnsi="Arial"/>
          <w:sz w:val="16"/>
          <w:szCs w:val="16"/>
          <w:u w:val="single" w:color="auto"/>
          <w:color w:val="0000EE"/>
        </w:rPr>
      </w:pPr>
    </w:p>
    <w:p>
      <w:pPr>
        <w:ind w:left="740" w:hanging="732"/>
        <w:spacing w:after="0"/>
        <w:tabs>
          <w:tab w:leader="none" w:pos="740" w:val="left"/>
        </w:tabs>
        <w:numPr>
          <w:ilvl w:val="0"/>
          <w:numId w:val="2"/>
        </w:numPr>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AGREEMENT TO PURCHASE AND SELL SECURITIES</w:t>
        </w:r>
      </w:hyperlink>
    </w:p>
    <w:p>
      <w:pPr>
        <w:spacing w:after="0" w:line="23" w:lineRule="exact"/>
        <w:rPr>
          <w:rFonts w:ascii="Arial" w:cs="Arial" w:eastAsia="Arial" w:hAnsi="Arial"/>
          <w:sz w:val="18"/>
          <w:szCs w:val="18"/>
          <w:u w:val="single" w:color="auto"/>
          <w:color w:val="0000EE"/>
        </w:rPr>
      </w:pPr>
    </w:p>
    <w:p>
      <w:pPr>
        <w:ind w:left="740"/>
        <w:spacing w:after="0"/>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2.1</w:t>
        </w:r>
      </w:hyperlink>
      <w:hyperlink w:anchor="page5">
        <w:r>
          <w:rPr>
            <w:rFonts w:ascii="Arial" w:cs="Arial" w:eastAsia="Arial" w:hAnsi="Arial"/>
            <w:sz w:val="16"/>
            <w:szCs w:val="16"/>
            <w:u w:val="single" w:color="auto"/>
            <w:color w:val="0000EE"/>
          </w:rPr>
          <w:t>Agreement to Purchase and Sell Stock</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2.2</w:t>
        </w:r>
      </w:hyperlink>
      <w:hyperlink w:anchor="page5">
        <w:r>
          <w:rPr>
            <w:rFonts w:ascii="Arial" w:cs="Arial" w:eastAsia="Arial" w:hAnsi="Arial"/>
            <w:sz w:val="16"/>
            <w:szCs w:val="16"/>
            <w:u w:val="single" w:color="auto"/>
            <w:color w:val="0000EE"/>
          </w:rPr>
          <w:t>The Closing</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2.3</w:t>
        </w:r>
      </w:hyperlink>
      <w:hyperlink w:anchor="page5">
        <w:r>
          <w:rPr>
            <w:rFonts w:ascii="Arial" w:cs="Arial" w:eastAsia="Arial" w:hAnsi="Arial"/>
            <w:sz w:val="16"/>
            <w:szCs w:val="16"/>
            <w:u w:val="single" w:color="auto"/>
            <w:color w:val="0000EE"/>
          </w:rPr>
          <w:t>Additional Adjustment Shares</w:t>
        </w:r>
      </w:hyperlink>
    </w:p>
    <w:p>
      <w:pPr>
        <w:spacing w:after="0" w:line="210" w:lineRule="exact"/>
        <w:rPr>
          <w:rFonts w:ascii="Arial" w:cs="Arial" w:eastAsia="Arial" w:hAnsi="Arial"/>
          <w:sz w:val="16"/>
          <w:szCs w:val="16"/>
          <w:u w:val="single" w:color="auto"/>
          <w:color w:val="0000EE"/>
        </w:rPr>
      </w:pPr>
    </w:p>
    <w:p>
      <w:pPr>
        <w:ind w:left="740" w:hanging="732"/>
        <w:spacing w:after="0"/>
        <w:tabs>
          <w:tab w:leader="none" w:pos="740" w:val="left"/>
        </w:tabs>
        <w:numPr>
          <w:ilvl w:val="0"/>
          <w:numId w:val="2"/>
        </w:numPr>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REPRESENTATIONS AND WARRANTIES OF THE COMPANY</w:t>
        </w:r>
      </w:hyperlink>
    </w:p>
    <w:p>
      <w:pPr>
        <w:spacing w:after="0" w:line="23" w:lineRule="exact"/>
        <w:rPr>
          <w:rFonts w:ascii="Arial" w:cs="Arial" w:eastAsia="Arial" w:hAnsi="Arial"/>
          <w:sz w:val="18"/>
          <w:szCs w:val="18"/>
          <w:u w:val="single" w:color="auto"/>
          <w:color w:val="0000EE"/>
        </w:rPr>
      </w:pPr>
    </w:p>
    <w:p>
      <w:pPr>
        <w:ind w:left="740"/>
        <w:spacing w:after="0"/>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3.1</w:t>
        </w:r>
      </w:hyperlink>
      <w:hyperlink w:anchor="page6">
        <w:r>
          <w:rPr>
            <w:rFonts w:ascii="Arial" w:cs="Arial" w:eastAsia="Arial" w:hAnsi="Arial"/>
            <w:sz w:val="16"/>
            <w:szCs w:val="16"/>
            <w:u w:val="single" w:color="auto"/>
            <w:color w:val="0000EE"/>
          </w:rPr>
          <w:t>Organization Good Standing and Qualification</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3.2</w:t>
        </w:r>
      </w:hyperlink>
      <w:hyperlink w:anchor="page6">
        <w:r>
          <w:rPr>
            <w:rFonts w:ascii="Arial" w:cs="Arial" w:eastAsia="Arial" w:hAnsi="Arial"/>
            <w:sz w:val="16"/>
            <w:szCs w:val="16"/>
            <w:u w:val="single" w:color="auto"/>
            <w:color w:val="0000EE"/>
          </w:rPr>
          <w:t>Capitalization</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3.3</w:t>
        </w:r>
      </w:hyperlink>
      <w:hyperlink w:anchor="page6">
        <w:r>
          <w:rPr>
            <w:rFonts w:ascii="Arial" w:cs="Arial" w:eastAsia="Arial" w:hAnsi="Arial"/>
            <w:sz w:val="16"/>
            <w:szCs w:val="16"/>
            <w:u w:val="single" w:color="auto"/>
            <w:color w:val="0000EE"/>
          </w:rPr>
          <w:t>Due Authorization</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3.4</w:t>
        </w:r>
      </w:hyperlink>
      <w:hyperlink w:anchor="page6">
        <w:r>
          <w:rPr>
            <w:rFonts w:ascii="Arial" w:cs="Arial" w:eastAsia="Arial" w:hAnsi="Arial"/>
            <w:sz w:val="16"/>
            <w:szCs w:val="16"/>
            <w:u w:val="single" w:color="auto"/>
            <w:color w:val="0000EE"/>
          </w:rPr>
          <w:t>Valid Issuance of Shares; Listing</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3.5</w:t>
        </w:r>
      </w:hyperlink>
      <w:hyperlink w:anchor="page6">
        <w:r>
          <w:rPr>
            <w:rFonts w:ascii="Arial" w:cs="Arial" w:eastAsia="Arial" w:hAnsi="Arial"/>
            <w:sz w:val="16"/>
            <w:szCs w:val="16"/>
            <w:u w:val="single" w:color="auto"/>
            <w:color w:val="0000EE"/>
          </w:rPr>
          <w:t>Compliance with Securities Laws</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5"/>
          <w:szCs w:val="15"/>
          <w:u w:val="single" w:color="auto"/>
          <w:color w:val="0000EE"/>
        </w:rPr>
      </w:pPr>
      <w:hyperlink w:anchor="page6">
        <w:r>
          <w:rPr>
            <w:rFonts w:ascii="Arial" w:cs="Arial" w:eastAsia="Arial" w:hAnsi="Arial"/>
            <w:sz w:val="18"/>
            <w:szCs w:val="18"/>
            <w:u w:val="single" w:color="auto"/>
            <w:color w:val="0000EE"/>
          </w:rPr>
          <w:t>3.6</w:t>
        </w:r>
      </w:hyperlink>
      <w:hyperlink w:anchor="page6">
        <w:r>
          <w:rPr>
            <w:rFonts w:ascii="Arial" w:cs="Arial" w:eastAsia="Arial" w:hAnsi="Arial"/>
            <w:sz w:val="15"/>
            <w:szCs w:val="15"/>
            <w:u w:val="single" w:color="auto"/>
            <w:color w:val="0000EE"/>
          </w:rPr>
          <w:t>Governmental Consents</w:t>
        </w:r>
      </w:hyperlink>
    </w:p>
    <w:p>
      <w:pPr>
        <w:spacing w:after="0" w:line="9" w:lineRule="exact"/>
        <w:rPr>
          <w:rFonts w:ascii="Arial" w:cs="Arial" w:eastAsia="Arial" w:hAnsi="Arial"/>
          <w:sz w:val="15"/>
          <w:szCs w:val="15"/>
          <w:u w:val="single" w:color="auto"/>
          <w:color w:val="0000EE"/>
        </w:rPr>
      </w:pPr>
    </w:p>
    <w:p>
      <w:pPr>
        <w:ind w:left="740"/>
        <w:spacing w:after="0"/>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3.7</w:t>
        </w:r>
      </w:hyperlink>
      <w:hyperlink w:anchor="page6">
        <w:r>
          <w:rPr>
            <w:rFonts w:ascii="Arial" w:cs="Arial" w:eastAsia="Arial" w:hAnsi="Arial"/>
            <w:sz w:val="16"/>
            <w:szCs w:val="16"/>
            <w:u w:val="single" w:color="auto"/>
            <w:color w:val="0000EE"/>
          </w:rPr>
          <w:t>Non-Contravention</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7"/>
          <w:szCs w:val="17"/>
          <w:u w:val="single" w:color="auto"/>
          <w:color w:val="0000EE"/>
        </w:rPr>
      </w:pPr>
      <w:hyperlink w:anchor="page7">
        <w:r>
          <w:rPr>
            <w:rFonts w:ascii="Arial" w:cs="Arial" w:eastAsia="Arial" w:hAnsi="Arial"/>
            <w:sz w:val="18"/>
            <w:szCs w:val="18"/>
            <w:u w:val="single" w:color="auto"/>
            <w:color w:val="0000EE"/>
          </w:rPr>
          <w:t>3.8</w:t>
        </w:r>
      </w:hyperlink>
      <w:hyperlink w:anchor="page7">
        <w:r>
          <w:rPr>
            <w:rFonts w:ascii="Arial" w:cs="Arial" w:eastAsia="Arial" w:hAnsi="Arial"/>
            <w:sz w:val="17"/>
            <w:szCs w:val="17"/>
            <w:u w:val="single" w:color="auto"/>
            <w:color w:val="0000EE"/>
          </w:rPr>
          <w:t>Litigation</w:t>
        </w:r>
      </w:hyperlink>
    </w:p>
    <w:p>
      <w:pPr>
        <w:spacing w:after="0" w:line="9" w:lineRule="exact"/>
        <w:rPr>
          <w:rFonts w:ascii="Arial" w:cs="Arial" w:eastAsia="Arial" w:hAnsi="Arial"/>
          <w:sz w:val="17"/>
          <w:szCs w:val="17"/>
          <w:u w:val="single" w:color="auto"/>
          <w:color w:val="0000EE"/>
        </w:rPr>
      </w:pPr>
    </w:p>
    <w:p>
      <w:pPr>
        <w:ind w:left="740"/>
        <w:spacing w:after="0"/>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3.9</w:t>
        </w:r>
      </w:hyperlink>
      <w:hyperlink w:anchor="page7">
        <w:r>
          <w:rPr>
            <w:rFonts w:ascii="Arial" w:cs="Arial" w:eastAsia="Arial" w:hAnsi="Arial"/>
            <w:sz w:val="16"/>
            <w:szCs w:val="16"/>
            <w:u w:val="single" w:color="auto"/>
            <w:color w:val="0000EE"/>
          </w:rPr>
          <w:t>Compliance with Law and Charter Documents</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3.10    SEC Documents</w:t>
        </w:r>
      </w:hyperlink>
    </w:p>
    <w:p>
      <w:pPr>
        <w:spacing w:after="0" w:line="9" w:lineRule="exact"/>
        <w:rPr>
          <w:rFonts w:ascii="Arial" w:cs="Arial" w:eastAsia="Arial" w:hAnsi="Arial"/>
          <w:sz w:val="18"/>
          <w:szCs w:val="18"/>
          <w:u w:val="single" w:color="auto"/>
          <w:color w:val="0000EE"/>
        </w:rPr>
      </w:pPr>
    </w:p>
    <w:p>
      <w:pPr>
        <w:ind w:left="740"/>
        <w:spacing w:after="0"/>
        <w:rPr>
          <w:rFonts w:ascii="Arial" w:cs="Arial" w:eastAsia="Arial" w:hAnsi="Arial"/>
          <w:sz w:val="15"/>
          <w:szCs w:val="15"/>
          <w:u w:val="single" w:color="auto"/>
          <w:color w:val="0000EE"/>
        </w:rPr>
      </w:pPr>
      <w:hyperlink w:anchor="page7">
        <w:r>
          <w:rPr>
            <w:rFonts w:ascii="Arial" w:cs="Arial" w:eastAsia="Arial" w:hAnsi="Arial"/>
            <w:sz w:val="18"/>
            <w:szCs w:val="18"/>
            <w:u w:val="single" w:color="auto"/>
            <w:color w:val="0000EE"/>
          </w:rPr>
          <w:t>3.11</w:t>
        </w:r>
      </w:hyperlink>
      <w:hyperlink w:anchor="page7">
        <w:r>
          <w:rPr>
            <w:rFonts w:ascii="Arial" w:cs="Arial" w:eastAsia="Arial" w:hAnsi="Arial"/>
            <w:sz w:val="15"/>
            <w:szCs w:val="15"/>
            <w:u w:val="single" w:color="auto"/>
            <w:color w:val="0000EE"/>
          </w:rPr>
          <w:t>Absence of Certain Changes Since Balance Sheet</w:t>
        </w:r>
      </w:hyperlink>
    </w:p>
    <w:p>
      <w:pPr>
        <w:spacing w:after="0" w:line="9" w:lineRule="exact"/>
        <w:rPr>
          <w:rFonts w:ascii="Arial" w:cs="Arial" w:eastAsia="Arial" w:hAnsi="Arial"/>
          <w:sz w:val="15"/>
          <w:szCs w:val="15"/>
          <w:u w:val="single" w:color="auto"/>
          <w:color w:val="0000EE"/>
        </w:rPr>
      </w:pPr>
    </w:p>
    <w:p>
      <w:pPr>
        <w:ind w:left="740"/>
        <w:spacing w:after="0"/>
        <w:rPr>
          <w:rFonts w:ascii="Arial" w:cs="Arial" w:eastAsia="Arial" w:hAnsi="Arial"/>
          <w:sz w:val="18"/>
          <w:szCs w:val="18"/>
          <w:color w:val="auto"/>
        </w:rPr>
      </w:pPr>
      <w:r>
        <w:rPr>
          <w:rFonts w:ascii="Arial" w:cs="Arial" w:eastAsia="Arial" w:hAnsi="Arial"/>
          <w:sz w:val="18"/>
          <w:szCs w:val="18"/>
          <w:color w:val="auto"/>
        </w:rPr>
        <w:t xml:space="preserve">3.13    </w:t>
      </w:r>
      <w:hyperlink w:anchor="page7">
        <w:r>
          <w:rPr>
            <w:rFonts w:ascii="Arial" w:cs="Arial" w:eastAsia="Arial" w:hAnsi="Arial"/>
            <w:sz w:val="18"/>
            <w:szCs w:val="18"/>
            <w:u w:val="single" w:color="auto"/>
            <w:color w:val="0000EE"/>
          </w:rPr>
          <w:t>Full Disclosure</w:t>
        </w:r>
      </w:hyperlink>
    </w:p>
    <w:p>
      <w:pPr>
        <w:spacing w:after="0" w:line="210" w:lineRule="exact"/>
        <w:rPr>
          <w:rFonts w:ascii="Arial" w:cs="Arial" w:eastAsia="Arial" w:hAnsi="Arial"/>
          <w:sz w:val="18"/>
          <w:szCs w:val="18"/>
          <w:color w:val="auto"/>
        </w:rPr>
      </w:pPr>
    </w:p>
    <w:p>
      <w:pPr>
        <w:ind w:left="740" w:hanging="732"/>
        <w:spacing w:after="0"/>
        <w:tabs>
          <w:tab w:leader="none" w:pos="740" w:val="left"/>
        </w:tabs>
        <w:numPr>
          <w:ilvl w:val="0"/>
          <w:numId w:val="2"/>
        </w:numPr>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REPRESENTATIONS AND WARRANTIES OF SILICON CAPITAL</w:t>
        </w:r>
      </w:hyperlink>
    </w:p>
    <w:p>
      <w:pPr>
        <w:spacing w:after="0" w:line="23" w:lineRule="exact"/>
        <w:rPr>
          <w:rFonts w:ascii="Arial" w:cs="Arial" w:eastAsia="Arial" w:hAnsi="Arial"/>
          <w:sz w:val="18"/>
          <w:szCs w:val="18"/>
          <w:u w:val="single" w:color="auto"/>
          <w:color w:val="0000EE"/>
        </w:rPr>
      </w:pPr>
    </w:p>
    <w:p>
      <w:pPr>
        <w:ind w:left="740"/>
        <w:spacing w:after="0"/>
        <w:rPr>
          <w:rFonts w:ascii="Arial" w:cs="Arial" w:eastAsia="Arial" w:hAnsi="Arial"/>
          <w:sz w:val="16"/>
          <w:szCs w:val="16"/>
          <w:u w:val="single" w:color="auto"/>
          <w:color w:val="0000EE"/>
        </w:rPr>
      </w:pPr>
      <w:hyperlink w:anchor="page8">
        <w:r>
          <w:rPr>
            <w:rFonts w:ascii="Arial" w:cs="Arial" w:eastAsia="Arial" w:hAnsi="Arial"/>
            <w:sz w:val="18"/>
            <w:szCs w:val="18"/>
            <w:u w:val="single" w:color="auto"/>
            <w:color w:val="0000EE"/>
          </w:rPr>
          <w:t>4.1</w:t>
        </w:r>
      </w:hyperlink>
      <w:hyperlink w:anchor="page8">
        <w:r>
          <w:rPr>
            <w:rFonts w:ascii="Arial" w:cs="Arial" w:eastAsia="Arial" w:hAnsi="Arial"/>
            <w:sz w:val="16"/>
            <w:szCs w:val="16"/>
            <w:u w:val="single" w:color="auto"/>
            <w:color w:val="0000EE"/>
          </w:rPr>
          <w:t>Investigation; Economic Risk</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6"/>
          <w:szCs w:val="16"/>
          <w:u w:val="single" w:color="auto"/>
          <w:color w:val="0000EE"/>
        </w:rPr>
      </w:pPr>
      <w:hyperlink w:anchor="page8">
        <w:r>
          <w:rPr>
            <w:rFonts w:ascii="Arial" w:cs="Arial" w:eastAsia="Arial" w:hAnsi="Arial"/>
            <w:sz w:val="18"/>
            <w:szCs w:val="18"/>
            <w:u w:val="single" w:color="auto"/>
            <w:color w:val="0000EE"/>
          </w:rPr>
          <w:t>4.2</w:t>
        </w:r>
      </w:hyperlink>
      <w:hyperlink w:anchor="page8">
        <w:r>
          <w:rPr>
            <w:rFonts w:ascii="Arial" w:cs="Arial" w:eastAsia="Arial" w:hAnsi="Arial"/>
            <w:sz w:val="16"/>
            <w:szCs w:val="16"/>
            <w:u w:val="single" w:color="auto"/>
            <w:color w:val="0000EE"/>
          </w:rPr>
          <w:t>Purchase for Own Account</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6"/>
          <w:szCs w:val="16"/>
          <w:u w:val="single" w:color="auto"/>
          <w:color w:val="0000EE"/>
        </w:rPr>
      </w:pPr>
      <w:hyperlink w:anchor="page8">
        <w:r>
          <w:rPr>
            <w:rFonts w:ascii="Arial" w:cs="Arial" w:eastAsia="Arial" w:hAnsi="Arial"/>
            <w:sz w:val="18"/>
            <w:szCs w:val="18"/>
            <w:u w:val="single" w:color="auto"/>
            <w:color w:val="0000EE"/>
          </w:rPr>
          <w:t>4.3</w:t>
        </w:r>
      </w:hyperlink>
      <w:hyperlink w:anchor="page8">
        <w:r>
          <w:rPr>
            <w:rFonts w:ascii="Arial" w:cs="Arial" w:eastAsia="Arial" w:hAnsi="Arial"/>
            <w:sz w:val="16"/>
            <w:szCs w:val="16"/>
            <w:u w:val="single" w:color="auto"/>
            <w:color w:val="0000EE"/>
          </w:rPr>
          <w:t>Exempt from Registration; Restricted Securities</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6"/>
          <w:szCs w:val="16"/>
          <w:u w:val="single" w:color="auto"/>
          <w:color w:val="0000EE"/>
        </w:rPr>
      </w:pPr>
      <w:hyperlink w:anchor="page8">
        <w:r>
          <w:rPr>
            <w:rFonts w:ascii="Arial" w:cs="Arial" w:eastAsia="Arial" w:hAnsi="Arial"/>
            <w:sz w:val="18"/>
            <w:szCs w:val="18"/>
            <w:u w:val="single" w:color="auto"/>
            <w:color w:val="0000EE"/>
          </w:rPr>
          <w:t>4.4</w:t>
        </w:r>
      </w:hyperlink>
      <w:hyperlink w:anchor="page8">
        <w:r>
          <w:rPr>
            <w:rFonts w:ascii="Arial" w:cs="Arial" w:eastAsia="Arial" w:hAnsi="Arial"/>
            <w:sz w:val="16"/>
            <w:szCs w:val="16"/>
            <w:u w:val="single" w:color="auto"/>
            <w:color w:val="0000EE"/>
          </w:rPr>
          <w:t>Accredited Investor</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5"/>
          <w:szCs w:val="15"/>
          <w:u w:val="single" w:color="auto"/>
          <w:color w:val="0000EE"/>
        </w:rPr>
      </w:pPr>
      <w:hyperlink w:anchor="page8">
        <w:r>
          <w:rPr>
            <w:rFonts w:ascii="Arial" w:cs="Arial" w:eastAsia="Arial" w:hAnsi="Arial"/>
            <w:sz w:val="18"/>
            <w:szCs w:val="18"/>
            <w:u w:val="single" w:color="auto"/>
            <w:color w:val="0000EE"/>
          </w:rPr>
          <w:t>4.5</w:t>
        </w:r>
      </w:hyperlink>
      <w:hyperlink w:anchor="page8">
        <w:r>
          <w:rPr>
            <w:rFonts w:ascii="Arial" w:cs="Arial" w:eastAsia="Arial" w:hAnsi="Arial"/>
            <w:sz w:val="15"/>
            <w:szCs w:val="15"/>
            <w:u w:val="single" w:color="auto"/>
            <w:color w:val="0000EE"/>
          </w:rPr>
          <w:t>Legends</w:t>
        </w:r>
      </w:hyperlink>
    </w:p>
    <w:p>
      <w:pPr>
        <w:spacing w:after="0" w:line="9" w:lineRule="exact"/>
        <w:rPr>
          <w:rFonts w:ascii="Arial" w:cs="Arial" w:eastAsia="Arial" w:hAnsi="Arial"/>
          <w:sz w:val="15"/>
          <w:szCs w:val="15"/>
          <w:u w:val="single" w:color="auto"/>
          <w:color w:val="0000EE"/>
        </w:rPr>
      </w:pPr>
    </w:p>
    <w:p>
      <w:pPr>
        <w:ind w:left="740"/>
        <w:spacing w:after="0"/>
        <w:rPr>
          <w:rFonts w:ascii="Arial" w:cs="Arial" w:eastAsia="Arial" w:hAnsi="Arial"/>
          <w:sz w:val="16"/>
          <w:szCs w:val="16"/>
          <w:u w:val="single" w:color="auto"/>
          <w:color w:val="0000EE"/>
        </w:rPr>
      </w:pPr>
      <w:hyperlink w:anchor="page8">
        <w:r>
          <w:rPr>
            <w:rFonts w:ascii="Arial" w:cs="Arial" w:eastAsia="Arial" w:hAnsi="Arial"/>
            <w:sz w:val="18"/>
            <w:szCs w:val="18"/>
            <w:u w:val="single" w:color="auto"/>
            <w:color w:val="0000EE"/>
          </w:rPr>
          <w:t>4.6</w:t>
        </w:r>
      </w:hyperlink>
      <w:hyperlink w:anchor="page8">
        <w:r>
          <w:rPr>
            <w:rFonts w:ascii="Arial" w:cs="Arial" w:eastAsia="Arial" w:hAnsi="Arial"/>
            <w:sz w:val="16"/>
            <w:szCs w:val="16"/>
            <w:u w:val="single" w:color="auto"/>
            <w:color w:val="0000EE"/>
          </w:rPr>
          <w:t>Organization Good Standing and Qualification</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7"/>
          <w:szCs w:val="17"/>
          <w:u w:val="single" w:color="auto"/>
          <w:color w:val="0000EE"/>
        </w:rPr>
      </w:pPr>
      <w:hyperlink w:anchor="page8">
        <w:r>
          <w:rPr>
            <w:rFonts w:ascii="Arial" w:cs="Arial" w:eastAsia="Arial" w:hAnsi="Arial"/>
            <w:sz w:val="18"/>
            <w:szCs w:val="18"/>
            <w:u w:val="single" w:color="auto"/>
            <w:color w:val="0000EE"/>
          </w:rPr>
          <w:t>4.7</w:t>
        </w:r>
      </w:hyperlink>
      <w:hyperlink w:anchor="page8">
        <w:r>
          <w:rPr>
            <w:rFonts w:ascii="Arial" w:cs="Arial" w:eastAsia="Arial" w:hAnsi="Arial"/>
            <w:sz w:val="17"/>
            <w:szCs w:val="17"/>
            <w:u w:val="single" w:color="auto"/>
            <w:color w:val="0000EE"/>
          </w:rPr>
          <w:t>Due Authorization; Capitalization</w:t>
        </w:r>
      </w:hyperlink>
    </w:p>
    <w:p>
      <w:pPr>
        <w:spacing w:after="0" w:line="9" w:lineRule="exact"/>
        <w:rPr>
          <w:rFonts w:ascii="Arial" w:cs="Arial" w:eastAsia="Arial" w:hAnsi="Arial"/>
          <w:sz w:val="17"/>
          <w:szCs w:val="17"/>
          <w:u w:val="single" w:color="auto"/>
          <w:color w:val="0000EE"/>
        </w:rPr>
      </w:pPr>
    </w:p>
    <w:p>
      <w:pPr>
        <w:ind w:left="740"/>
        <w:spacing w:after="0"/>
        <w:rPr>
          <w:rFonts w:ascii="Arial" w:cs="Arial" w:eastAsia="Arial" w:hAnsi="Arial"/>
          <w:sz w:val="15"/>
          <w:szCs w:val="15"/>
          <w:u w:val="single" w:color="auto"/>
          <w:color w:val="0000EE"/>
        </w:rPr>
      </w:pPr>
      <w:hyperlink w:anchor="page8">
        <w:r>
          <w:rPr>
            <w:rFonts w:ascii="Arial" w:cs="Arial" w:eastAsia="Arial" w:hAnsi="Arial"/>
            <w:sz w:val="18"/>
            <w:szCs w:val="18"/>
            <w:u w:val="single" w:color="auto"/>
            <w:color w:val="0000EE"/>
          </w:rPr>
          <w:t>4.8</w:t>
        </w:r>
      </w:hyperlink>
      <w:hyperlink w:anchor="page8">
        <w:r>
          <w:rPr>
            <w:rFonts w:ascii="Arial" w:cs="Arial" w:eastAsia="Arial" w:hAnsi="Arial"/>
            <w:sz w:val="15"/>
            <w:szCs w:val="15"/>
            <w:u w:val="single" w:color="auto"/>
            <w:color w:val="0000EE"/>
          </w:rPr>
          <w:t>Governmental Consents</w:t>
        </w:r>
      </w:hyperlink>
    </w:p>
    <w:p>
      <w:pPr>
        <w:spacing w:after="0" w:line="9" w:lineRule="exact"/>
        <w:rPr>
          <w:rFonts w:ascii="Arial" w:cs="Arial" w:eastAsia="Arial" w:hAnsi="Arial"/>
          <w:sz w:val="15"/>
          <w:szCs w:val="15"/>
          <w:u w:val="single" w:color="auto"/>
          <w:color w:val="0000EE"/>
        </w:rPr>
      </w:pPr>
    </w:p>
    <w:p>
      <w:pPr>
        <w:ind w:left="740"/>
        <w:spacing w:after="0"/>
        <w:rPr>
          <w:rFonts w:ascii="Arial" w:cs="Arial" w:eastAsia="Arial" w:hAnsi="Arial"/>
          <w:sz w:val="16"/>
          <w:szCs w:val="16"/>
          <w:u w:val="single" w:color="auto"/>
          <w:color w:val="0000EE"/>
        </w:rPr>
      </w:pPr>
      <w:hyperlink w:anchor="page8">
        <w:r>
          <w:rPr>
            <w:rFonts w:ascii="Arial" w:cs="Arial" w:eastAsia="Arial" w:hAnsi="Arial"/>
            <w:sz w:val="18"/>
            <w:szCs w:val="18"/>
            <w:u w:val="single" w:color="auto"/>
            <w:color w:val="0000EE"/>
          </w:rPr>
          <w:t>4.9</w:t>
        </w:r>
      </w:hyperlink>
      <w:hyperlink w:anchor="page8">
        <w:r>
          <w:rPr>
            <w:rFonts w:ascii="Arial" w:cs="Arial" w:eastAsia="Arial" w:hAnsi="Arial"/>
            <w:sz w:val="16"/>
            <w:szCs w:val="16"/>
            <w:u w:val="single" w:color="auto"/>
            <w:color w:val="0000EE"/>
          </w:rPr>
          <w:t>Non-Contravention</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4.10    Restrictions on Hedging</w:t>
        </w:r>
      </w:hyperlink>
    </w:p>
    <w:p>
      <w:pPr>
        <w:spacing w:after="0" w:line="210" w:lineRule="exact"/>
        <w:rPr>
          <w:rFonts w:ascii="Arial" w:cs="Arial" w:eastAsia="Arial" w:hAnsi="Arial"/>
          <w:sz w:val="18"/>
          <w:szCs w:val="18"/>
          <w:u w:val="single" w:color="auto"/>
          <w:color w:val="0000EE"/>
        </w:rPr>
      </w:pPr>
    </w:p>
    <w:p>
      <w:pPr>
        <w:ind w:left="740" w:hanging="732"/>
        <w:spacing w:after="0"/>
        <w:tabs>
          <w:tab w:leader="none" w:pos="740" w:val="left"/>
        </w:tabs>
        <w:numPr>
          <w:ilvl w:val="0"/>
          <w:numId w:val="2"/>
        </w:numPr>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AFFIRMATIVE COVENANTS OF THE COMPANY</w:t>
        </w:r>
      </w:hyperlink>
    </w:p>
    <w:p>
      <w:pPr>
        <w:spacing w:after="0" w:line="23" w:lineRule="exact"/>
        <w:rPr>
          <w:rFonts w:ascii="Arial" w:cs="Arial" w:eastAsia="Arial" w:hAnsi="Arial"/>
          <w:sz w:val="18"/>
          <w:szCs w:val="18"/>
          <w:u w:val="single" w:color="auto"/>
          <w:color w:val="0000EE"/>
        </w:rPr>
      </w:pPr>
    </w:p>
    <w:p>
      <w:pPr>
        <w:ind w:left="740"/>
        <w:spacing w:after="0"/>
        <w:rPr>
          <w:rFonts w:ascii="Arial" w:cs="Arial" w:eastAsia="Arial" w:hAnsi="Arial"/>
          <w:sz w:val="15"/>
          <w:szCs w:val="15"/>
          <w:u w:val="single" w:color="auto"/>
          <w:color w:val="0000EE"/>
        </w:rPr>
      </w:pPr>
      <w:hyperlink w:anchor="page9">
        <w:r>
          <w:rPr>
            <w:rFonts w:ascii="Arial" w:cs="Arial" w:eastAsia="Arial" w:hAnsi="Arial"/>
            <w:sz w:val="18"/>
            <w:szCs w:val="18"/>
            <w:u w:val="single" w:color="auto"/>
            <w:color w:val="0000EE"/>
          </w:rPr>
          <w:t>5.1</w:t>
        </w:r>
      </w:hyperlink>
      <w:hyperlink w:anchor="page9">
        <w:r>
          <w:rPr>
            <w:rFonts w:ascii="Arial" w:cs="Arial" w:eastAsia="Arial" w:hAnsi="Arial"/>
            <w:sz w:val="15"/>
            <w:szCs w:val="15"/>
            <w:u w:val="single" w:color="auto"/>
            <w:color w:val="0000EE"/>
          </w:rPr>
          <w:t>Use of Proceeds</w:t>
        </w:r>
      </w:hyperlink>
    </w:p>
    <w:p>
      <w:pPr>
        <w:spacing w:after="0" w:line="210" w:lineRule="exact"/>
        <w:rPr>
          <w:rFonts w:ascii="Arial" w:cs="Arial" w:eastAsia="Arial" w:hAnsi="Arial"/>
          <w:sz w:val="15"/>
          <w:szCs w:val="15"/>
          <w:u w:val="single" w:color="auto"/>
          <w:color w:val="0000EE"/>
        </w:rPr>
      </w:pPr>
    </w:p>
    <w:p>
      <w:pPr>
        <w:ind w:left="740" w:hanging="732"/>
        <w:spacing w:after="0"/>
        <w:tabs>
          <w:tab w:leader="none" w:pos="740" w:val="left"/>
        </w:tabs>
        <w:numPr>
          <w:ilvl w:val="0"/>
          <w:numId w:val="2"/>
        </w:numPr>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CLOSING CONDITIONS</w:t>
        </w:r>
      </w:hyperlink>
    </w:p>
    <w:p>
      <w:pPr>
        <w:spacing w:after="0" w:line="23" w:lineRule="exact"/>
        <w:rPr>
          <w:rFonts w:ascii="Arial" w:cs="Arial" w:eastAsia="Arial" w:hAnsi="Arial"/>
          <w:sz w:val="18"/>
          <w:szCs w:val="18"/>
          <w:u w:val="single" w:color="auto"/>
          <w:color w:val="0000EE"/>
        </w:rPr>
      </w:pPr>
    </w:p>
    <w:p>
      <w:pPr>
        <w:ind w:left="740"/>
        <w:spacing w:after="0"/>
        <w:rPr>
          <w:rFonts w:ascii="Arial" w:cs="Arial" w:eastAsia="Arial" w:hAnsi="Arial"/>
          <w:sz w:val="16"/>
          <w:szCs w:val="16"/>
          <w:u w:val="single" w:color="auto"/>
          <w:color w:val="0000EE"/>
        </w:rPr>
      </w:pPr>
      <w:hyperlink w:anchor="page9">
        <w:r>
          <w:rPr>
            <w:rFonts w:ascii="Arial" w:cs="Arial" w:eastAsia="Arial" w:hAnsi="Arial"/>
            <w:sz w:val="18"/>
            <w:szCs w:val="18"/>
            <w:u w:val="single" w:color="auto"/>
            <w:color w:val="0000EE"/>
          </w:rPr>
          <w:t>6.1</w:t>
        </w:r>
      </w:hyperlink>
      <w:hyperlink w:anchor="page9">
        <w:r>
          <w:rPr>
            <w:rFonts w:ascii="Arial" w:cs="Arial" w:eastAsia="Arial" w:hAnsi="Arial"/>
            <w:sz w:val="16"/>
            <w:szCs w:val="16"/>
            <w:u w:val="single" w:color="auto"/>
            <w:color w:val="0000EE"/>
          </w:rPr>
          <w:t>Conditions to Silicon Capital’s Obligations</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6"/>
          <w:szCs w:val="16"/>
          <w:u w:val="single" w:color="auto"/>
          <w:color w:val="0000EE"/>
        </w:rPr>
      </w:pPr>
      <w:hyperlink w:anchor="page9">
        <w:r>
          <w:rPr>
            <w:rFonts w:ascii="Arial" w:cs="Arial" w:eastAsia="Arial" w:hAnsi="Arial"/>
            <w:sz w:val="18"/>
            <w:szCs w:val="18"/>
            <w:u w:val="single" w:color="auto"/>
            <w:color w:val="0000EE"/>
          </w:rPr>
          <w:t>6.2</w:t>
        </w:r>
      </w:hyperlink>
      <w:hyperlink w:anchor="page9">
        <w:r>
          <w:rPr>
            <w:rFonts w:ascii="Arial" w:cs="Arial" w:eastAsia="Arial" w:hAnsi="Arial"/>
            <w:sz w:val="16"/>
            <w:szCs w:val="16"/>
            <w:u w:val="single" w:color="auto"/>
            <w:color w:val="0000EE"/>
          </w:rPr>
          <w:t>Conditions to the Company’s Obligations</w:t>
        </w:r>
      </w:hyperlink>
    </w:p>
    <w:p>
      <w:pPr>
        <w:spacing w:after="0" w:line="210" w:lineRule="exact"/>
        <w:rPr>
          <w:rFonts w:ascii="Arial" w:cs="Arial" w:eastAsia="Arial" w:hAnsi="Arial"/>
          <w:sz w:val="16"/>
          <w:szCs w:val="16"/>
          <w:u w:val="single" w:color="auto"/>
          <w:color w:val="0000EE"/>
        </w:rPr>
      </w:pPr>
    </w:p>
    <w:p>
      <w:pPr>
        <w:ind w:left="740" w:hanging="732"/>
        <w:spacing w:after="0"/>
        <w:tabs>
          <w:tab w:leader="none" w:pos="740" w:val="left"/>
        </w:tabs>
        <w:numPr>
          <w:ilvl w:val="0"/>
          <w:numId w:val="2"/>
        </w:numPr>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CONFIDENTIALITY OBLIGATIONS</w:t>
        </w:r>
      </w:hyperlink>
    </w:p>
    <w:p>
      <w:pPr>
        <w:spacing w:after="0" w:line="23" w:lineRule="exact"/>
        <w:rPr>
          <w:rFonts w:ascii="Arial" w:cs="Arial" w:eastAsia="Arial" w:hAnsi="Arial"/>
          <w:sz w:val="18"/>
          <w:szCs w:val="18"/>
          <w:u w:val="single" w:color="auto"/>
          <w:color w:val="0000EE"/>
        </w:rPr>
      </w:pPr>
    </w:p>
    <w:p>
      <w:pPr>
        <w:ind w:left="740"/>
        <w:spacing w:after="0"/>
        <w:rPr>
          <w:rFonts w:ascii="Arial" w:cs="Arial" w:eastAsia="Arial" w:hAnsi="Arial"/>
          <w:sz w:val="16"/>
          <w:szCs w:val="16"/>
          <w:u w:val="single" w:color="auto"/>
          <w:color w:val="0000EE"/>
        </w:rPr>
      </w:pPr>
      <w:hyperlink w:anchor="page10">
        <w:r>
          <w:rPr>
            <w:rFonts w:ascii="Arial" w:cs="Arial" w:eastAsia="Arial" w:hAnsi="Arial"/>
            <w:sz w:val="18"/>
            <w:szCs w:val="18"/>
            <w:u w:val="single" w:color="auto"/>
            <w:color w:val="0000EE"/>
          </w:rPr>
          <w:t>7.1</w:t>
        </w:r>
      </w:hyperlink>
      <w:hyperlink w:anchor="page10">
        <w:r>
          <w:rPr>
            <w:rFonts w:ascii="Arial" w:cs="Arial" w:eastAsia="Arial" w:hAnsi="Arial"/>
            <w:sz w:val="16"/>
            <w:szCs w:val="16"/>
            <w:u w:val="single" w:color="auto"/>
            <w:color w:val="0000EE"/>
          </w:rPr>
          <w:t>Obligations</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6"/>
          <w:szCs w:val="16"/>
          <w:u w:val="single" w:color="auto"/>
          <w:color w:val="0000EE"/>
        </w:rPr>
      </w:pPr>
      <w:hyperlink w:anchor="page10">
        <w:r>
          <w:rPr>
            <w:rFonts w:ascii="Arial" w:cs="Arial" w:eastAsia="Arial" w:hAnsi="Arial"/>
            <w:sz w:val="18"/>
            <w:szCs w:val="18"/>
            <w:u w:val="single" w:color="auto"/>
            <w:color w:val="0000EE"/>
          </w:rPr>
          <w:t>7.2</w:t>
        </w:r>
      </w:hyperlink>
      <w:hyperlink w:anchor="page10">
        <w:r>
          <w:rPr>
            <w:rFonts w:ascii="Arial" w:cs="Arial" w:eastAsia="Arial" w:hAnsi="Arial"/>
            <w:sz w:val="16"/>
            <w:szCs w:val="16"/>
            <w:u w:val="single" w:color="auto"/>
            <w:color w:val="0000EE"/>
          </w:rPr>
          <w:t>Certain Definitions</w:t>
        </w:r>
      </w:hyperlink>
    </w:p>
    <w:p>
      <w:pPr>
        <w:spacing w:after="0" w:line="211" w:lineRule="exact"/>
        <w:rPr>
          <w:rFonts w:ascii="Arial" w:cs="Arial" w:eastAsia="Arial" w:hAnsi="Arial"/>
          <w:sz w:val="16"/>
          <w:szCs w:val="16"/>
          <w:u w:val="single" w:color="auto"/>
          <w:color w:val="0000EE"/>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24" w:lineRule="exact"/>
        <w:rPr>
          <w:rFonts w:ascii="Arial" w:cs="Arial" w:eastAsia="Arial" w:hAnsi="Arial"/>
          <w:sz w:val="16"/>
          <w:szCs w:val="16"/>
          <w:u w:val="single" w:color="auto"/>
          <w:color w:val="0000EE"/>
        </w:rPr>
      </w:pPr>
    </w:p>
    <w:p>
      <w:pPr>
        <w:ind w:left="740"/>
        <w:spacing w:after="0"/>
        <w:tabs>
          <w:tab w:leader="none" w:pos="1360" w:val="left"/>
        </w:tabs>
        <w:rPr>
          <w:rFonts w:ascii="Arial" w:cs="Arial" w:eastAsia="Arial" w:hAnsi="Arial"/>
          <w:sz w:val="16"/>
          <w:szCs w:val="16"/>
          <w:u w:val="single" w:color="auto"/>
          <w:color w:val="0000EE"/>
        </w:rPr>
      </w:pPr>
      <w:hyperlink w:anchor="page10">
        <w:r>
          <w:rPr>
            <w:rFonts w:ascii="Arial" w:cs="Arial" w:eastAsia="Arial" w:hAnsi="Arial"/>
            <w:sz w:val="18"/>
            <w:szCs w:val="18"/>
            <w:u w:val="single" w:color="auto"/>
            <w:color w:val="0000EE"/>
          </w:rPr>
          <w:t>7.3</w:t>
        </w:r>
      </w:hyperlink>
      <w:r>
        <w:rPr>
          <w:rFonts w:ascii="Arial" w:cs="Arial" w:eastAsia="Arial" w:hAnsi="Arial"/>
          <w:sz w:val="18"/>
          <w:szCs w:val="18"/>
          <w:u w:val="single" w:color="auto"/>
          <w:color w:val="0000EE"/>
        </w:rPr>
        <w:tab/>
      </w:r>
      <w:hyperlink w:anchor="page10">
        <w:r>
          <w:rPr>
            <w:rFonts w:ascii="Arial" w:cs="Arial" w:eastAsia="Arial" w:hAnsi="Arial"/>
            <w:sz w:val="16"/>
            <w:szCs w:val="16"/>
            <w:u w:val="single" w:color="auto"/>
            <w:color w:val="0000EE"/>
          </w:rPr>
          <w:t>Non-Disclosure of Agreements</w:t>
        </w:r>
      </w:hyperlink>
    </w:p>
    <w:p>
      <w:pPr>
        <w:spacing w:after="0" w:line="23" w:lineRule="exact"/>
        <w:rPr>
          <w:sz w:val="20"/>
          <w:szCs w:val="20"/>
          <w:color w:val="auto"/>
        </w:rPr>
      </w:pPr>
    </w:p>
    <w:p>
      <w:pPr>
        <w:ind w:left="740"/>
        <w:spacing w:after="0"/>
        <w:tabs>
          <w:tab w:leader="none" w:pos="1360" w:val="left"/>
        </w:tabs>
        <w:rPr>
          <w:rFonts w:ascii="Arial" w:cs="Arial" w:eastAsia="Arial" w:hAnsi="Arial"/>
          <w:sz w:val="16"/>
          <w:szCs w:val="16"/>
          <w:u w:val="single" w:color="auto"/>
          <w:color w:val="0000EE"/>
        </w:rPr>
      </w:pPr>
      <w:hyperlink w:anchor="page10">
        <w:r>
          <w:rPr>
            <w:rFonts w:ascii="Arial" w:cs="Arial" w:eastAsia="Arial" w:hAnsi="Arial"/>
            <w:sz w:val="18"/>
            <w:szCs w:val="18"/>
            <w:u w:val="single" w:color="auto"/>
            <w:color w:val="0000EE"/>
          </w:rPr>
          <w:t>7.4</w:t>
        </w:r>
      </w:hyperlink>
      <w:r>
        <w:rPr>
          <w:rFonts w:ascii="Arial" w:cs="Arial" w:eastAsia="Arial" w:hAnsi="Arial"/>
          <w:sz w:val="18"/>
          <w:szCs w:val="18"/>
          <w:u w:val="single" w:color="auto"/>
          <w:color w:val="0000EE"/>
        </w:rPr>
        <w:tab/>
      </w:r>
      <w:hyperlink w:anchor="page10">
        <w:r>
          <w:rPr>
            <w:rFonts w:ascii="Arial" w:cs="Arial" w:eastAsia="Arial" w:hAnsi="Arial"/>
            <w:sz w:val="16"/>
            <w:szCs w:val="16"/>
            <w:u w:val="single" w:color="auto"/>
            <w:color w:val="0000EE"/>
          </w:rPr>
          <w:t>Public Announcements</w:t>
        </w:r>
      </w:hyperlink>
    </w:p>
    <w:p>
      <w:pPr>
        <w:spacing w:after="0" w:line="9" w:lineRule="exact"/>
        <w:rPr>
          <w:sz w:val="20"/>
          <w:szCs w:val="20"/>
          <w:color w:val="auto"/>
        </w:rPr>
      </w:pPr>
    </w:p>
    <w:p>
      <w:pPr>
        <w:ind w:left="740"/>
        <w:spacing w:after="0"/>
        <w:tabs>
          <w:tab w:leader="none" w:pos="1360" w:val="left"/>
        </w:tabs>
        <w:rPr>
          <w:rFonts w:ascii="Arial" w:cs="Arial" w:eastAsia="Arial" w:hAnsi="Arial"/>
          <w:sz w:val="16"/>
          <w:szCs w:val="16"/>
          <w:u w:val="single" w:color="auto"/>
          <w:color w:val="0000EE"/>
        </w:rPr>
      </w:pPr>
      <w:hyperlink w:anchor="page10">
        <w:r>
          <w:rPr>
            <w:rFonts w:ascii="Arial" w:cs="Arial" w:eastAsia="Arial" w:hAnsi="Arial"/>
            <w:sz w:val="18"/>
            <w:szCs w:val="18"/>
            <w:u w:val="single" w:color="auto"/>
            <w:color w:val="0000EE"/>
          </w:rPr>
          <w:t>7.5</w:t>
        </w:r>
      </w:hyperlink>
      <w:r>
        <w:rPr>
          <w:rFonts w:ascii="Arial" w:cs="Arial" w:eastAsia="Arial" w:hAnsi="Arial"/>
          <w:sz w:val="18"/>
          <w:szCs w:val="18"/>
          <w:u w:val="single" w:color="auto"/>
          <w:color w:val="0000EE"/>
        </w:rPr>
        <w:tab/>
      </w:r>
      <w:hyperlink w:anchor="page10">
        <w:r>
          <w:rPr>
            <w:rFonts w:ascii="Arial" w:cs="Arial" w:eastAsia="Arial" w:hAnsi="Arial"/>
            <w:sz w:val="16"/>
            <w:szCs w:val="16"/>
            <w:u w:val="single" w:color="auto"/>
            <w:color w:val="0000EE"/>
          </w:rPr>
          <w:t>Third Party Information</w:t>
        </w:r>
      </w:hyperlink>
    </w:p>
    <w:p>
      <w:pPr>
        <w:sectPr>
          <w:pgSz w:w="11900" w:h="16838" w:orient="portrait"/>
          <w:cols w:equalWidth="0" w:num="1">
            <w:col w:w="11420"/>
          </w:cols>
          <w:pgMar w:left="240" w:top="121" w:right="239" w:bottom="0" w:gutter="0" w:footer="0" w:header="0"/>
        </w:sectPr>
      </w:pPr>
    </w:p>
    <w:bookmarkStart w:id="3" w:name="page4"/>
    <w:bookmarkEnd w:id="3"/>
    <w:p>
      <w:pPr>
        <w:ind w:left="740"/>
        <w:spacing w:after="0"/>
        <w:tabs>
          <w:tab w:leader="none" w:pos="1360" w:val="left"/>
        </w:tabs>
        <w:rPr>
          <w:rFonts w:ascii="Arial" w:cs="Arial" w:eastAsia="Arial" w:hAnsi="Arial"/>
          <w:sz w:val="16"/>
          <w:szCs w:val="16"/>
          <w:u w:val="single" w:color="auto"/>
          <w:color w:val="0000EE"/>
        </w:rPr>
      </w:pPr>
      <w:hyperlink w:anchor="page10">
        <w:r>
          <w:rPr>
            <w:rFonts w:ascii="Arial" w:cs="Arial" w:eastAsia="Arial" w:hAnsi="Arial"/>
            <w:sz w:val="18"/>
            <w:szCs w:val="18"/>
            <w:u w:val="single" w:color="auto"/>
            <w:color w:val="0000EE"/>
          </w:rPr>
          <w:t>7.6</w:t>
        </w:r>
      </w:hyperlink>
      <w:r>
        <w:rPr>
          <w:rFonts w:ascii="Arial" w:cs="Arial" w:eastAsia="Arial" w:hAnsi="Arial"/>
          <w:sz w:val="18"/>
          <w:szCs w:val="18"/>
          <w:u w:val="single" w:color="auto"/>
          <w:color w:val="0000EE"/>
        </w:rPr>
        <w:tab/>
      </w:r>
      <w:hyperlink w:anchor="page10">
        <w:r>
          <w:rPr>
            <w:rFonts w:ascii="Arial" w:cs="Arial" w:eastAsia="Arial" w:hAnsi="Arial"/>
            <w:sz w:val="16"/>
            <w:szCs w:val="16"/>
            <w:u w:val="single" w:color="auto"/>
            <w:color w:val="0000EE"/>
          </w:rPr>
          <w:t>Other Disclosures</w:t>
        </w:r>
      </w:hyperlink>
    </w:p>
    <w:p>
      <w:pPr>
        <w:spacing w:after="0" w:line="23" w:lineRule="exact"/>
        <w:rPr>
          <w:sz w:val="20"/>
          <w:szCs w:val="20"/>
          <w:color w:val="auto"/>
        </w:rPr>
      </w:pPr>
    </w:p>
    <w:p>
      <w:pPr>
        <w:ind w:left="740"/>
        <w:spacing w:after="0"/>
        <w:tabs>
          <w:tab w:leader="none" w:pos="1360" w:val="left"/>
        </w:tabs>
        <w:rPr>
          <w:rFonts w:ascii="Arial" w:cs="Arial" w:eastAsia="Arial" w:hAnsi="Arial"/>
          <w:sz w:val="16"/>
          <w:szCs w:val="16"/>
          <w:u w:val="single" w:color="auto"/>
          <w:color w:val="0000EE"/>
        </w:rPr>
      </w:pPr>
      <w:hyperlink w:anchor="page10">
        <w:r>
          <w:rPr>
            <w:rFonts w:ascii="Arial" w:cs="Arial" w:eastAsia="Arial" w:hAnsi="Arial"/>
            <w:sz w:val="18"/>
            <w:szCs w:val="18"/>
            <w:u w:val="single" w:color="auto"/>
            <w:color w:val="0000EE"/>
          </w:rPr>
          <w:t>7.7</w:t>
        </w:r>
      </w:hyperlink>
      <w:r>
        <w:rPr>
          <w:rFonts w:ascii="Arial" w:cs="Arial" w:eastAsia="Arial" w:hAnsi="Arial"/>
          <w:sz w:val="18"/>
          <w:szCs w:val="18"/>
          <w:u w:val="single" w:color="auto"/>
          <w:color w:val="0000EE"/>
        </w:rPr>
        <w:tab/>
      </w:r>
      <w:hyperlink w:anchor="page10">
        <w:r>
          <w:rPr>
            <w:rFonts w:ascii="Arial" w:cs="Arial" w:eastAsia="Arial" w:hAnsi="Arial"/>
            <w:sz w:val="16"/>
            <w:szCs w:val="16"/>
            <w:u w:val="single" w:color="auto"/>
            <w:color w:val="0000EE"/>
          </w:rPr>
          <w:t>Disclosure of Tax Treatment, Etc.</w:t>
        </w:r>
      </w:hyperlink>
    </w:p>
    <w:p>
      <w:pPr>
        <w:spacing w:after="0" w:line="211" w:lineRule="exact"/>
        <w:rPr>
          <w:sz w:val="20"/>
          <w:szCs w:val="20"/>
          <w:color w:val="auto"/>
        </w:rPr>
      </w:pPr>
    </w:p>
    <w:p>
      <w:pPr>
        <w:ind w:left="740" w:hanging="732"/>
        <w:spacing w:after="0"/>
        <w:tabs>
          <w:tab w:leader="none" w:pos="740" w:val="left"/>
        </w:tabs>
        <w:numPr>
          <w:ilvl w:val="0"/>
          <w:numId w:val="3"/>
        </w:numPr>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MISCELLANEOUS</w:t>
        </w:r>
      </w:hyperlink>
    </w:p>
    <w:p>
      <w:pPr>
        <w:spacing w:after="0" w:line="23" w:lineRule="exact"/>
        <w:rPr>
          <w:rFonts w:ascii="Arial" w:cs="Arial" w:eastAsia="Arial" w:hAnsi="Arial"/>
          <w:sz w:val="18"/>
          <w:szCs w:val="18"/>
          <w:u w:val="single" w:color="auto"/>
          <w:color w:val="0000EE"/>
        </w:rPr>
      </w:pPr>
    </w:p>
    <w:p>
      <w:pPr>
        <w:ind w:left="740"/>
        <w:spacing w:after="0"/>
        <w:rPr>
          <w:rFonts w:ascii="Arial" w:cs="Arial" w:eastAsia="Arial" w:hAnsi="Arial"/>
          <w:sz w:val="16"/>
          <w:szCs w:val="16"/>
          <w:u w:val="single" w:color="auto"/>
          <w:color w:val="0000EE"/>
        </w:rPr>
      </w:pPr>
      <w:hyperlink w:anchor="page11">
        <w:r>
          <w:rPr>
            <w:rFonts w:ascii="Arial" w:cs="Arial" w:eastAsia="Arial" w:hAnsi="Arial"/>
            <w:sz w:val="18"/>
            <w:szCs w:val="18"/>
            <w:u w:val="single" w:color="auto"/>
            <w:color w:val="0000EE"/>
          </w:rPr>
          <w:t>8.1</w:t>
        </w:r>
      </w:hyperlink>
      <w:hyperlink w:anchor="page11">
        <w:r>
          <w:rPr>
            <w:rFonts w:ascii="Arial" w:cs="Arial" w:eastAsia="Arial" w:hAnsi="Arial"/>
            <w:sz w:val="16"/>
            <w:szCs w:val="16"/>
            <w:u w:val="single" w:color="auto"/>
            <w:color w:val="0000EE"/>
          </w:rPr>
          <w:t>Governing Law</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6"/>
          <w:szCs w:val="16"/>
          <w:u w:val="single" w:color="auto"/>
          <w:color w:val="0000EE"/>
        </w:rPr>
      </w:pPr>
      <w:hyperlink w:anchor="page11">
        <w:r>
          <w:rPr>
            <w:rFonts w:ascii="Arial" w:cs="Arial" w:eastAsia="Arial" w:hAnsi="Arial"/>
            <w:sz w:val="18"/>
            <w:szCs w:val="18"/>
            <w:u w:val="single" w:color="auto"/>
            <w:color w:val="0000EE"/>
          </w:rPr>
          <w:t>8.2</w:t>
        </w:r>
      </w:hyperlink>
      <w:hyperlink w:anchor="page11">
        <w:r>
          <w:rPr>
            <w:rFonts w:ascii="Arial" w:cs="Arial" w:eastAsia="Arial" w:hAnsi="Arial"/>
            <w:sz w:val="16"/>
            <w:szCs w:val="16"/>
            <w:u w:val="single" w:color="auto"/>
            <w:color w:val="0000EE"/>
          </w:rPr>
          <w:t>Survival</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5"/>
          <w:szCs w:val="15"/>
          <w:u w:val="single" w:color="auto"/>
          <w:color w:val="0000EE"/>
        </w:rPr>
      </w:pPr>
      <w:hyperlink w:anchor="page11">
        <w:r>
          <w:rPr>
            <w:rFonts w:ascii="Arial" w:cs="Arial" w:eastAsia="Arial" w:hAnsi="Arial"/>
            <w:sz w:val="18"/>
            <w:szCs w:val="18"/>
            <w:u w:val="single" w:color="auto"/>
            <w:color w:val="0000EE"/>
          </w:rPr>
          <w:t>8.3</w:t>
        </w:r>
      </w:hyperlink>
      <w:hyperlink w:anchor="page11">
        <w:r>
          <w:rPr>
            <w:rFonts w:ascii="Arial" w:cs="Arial" w:eastAsia="Arial" w:hAnsi="Arial"/>
            <w:sz w:val="15"/>
            <w:szCs w:val="15"/>
            <w:u w:val="single" w:color="auto"/>
            <w:color w:val="0000EE"/>
          </w:rPr>
          <w:t>Successors and Assigns</w:t>
        </w:r>
      </w:hyperlink>
    </w:p>
    <w:p>
      <w:pPr>
        <w:spacing w:after="0" w:line="9" w:lineRule="exact"/>
        <w:rPr>
          <w:rFonts w:ascii="Arial" w:cs="Arial" w:eastAsia="Arial" w:hAnsi="Arial"/>
          <w:sz w:val="15"/>
          <w:szCs w:val="15"/>
          <w:u w:val="single" w:color="auto"/>
          <w:color w:val="0000EE"/>
        </w:rPr>
      </w:pPr>
    </w:p>
    <w:p>
      <w:pPr>
        <w:ind w:left="740"/>
        <w:spacing w:after="0"/>
        <w:rPr>
          <w:rFonts w:ascii="Arial" w:cs="Arial" w:eastAsia="Arial" w:hAnsi="Arial"/>
          <w:sz w:val="16"/>
          <w:szCs w:val="16"/>
          <w:u w:val="single" w:color="auto"/>
          <w:color w:val="0000EE"/>
        </w:rPr>
      </w:pPr>
      <w:hyperlink w:anchor="page11">
        <w:r>
          <w:rPr>
            <w:rFonts w:ascii="Arial" w:cs="Arial" w:eastAsia="Arial" w:hAnsi="Arial"/>
            <w:sz w:val="18"/>
            <w:szCs w:val="18"/>
            <w:u w:val="single" w:color="auto"/>
            <w:color w:val="0000EE"/>
          </w:rPr>
          <w:t>8.4</w:t>
        </w:r>
      </w:hyperlink>
      <w:hyperlink w:anchor="page11">
        <w:r>
          <w:rPr>
            <w:rFonts w:ascii="Arial" w:cs="Arial" w:eastAsia="Arial" w:hAnsi="Arial"/>
            <w:sz w:val="16"/>
            <w:szCs w:val="16"/>
            <w:u w:val="single" w:color="auto"/>
            <w:color w:val="0000EE"/>
          </w:rPr>
          <w:t>Entire Agreement</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6"/>
          <w:szCs w:val="16"/>
          <w:u w:val="single" w:color="auto"/>
          <w:color w:val="0000EE"/>
        </w:rPr>
      </w:pPr>
      <w:hyperlink w:anchor="page11">
        <w:r>
          <w:rPr>
            <w:rFonts w:ascii="Arial" w:cs="Arial" w:eastAsia="Arial" w:hAnsi="Arial"/>
            <w:sz w:val="18"/>
            <w:szCs w:val="18"/>
            <w:u w:val="single" w:color="auto"/>
            <w:color w:val="0000EE"/>
          </w:rPr>
          <w:t>8.5</w:t>
        </w:r>
      </w:hyperlink>
      <w:hyperlink w:anchor="page11">
        <w:r>
          <w:rPr>
            <w:rFonts w:ascii="Arial" w:cs="Arial" w:eastAsia="Arial" w:hAnsi="Arial"/>
            <w:sz w:val="16"/>
            <w:szCs w:val="16"/>
            <w:u w:val="single" w:color="auto"/>
            <w:color w:val="0000EE"/>
          </w:rPr>
          <w:t>Notices</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6"/>
          <w:szCs w:val="16"/>
          <w:u w:val="single" w:color="auto"/>
          <w:color w:val="0000EE"/>
        </w:rPr>
      </w:pPr>
      <w:hyperlink w:anchor="page11">
        <w:r>
          <w:rPr>
            <w:rFonts w:ascii="Arial" w:cs="Arial" w:eastAsia="Arial" w:hAnsi="Arial"/>
            <w:sz w:val="18"/>
            <w:szCs w:val="18"/>
            <w:u w:val="single" w:color="auto"/>
            <w:color w:val="0000EE"/>
          </w:rPr>
          <w:t>8.6</w:t>
        </w:r>
      </w:hyperlink>
      <w:hyperlink w:anchor="page11">
        <w:r>
          <w:rPr>
            <w:rFonts w:ascii="Arial" w:cs="Arial" w:eastAsia="Arial" w:hAnsi="Arial"/>
            <w:sz w:val="16"/>
            <w:szCs w:val="16"/>
            <w:u w:val="single" w:color="auto"/>
            <w:color w:val="0000EE"/>
          </w:rPr>
          <w:t>Amendments</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6"/>
          <w:szCs w:val="16"/>
          <w:u w:val="single" w:color="auto"/>
          <w:color w:val="0000EE"/>
        </w:rPr>
      </w:pPr>
      <w:hyperlink w:anchor="page11">
        <w:r>
          <w:rPr>
            <w:rFonts w:ascii="Arial" w:cs="Arial" w:eastAsia="Arial" w:hAnsi="Arial"/>
            <w:sz w:val="18"/>
            <w:szCs w:val="18"/>
            <w:u w:val="single" w:color="auto"/>
            <w:color w:val="0000EE"/>
          </w:rPr>
          <w:t>8.7</w:t>
        </w:r>
      </w:hyperlink>
      <w:hyperlink w:anchor="page11">
        <w:r>
          <w:rPr>
            <w:rFonts w:ascii="Arial" w:cs="Arial" w:eastAsia="Arial" w:hAnsi="Arial"/>
            <w:sz w:val="16"/>
            <w:szCs w:val="16"/>
            <w:u w:val="single" w:color="auto"/>
            <w:color w:val="0000EE"/>
          </w:rPr>
          <w:t>Delays or Omissions</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5"/>
          <w:szCs w:val="15"/>
          <w:u w:val="single" w:color="auto"/>
          <w:color w:val="0000EE"/>
        </w:rPr>
      </w:pPr>
      <w:hyperlink w:anchor="page11">
        <w:r>
          <w:rPr>
            <w:rFonts w:ascii="Arial" w:cs="Arial" w:eastAsia="Arial" w:hAnsi="Arial"/>
            <w:sz w:val="18"/>
            <w:szCs w:val="18"/>
            <w:u w:val="single" w:color="auto"/>
            <w:color w:val="0000EE"/>
          </w:rPr>
          <w:t>8.8</w:t>
        </w:r>
      </w:hyperlink>
      <w:hyperlink w:anchor="page11">
        <w:r>
          <w:rPr>
            <w:rFonts w:ascii="Arial" w:cs="Arial" w:eastAsia="Arial" w:hAnsi="Arial"/>
            <w:sz w:val="15"/>
            <w:szCs w:val="15"/>
            <w:u w:val="single" w:color="auto"/>
            <w:color w:val="0000EE"/>
          </w:rPr>
          <w:t>Legal Fees</w:t>
        </w:r>
      </w:hyperlink>
    </w:p>
    <w:p>
      <w:pPr>
        <w:spacing w:after="0" w:line="9" w:lineRule="exact"/>
        <w:rPr>
          <w:rFonts w:ascii="Arial" w:cs="Arial" w:eastAsia="Arial" w:hAnsi="Arial"/>
          <w:sz w:val="15"/>
          <w:szCs w:val="15"/>
          <w:u w:val="single" w:color="auto"/>
          <w:color w:val="0000EE"/>
        </w:rPr>
      </w:pPr>
    </w:p>
    <w:p>
      <w:pPr>
        <w:ind w:left="740"/>
        <w:spacing w:after="0"/>
        <w:rPr>
          <w:rFonts w:ascii="Arial" w:cs="Arial" w:eastAsia="Arial" w:hAnsi="Arial"/>
          <w:sz w:val="16"/>
          <w:szCs w:val="16"/>
          <w:u w:val="single" w:color="auto"/>
          <w:color w:val="0000EE"/>
        </w:rPr>
      </w:pPr>
      <w:hyperlink w:anchor="page11">
        <w:r>
          <w:rPr>
            <w:rFonts w:ascii="Arial" w:cs="Arial" w:eastAsia="Arial" w:hAnsi="Arial"/>
            <w:sz w:val="18"/>
            <w:szCs w:val="18"/>
            <w:u w:val="single" w:color="auto"/>
            <w:color w:val="0000EE"/>
          </w:rPr>
          <w:t>8.9</w:t>
        </w:r>
      </w:hyperlink>
      <w:hyperlink w:anchor="page11">
        <w:r>
          <w:rPr>
            <w:rFonts w:ascii="Arial" w:cs="Arial" w:eastAsia="Arial" w:hAnsi="Arial"/>
            <w:sz w:val="16"/>
            <w:szCs w:val="16"/>
            <w:u w:val="single" w:color="auto"/>
            <w:color w:val="0000EE"/>
          </w:rPr>
          <w:t>Titles and Subtitles</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8.10    Counterparts</w:t>
        </w:r>
      </w:hyperlink>
    </w:p>
    <w:p>
      <w:pPr>
        <w:spacing w:after="0" w:line="9" w:lineRule="exact"/>
        <w:rPr>
          <w:rFonts w:ascii="Arial" w:cs="Arial" w:eastAsia="Arial" w:hAnsi="Arial"/>
          <w:sz w:val="18"/>
          <w:szCs w:val="18"/>
          <w:u w:val="single" w:color="auto"/>
          <w:color w:val="0000EE"/>
        </w:rPr>
      </w:pPr>
    </w:p>
    <w:p>
      <w:pPr>
        <w:ind w:left="740"/>
        <w:spacing w:after="0"/>
        <w:rPr>
          <w:rFonts w:ascii="Arial" w:cs="Arial" w:eastAsia="Arial" w:hAnsi="Arial"/>
          <w:sz w:val="16"/>
          <w:szCs w:val="16"/>
          <w:u w:val="single" w:color="auto"/>
          <w:color w:val="0000EE"/>
        </w:rPr>
      </w:pPr>
      <w:hyperlink w:anchor="page12">
        <w:r>
          <w:rPr>
            <w:rFonts w:ascii="Arial" w:cs="Arial" w:eastAsia="Arial" w:hAnsi="Arial"/>
            <w:sz w:val="18"/>
            <w:szCs w:val="18"/>
            <w:u w:val="single" w:color="auto"/>
            <w:color w:val="0000EE"/>
          </w:rPr>
          <w:t>8.11</w:t>
        </w:r>
      </w:hyperlink>
      <w:hyperlink w:anchor="page12">
        <w:r>
          <w:rPr>
            <w:rFonts w:ascii="Arial" w:cs="Arial" w:eastAsia="Arial" w:hAnsi="Arial"/>
            <w:sz w:val="16"/>
            <w:szCs w:val="16"/>
            <w:u w:val="single" w:color="auto"/>
            <w:color w:val="0000EE"/>
          </w:rPr>
          <w:t>Severability</w:t>
        </w:r>
      </w:hyperlink>
    </w:p>
    <w:p>
      <w:pPr>
        <w:spacing w:after="0" w:line="9" w:lineRule="exact"/>
        <w:rPr>
          <w:rFonts w:ascii="Arial" w:cs="Arial" w:eastAsia="Arial" w:hAnsi="Arial"/>
          <w:sz w:val="16"/>
          <w:szCs w:val="16"/>
          <w:u w:val="single" w:color="auto"/>
          <w:color w:val="0000EE"/>
        </w:rPr>
      </w:pPr>
    </w:p>
    <w:p>
      <w:pPr>
        <w:ind w:left="7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8.12    Dispute Resolution</w:t>
        </w:r>
      </w:hyperlink>
    </w:p>
    <w:p>
      <w:pPr>
        <w:spacing w:after="0" w:line="9" w:lineRule="exact"/>
        <w:rPr>
          <w:rFonts w:ascii="Arial" w:cs="Arial" w:eastAsia="Arial" w:hAnsi="Arial"/>
          <w:sz w:val="18"/>
          <w:szCs w:val="18"/>
          <w:u w:val="single" w:color="auto"/>
          <w:color w:val="0000EE"/>
        </w:rPr>
      </w:pPr>
    </w:p>
    <w:p>
      <w:pPr>
        <w:ind w:left="7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8.13    No Third Parties Benefited</w:t>
        </w:r>
      </w:hyperlink>
    </w:p>
    <w:p>
      <w:pPr>
        <w:spacing w:after="0" w:line="9" w:lineRule="exact"/>
        <w:rPr>
          <w:rFonts w:ascii="Arial" w:cs="Arial" w:eastAsia="Arial" w:hAnsi="Arial"/>
          <w:sz w:val="18"/>
          <w:szCs w:val="18"/>
          <w:u w:val="single" w:color="auto"/>
          <w:color w:val="0000EE"/>
        </w:rPr>
      </w:pPr>
    </w:p>
    <w:p>
      <w:pPr>
        <w:ind w:left="7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8.14    Meaning of Include and Including</w:t>
        </w:r>
      </w:hyperlink>
    </w:p>
    <w:p>
      <w:pPr>
        <w:spacing w:after="0" w:line="9" w:lineRule="exact"/>
        <w:rPr>
          <w:rFonts w:ascii="Arial" w:cs="Arial" w:eastAsia="Arial" w:hAnsi="Arial"/>
          <w:sz w:val="18"/>
          <w:szCs w:val="18"/>
          <w:u w:val="single" w:color="auto"/>
          <w:color w:val="0000EE"/>
        </w:rPr>
      </w:pPr>
    </w:p>
    <w:p>
      <w:pPr>
        <w:ind w:left="7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8.15    Fees, Costs and Expenses</w:t>
        </w:r>
      </w:hyperlink>
    </w:p>
    <w:p>
      <w:pPr>
        <w:spacing w:after="0" w:line="9" w:lineRule="exact"/>
        <w:rPr>
          <w:rFonts w:ascii="Arial" w:cs="Arial" w:eastAsia="Arial" w:hAnsi="Arial"/>
          <w:sz w:val="18"/>
          <w:szCs w:val="18"/>
          <w:u w:val="single" w:color="auto"/>
          <w:color w:val="0000EE"/>
        </w:rPr>
      </w:pPr>
    </w:p>
    <w:p>
      <w:pPr>
        <w:ind w:left="7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8.16    Competition</w:t>
        </w:r>
      </w:hyperlink>
    </w:p>
    <w:p>
      <w:pPr>
        <w:spacing w:after="0" w:line="211" w:lineRule="exact"/>
        <w:rPr>
          <w:rFonts w:ascii="Arial" w:cs="Arial" w:eastAsia="Arial" w:hAnsi="Arial"/>
          <w:sz w:val="18"/>
          <w:szCs w:val="18"/>
          <w:u w:val="single" w:color="auto"/>
          <w:color w:val="0000EE"/>
        </w:rPr>
      </w:pPr>
    </w:p>
    <w:p>
      <w:pPr>
        <w:jc w:val="center"/>
        <w:ind w:right="-79"/>
        <w:spacing w:after="0"/>
        <w:rPr>
          <w:sz w:val="20"/>
          <w:szCs w:val="20"/>
          <w:color w:val="auto"/>
        </w:rPr>
      </w:pPr>
      <w:r>
        <w:rPr>
          <w:rFonts w:ascii="Arial" w:cs="Arial" w:eastAsia="Arial" w:hAnsi="Arial"/>
          <w:sz w:val="18"/>
          <w:szCs w:val="18"/>
          <w:color w:val="auto"/>
        </w:rPr>
        <w:t>ii</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33" w:lineRule="exact"/>
        <w:rPr>
          <w:rFonts w:ascii="Arial" w:cs="Arial" w:eastAsia="Arial" w:hAnsi="Arial"/>
          <w:sz w:val="18"/>
          <w:szCs w:val="18"/>
          <w:u w:val="single" w:color="auto"/>
          <w:color w:val="0000EE"/>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SECURITIES PURCHASE AGREEMENT</w:t>
      </w:r>
    </w:p>
    <w:p>
      <w:pPr>
        <w:spacing w:after="0" w:line="229" w:lineRule="exact"/>
        <w:rPr>
          <w:rFonts w:ascii="Arial" w:cs="Arial" w:eastAsia="Arial" w:hAnsi="Arial"/>
          <w:sz w:val="18"/>
          <w:szCs w:val="18"/>
          <w:u w:val="single" w:color="auto"/>
          <w:color w:val="0000EE"/>
        </w:rPr>
      </w:pPr>
    </w:p>
    <w:p>
      <w:pPr>
        <w:ind w:right="560" w:firstLine="648"/>
        <w:spacing w:after="0" w:line="308" w:lineRule="auto"/>
        <w:rPr>
          <w:sz w:val="20"/>
          <w:szCs w:val="20"/>
          <w:color w:val="auto"/>
        </w:rPr>
      </w:pPr>
      <w:r>
        <w:rPr>
          <w:rFonts w:ascii="Arial" w:cs="Arial" w:eastAsia="Arial" w:hAnsi="Arial"/>
          <w:sz w:val="17"/>
          <w:szCs w:val="17"/>
          <w:color w:val="auto"/>
        </w:rPr>
        <w:t>This Securities Purchase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September 24, 2003 by and between Micron Technology,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or the “</w:t>
      </w:r>
      <w:r>
        <w:rPr>
          <w:rFonts w:ascii="Arial" w:cs="Arial" w:eastAsia="Arial" w:hAnsi="Arial"/>
          <w:sz w:val="17"/>
          <w:szCs w:val="17"/>
          <w:u w:val="single" w:color="auto"/>
          <w:color w:val="auto"/>
        </w:rPr>
        <w:t>Corporation</w:t>
      </w:r>
      <w:r>
        <w:rPr>
          <w:rFonts w:ascii="Arial" w:cs="Arial" w:eastAsia="Arial" w:hAnsi="Arial"/>
          <w:sz w:val="17"/>
          <w:szCs w:val="17"/>
          <w:color w:val="auto"/>
        </w:rPr>
        <w:t>”) and Intel Capital Corporation, a Cayman Islands corporation (“</w:t>
      </w:r>
      <w:r>
        <w:rPr>
          <w:rFonts w:ascii="Arial" w:cs="Arial" w:eastAsia="Arial" w:hAnsi="Arial"/>
          <w:sz w:val="17"/>
          <w:szCs w:val="17"/>
          <w:u w:val="single" w:color="auto"/>
          <w:color w:val="auto"/>
        </w:rPr>
        <w:t>Intel Capital</w:t>
      </w:r>
      <w:r>
        <w:rPr>
          <w:rFonts w:ascii="Arial" w:cs="Arial" w:eastAsia="Arial" w:hAnsi="Arial"/>
          <w:sz w:val="17"/>
          <w:szCs w:val="17"/>
          <w:color w:val="auto"/>
        </w:rPr>
        <w:t>”).</w:t>
      </w:r>
    </w:p>
    <w:p>
      <w:pPr>
        <w:spacing w:after="0" w:line="147" w:lineRule="exact"/>
        <w:rPr>
          <w:rFonts w:ascii="Arial" w:cs="Arial" w:eastAsia="Arial" w:hAnsi="Arial"/>
          <w:sz w:val="18"/>
          <w:szCs w:val="18"/>
          <w:u w:val="single" w:color="auto"/>
          <w:color w:val="0000EE"/>
        </w:rPr>
      </w:pPr>
    </w:p>
    <w:p>
      <w:pPr>
        <w:jc w:val="both"/>
        <w:ind w:right="520" w:firstLine="648"/>
        <w:spacing w:after="0" w:line="264" w:lineRule="auto"/>
        <w:rPr>
          <w:sz w:val="20"/>
          <w:szCs w:val="20"/>
          <w:color w:val="auto"/>
        </w:rPr>
      </w:pPr>
      <w:r>
        <w:rPr>
          <w:rFonts w:ascii="Arial" w:cs="Arial" w:eastAsia="Arial" w:hAnsi="Arial"/>
          <w:sz w:val="18"/>
          <w:szCs w:val="18"/>
          <w:color w:val="auto"/>
        </w:rPr>
        <w:t>WHEREAS, Intel Capital is willing, pursuant to the terms and conditions of this Agreement, to purchase from the Company, for an aggregate amount of $449,999,998.05, Rights (as defined below) to acquire 33,860,045 shares of the Company’s Common Stock, par value $0.10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81" w:lineRule="exact"/>
        <w:rPr>
          <w:rFonts w:ascii="Arial" w:cs="Arial" w:eastAsia="Arial" w:hAnsi="Arial"/>
          <w:sz w:val="18"/>
          <w:szCs w:val="18"/>
          <w:u w:val="single" w:color="auto"/>
          <w:color w:val="0000EE"/>
        </w:rPr>
      </w:pPr>
    </w:p>
    <w:p>
      <w:pPr>
        <w:ind w:right="80" w:firstLine="648"/>
        <w:spacing w:after="0" w:line="277" w:lineRule="auto"/>
        <w:rPr>
          <w:sz w:val="20"/>
          <w:szCs w:val="20"/>
          <w:color w:val="auto"/>
        </w:rPr>
      </w:pPr>
      <w:r>
        <w:rPr>
          <w:rFonts w:ascii="Arial" w:cs="Arial" w:eastAsia="Arial" w:hAnsi="Arial"/>
          <w:sz w:val="18"/>
          <w:szCs w:val="18"/>
          <w:color w:val="auto"/>
        </w:rPr>
        <w:t>WHEREAS, at the closing of the transactions contemplated hereby, the Company and Intel Capital will enter into the Rights Agreement, the Rights and Restrictions Agreement and the Business Agreement (each as defined below).</w:t>
      </w:r>
    </w:p>
    <w:p>
      <w:pPr>
        <w:spacing w:after="0" w:line="170" w:lineRule="exact"/>
        <w:rPr>
          <w:rFonts w:ascii="Arial" w:cs="Arial" w:eastAsia="Arial" w:hAnsi="Arial"/>
          <w:sz w:val="18"/>
          <w:szCs w:val="18"/>
          <w:u w:val="single" w:color="auto"/>
          <w:color w:val="0000EE"/>
        </w:rPr>
      </w:pPr>
    </w:p>
    <w:p>
      <w:pPr>
        <w:ind w:left="660"/>
        <w:spacing w:after="0"/>
        <w:rPr>
          <w:sz w:val="20"/>
          <w:szCs w:val="20"/>
          <w:color w:val="auto"/>
        </w:rPr>
      </w:pPr>
      <w:r>
        <w:rPr>
          <w:rFonts w:ascii="Arial" w:cs="Arial" w:eastAsia="Arial" w:hAnsi="Arial"/>
          <w:sz w:val="18"/>
          <w:szCs w:val="18"/>
          <w:color w:val="auto"/>
        </w:rPr>
        <w:t>NOW, THEREFORE, the parties hereby agree as follows:</w:t>
      </w:r>
    </w:p>
    <w:p>
      <w:pPr>
        <w:spacing w:after="0" w:line="221" w:lineRule="exact"/>
        <w:rPr>
          <w:rFonts w:ascii="Arial" w:cs="Arial" w:eastAsia="Arial" w:hAnsi="Arial"/>
          <w:sz w:val="18"/>
          <w:szCs w:val="18"/>
          <w:u w:val="single" w:color="auto"/>
          <w:color w:val="0000EE"/>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6"/>
          <w:szCs w:val="16"/>
          <w:u w:val="single" w:color="auto"/>
          <w:color w:val="auto"/>
        </w:rPr>
        <w:t>Certain Defined Terms; Interpretation</w:t>
      </w:r>
      <w:r>
        <w:rPr>
          <w:rFonts w:ascii="Arial" w:cs="Arial" w:eastAsia="Arial" w:hAnsi="Arial"/>
          <w:sz w:val="16"/>
          <w:szCs w:val="16"/>
          <w:color w:val="auto"/>
        </w:rPr>
        <w:t>. The following terms shall have the following respective meanings.</w:t>
      </w:r>
    </w:p>
    <w:p>
      <w:pPr>
        <w:spacing w:after="0" w:line="225" w:lineRule="exact"/>
        <w:rPr>
          <w:rFonts w:ascii="Arial" w:cs="Arial" w:eastAsia="Arial" w:hAnsi="Arial"/>
          <w:sz w:val="18"/>
          <w:szCs w:val="18"/>
          <w:u w:val="single" w:color="auto"/>
          <w:color w:val="0000EE"/>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Person directly or indirectly controlling, controlled by, or under common control with, such other Person. For purposes of this definition, “</w:t>
      </w:r>
      <w:r>
        <w:rPr>
          <w:rFonts w:ascii="Arial" w:cs="Arial" w:eastAsia="Arial" w:hAnsi="Arial"/>
          <w:sz w:val="18"/>
          <w:szCs w:val="18"/>
          <w:u w:val="single" w:color="auto"/>
          <w:color w:val="auto"/>
        </w:rPr>
        <w:t>control</w:t>
      </w:r>
      <w:r>
        <w:rPr>
          <w:rFonts w:ascii="Arial" w:cs="Arial" w:eastAsia="Arial" w:hAnsi="Arial"/>
          <w:sz w:val="18"/>
          <w:szCs w:val="18"/>
          <w:color w:val="auto"/>
        </w:rPr>
        <w:t>” when used with respect to any Person, means the possession, directly or indirectly, of the power to direct or cause the direction of the management and policies of such Person, whether through the ownership of voting securities, by contract or otherwise;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to the foregoing.</w:t>
      </w:r>
    </w:p>
    <w:p>
      <w:pPr>
        <w:spacing w:after="0" w:line="187" w:lineRule="exact"/>
        <w:rPr>
          <w:rFonts w:ascii="Arial" w:cs="Arial" w:eastAsia="Arial" w:hAnsi="Arial"/>
          <w:sz w:val="18"/>
          <w:szCs w:val="18"/>
          <w:u w:val="single" w:color="auto"/>
          <w:color w:val="0000EE"/>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Agreement</w:t>
      </w:r>
      <w:r>
        <w:rPr>
          <w:rFonts w:ascii="Arial" w:cs="Arial" w:eastAsia="Arial" w:hAnsi="Arial"/>
          <w:sz w:val="18"/>
          <w:szCs w:val="18"/>
          <w:color w:val="auto"/>
        </w:rPr>
        <w:t>” shall mean that certain Business Agreement by and between Intel and the Company, dated as of the date hereof, in the form attached to this Agreement as Exhibit A.</w:t>
      </w:r>
    </w:p>
    <w:p>
      <w:pPr>
        <w:spacing w:after="0" w:line="170" w:lineRule="exact"/>
        <w:rPr>
          <w:rFonts w:ascii="Arial" w:cs="Arial" w:eastAsia="Arial" w:hAnsi="Arial"/>
          <w:sz w:val="18"/>
          <w:szCs w:val="18"/>
          <w:u w:val="single" w:color="auto"/>
          <w:color w:val="0000EE"/>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on which commercial banks are not authorized or required to close in either Boise, Idaho or San Francisco, California.</w:t>
      </w:r>
    </w:p>
    <w:p>
      <w:pPr>
        <w:spacing w:after="0" w:line="170" w:lineRule="exact"/>
        <w:rPr>
          <w:rFonts w:ascii="Arial" w:cs="Arial" w:eastAsia="Arial" w:hAnsi="Arial"/>
          <w:sz w:val="18"/>
          <w:szCs w:val="18"/>
          <w:u w:val="single" w:color="auto"/>
          <w:color w:val="0000EE"/>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have the meaning set forth in the recitals to this Agreement.</w:t>
      </w:r>
    </w:p>
    <w:p>
      <w:pPr>
        <w:spacing w:after="0" w:line="225" w:lineRule="exact"/>
        <w:rPr>
          <w:rFonts w:ascii="Arial" w:cs="Arial" w:eastAsia="Arial" w:hAnsi="Arial"/>
          <w:sz w:val="18"/>
          <w:szCs w:val="18"/>
          <w:u w:val="single" w:color="auto"/>
          <w:color w:val="0000EE"/>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promulgated thereunder, all as the same shall be in effect from time to time.</w:t>
      </w:r>
    </w:p>
    <w:p>
      <w:pPr>
        <w:spacing w:after="0" w:line="170" w:lineRule="exact"/>
        <w:rPr>
          <w:rFonts w:ascii="Arial" w:cs="Arial" w:eastAsia="Arial" w:hAnsi="Arial"/>
          <w:sz w:val="18"/>
          <w:szCs w:val="18"/>
          <w:u w:val="single" w:color="auto"/>
          <w:color w:val="0000EE"/>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shall mean Hart-Scott-Rodino Antitrust Improvements Act of 1976, as amended.</w:t>
      </w:r>
    </w:p>
    <w:p>
      <w:pPr>
        <w:spacing w:after="0" w:line="225" w:lineRule="exact"/>
        <w:rPr>
          <w:rFonts w:ascii="Arial" w:cs="Arial" w:eastAsia="Arial" w:hAnsi="Arial"/>
          <w:sz w:val="18"/>
          <w:szCs w:val="18"/>
          <w:u w:val="single" w:color="auto"/>
          <w:color w:val="0000EE"/>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w:t>
      </w:r>
      <w:r>
        <w:rPr>
          <w:rFonts w:ascii="Arial" w:cs="Arial" w:eastAsia="Arial" w:hAnsi="Arial"/>
          <w:sz w:val="18"/>
          <w:szCs w:val="18"/>
          <w:color w:val="auto"/>
        </w:rPr>
        <w:t>” shall mean Intel Corporation, a Delaware corporation.</w:t>
      </w:r>
    </w:p>
    <w:p>
      <w:pPr>
        <w:spacing w:after="0" w:line="225" w:lineRule="exact"/>
        <w:rPr>
          <w:rFonts w:ascii="Arial" w:cs="Arial" w:eastAsia="Arial" w:hAnsi="Arial"/>
          <w:sz w:val="18"/>
          <w:szCs w:val="18"/>
          <w:u w:val="single" w:color="auto"/>
          <w:color w:val="0000EE"/>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shall mean the New York Stock Exchange.</w:t>
      </w:r>
    </w:p>
    <w:p>
      <w:pPr>
        <w:spacing w:after="0" w:line="225" w:lineRule="exact"/>
        <w:rPr>
          <w:rFonts w:ascii="Arial" w:cs="Arial" w:eastAsia="Arial" w:hAnsi="Arial"/>
          <w:sz w:val="18"/>
          <w:szCs w:val="18"/>
          <w:u w:val="single" w:color="auto"/>
          <w:color w:val="0000EE"/>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24" w:lineRule="exact"/>
        <w:rPr>
          <w:rFonts w:ascii="Arial" w:cs="Arial" w:eastAsia="Arial" w:hAnsi="Arial"/>
          <w:sz w:val="18"/>
          <w:szCs w:val="18"/>
          <w:u w:val="single" w:color="auto"/>
          <w:color w:val="0000EE"/>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individual, corporation, company, voluntary association, partnership, joint venture, limited liability company, trust, estate, unincorporated organization, governmental authority or other entity.</w:t>
      </w:r>
    </w:p>
    <w:p>
      <w:pPr>
        <w:spacing w:after="0" w:line="170" w:lineRule="exact"/>
        <w:rPr>
          <w:rFonts w:ascii="Arial" w:cs="Arial" w:eastAsia="Arial" w:hAnsi="Arial"/>
          <w:sz w:val="18"/>
          <w:szCs w:val="18"/>
          <w:u w:val="single" w:color="auto"/>
          <w:color w:val="0000EE"/>
        </w:rPr>
      </w:pPr>
    </w:p>
    <w:p>
      <w:pPr>
        <w:ind w:right="3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Rights</w:t>
      </w:r>
      <w:r>
        <w:rPr>
          <w:rFonts w:ascii="Arial" w:cs="Arial" w:eastAsia="Arial" w:hAnsi="Arial"/>
          <w:sz w:val="17"/>
          <w:szCs w:val="17"/>
          <w:color w:val="auto"/>
        </w:rPr>
        <w:t>” shall mean the securities issuable pursuant to the Stock Rights Agreement, dated as of the date hereof, between the Company and Intel Capital, having the rights, preferences, privileges and restrictions defined therein, including any Additional Adjustment Rights.</w:t>
      </w:r>
    </w:p>
    <w:p>
      <w:pPr>
        <w:spacing w:after="0" w:line="147" w:lineRule="exact"/>
        <w:rPr>
          <w:rFonts w:ascii="Arial" w:cs="Arial" w:eastAsia="Arial" w:hAnsi="Arial"/>
          <w:sz w:val="18"/>
          <w:szCs w:val="18"/>
          <w:u w:val="single" w:color="auto"/>
          <w:color w:val="0000EE"/>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Agreement</w:t>
      </w:r>
      <w:r>
        <w:rPr>
          <w:rFonts w:ascii="Arial" w:cs="Arial" w:eastAsia="Arial" w:hAnsi="Arial"/>
          <w:sz w:val="18"/>
          <w:szCs w:val="18"/>
          <w:color w:val="auto"/>
        </w:rPr>
        <w:t>” shall mean the Stock Rights Agreement, dated as of the date hereof, between the Company and Intel Capital.</w:t>
      </w:r>
    </w:p>
    <w:p>
      <w:pPr>
        <w:sectPr>
          <w:pgSz w:w="11900" w:h="16838" w:orient="portrait"/>
          <w:cols w:equalWidth="0" w:num="1">
            <w:col w:w="11360"/>
          </w:cols>
          <w:pgMar w:left="240" w:top="125" w:right="299" w:bottom="0" w:gutter="0" w:footer="0" w:header="0"/>
        </w:sectPr>
      </w:pPr>
    </w:p>
    <w:bookmarkStart w:id="4" w:name="page5"/>
    <w:bookmarkEnd w:id="4"/>
    <w:p>
      <w:pPr>
        <w:ind w:right="7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and Restrictions Agreement</w:t>
      </w:r>
      <w:r>
        <w:rPr>
          <w:rFonts w:ascii="Arial" w:cs="Arial" w:eastAsia="Arial" w:hAnsi="Arial"/>
          <w:sz w:val="18"/>
          <w:szCs w:val="18"/>
          <w:color w:val="auto"/>
        </w:rPr>
        <w:t>” shall mean the Securities Rights and Restrictions Agreement, dated as of the date hereof, between the Company and Intel Capital.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and the rules and regulations promulgated thereunder, all as the same shall be in effect from time to time.</w:t>
      </w:r>
    </w:p>
    <w:p>
      <w:pPr>
        <w:spacing w:after="0" w:line="1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each Person in which the Company owns, directly or indirectly, 50% or more of the voting interests or of which the Company otherwise has the right to direct the management.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Index of Other Defined Terms</w:t>
      </w:r>
      <w:r>
        <w:rPr>
          <w:rFonts w:ascii="Arial" w:cs="Arial" w:eastAsia="Arial" w:hAnsi="Arial"/>
          <w:sz w:val="18"/>
          <w:szCs w:val="18"/>
          <w:color w:val="auto"/>
        </w:rPr>
        <w:t>. In addition to the terms defined above, the following terms shall have the respective meanings given thereto in the sections indicated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3540" w:type="dxa"/>
            <w:vAlign w:val="bottom"/>
            <w:tcBorders>
              <w:bottom w:val="single" w:sz="8" w:color="auto"/>
            </w:tcBorders>
            <w:gridSpan w:val="15"/>
          </w:tcPr>
          <w:p>
            <w:pPr>
              <w:ind w:left="20"/>
              <w:spacing w:after="0"/>
              <w:rPr>
                <w:sz w:val="20"/>
                <w:szCs w:val="20"/>
                <w:color w:val="auto"/>
              </w:rPr>
            </w:pPr>
            <w:r>
              <w:rPr>
                <w:rFonts w:ascii="Arial" w:cs="Arial" w:eastAsia="Arial" w:hAnsi="Arial"/>
                <w:sz w:val="14"/>
                <w:szCs w:val="14"/>
                <w:b w:val="1"/>
                <w:bCs w:val="1"/>
                <w:color w:val="auto"/>
              </w:rPr>
              <w:t>Defined Term</w:t>
            </w:r>
          </w:p>
        </w:tc>
        <w:tc>
          <w:tcPr>
            <w:tcW w:w="240" w:type="dxa"/>
            <w:vAlign w:val="bottom"/>
          </w:tcPr>
          <w:p>
            <w:pPr>
              <w:spacing w:after="0"/>
              <w:rPr>
                <w:sz w:val="14"/>
                <w:szCs w:val="14"/>
                <w:color w:val="auto"/>
              </w:rPr>
            </w:pPr>
          </w:p>
        </w:tc>
        <w:tc>
          <w:tcPr>
            <w:tcW w:w="250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Section</w:t>
            </w:r>
          </w:p>
        </w:tc>
        <w:tc>
          <w:tcPr>
            <w:tcW w:w="4120" w:type="dxa"/>
            <w:vAlign w:val="bottom"/>
          </w:tcPr>
          <w:p>
            <w:pPr>
              <w:spacing w:after="0"/>
              <w:rPr>
                <w:sz w:val="14"/>
                <w:szCs w:val="14"/>
                <w:color w:val="auto"/>
              </w:rPr>
            </w:pPr>
          </w:p>
        </w:tc>
      </w:tr>
      <w:tr>
        <w:trPr>
          <w:trHeight w:val="385"/>
        </w:trPr>
        <w:tc>
          <w:tcPr>
            <w:tcW w:w="1040" w:type="dxa"/>
            <w:vAlign w:val="bottom"/>
          </w:tcPr>
          <w:p>
            <w:pPr>
              <w:spacing w:after="0"/>
              <w:rPr>
                <w:sz w:val="24"/>
                <w:szCs w:val="24"/>
                <w:color w:val="auto"/>
              </w:rPr>
            </w:pPr>
          </w:p>
        </w:tc>
        <w:tc>
          <w:tcPr>
            <w:tcW w:w="3780" w:type="dxa"/>
            <w:vAlign w:val="bottom"/>
            <w:gridSpan w:val="16"/>
          </w:tcPr>
          <w:p>
            <w:pPr>
              <w:ind w:left="20"/>
              <w:spacing w:after="0"/>
              <w:rPr>
                <w:sz w:val="20"/>
                <w:szCs w:val="20"/>
                <w:color w:val="auto"/>
              </w:rPr>
            </w:pPr>
            <w:r>
              <w:rPr>
                <w:rFonts w:ascii="Arial" w:cs="Arial" w:eastAsia="Arial" w:hAnsi="Arial"/>
                <w:sz w:val="18"/>
                <w:szCs w:val="18"/>
                <w:color w:val="auto"/>
              </w:rPr>
              <w:t>“Action”</w:t>
            </w:r>
          </w:p>
        </w:tc>
        <w:tc>
          <w:tcPr>
            <w:tcW w:w="2500" w:type="dxa"/>
            <w:vAlign w:val="bottom"/>
          </w:tcPr>
          <w:p>
            <w:pPr>
              <w:ind w:left="20"/>
              <w:spacing w:after="0"/>
              <w:rPr>
                <w:sz w:val="20"/>
                <w:szCs w:val="20"/>
                <w:color w:val="auto"/>
              </w:rPr>
            </w:pPr>
            <w:r>
              <w:rPr>
                <w:rFonts w:ascii="Arial" w:cs="Arial" w:eastAsia="Arial" w:hAnsi="Arial"/>
                <w:sz w:val="18"/>
                <w:szCs w:val="18"/>
                <w:color w:val="auto"/>
              </w:rPr>
              <w:t>3.8</w:t>
            </w:r>
          </w:p>
        </w:tc>
        <w:tc>
          <w:tcPr>
            <w:tcW w:w="41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780" w:type="dxa"/>
            <w:vAlign w:val="bottom"/>
            <w:gridSpan w:val="16"/>
          </w:tcPr>
          <w:p>
            <w:pPr>
              <w:ind w:left="20"/>
              <w:spacing w:after="0" w:line="196" w:lineRule="exact"/>
              <w:rPr>
                <w:sz w:val="20"/>
                <w:szCs w:val="20"/>
                <w:color w:val="auto"/>
              </w:rPr>
            </w:pPr>
            <w:r>
              <w:rPr>
                <w:rFonts w:ascii="Arial" w:cs="Arial" w:eastAsia="Arial" w:hAnsi="Arial"/>
                <w:sz w:val="18"/>
                <w:szCs w:val="18"/>
                <w:color w:val="auto"/>
              </w:rPr>
              <w:t>“Additional Adjustment Rights”</w:t>
            </w:r>
          </w:p>
        </w:tc>
        <w:tc>
          <w:tcPr>
            <w:tcW w:w="2500" w:type="dxa"/>
            <w:vAlign w:val="bottom"/>
          </w:tcPr>
          <w:p>
            <w:pPr>
              <w:ind w:left="20"/>
              <w:spacing w:after="0" w:line="196" w:lineRule="exact"/>
              <w:rPr>
                <w:sz w:val="20"/>
                <w:szCs w:val="20"/>
                <w:color w:val="auto"/>
              </w:rPr>
            </w:pPr>
            <w:r>
              <w:rPr>
                <w:rFonts w:ascii="Arial" w:cs="Arial" w:eastAsia="Arial" w:hAnsi="Arial"/>
                <w:sz w:val="18"/>
                <w:szCs w:val="18"/>
                <w:color w:val="auto"/>
              </w:rPr>
              <w:t>2.3</w:t>
            </w:r>
          </w:p>
        </w:tc>
        <w:tc>
          <w:tcPr>
            <w:tcW w:w="4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60" w:type="dxa"/>
            <w:vAlign w:val="bottom"/>
            <w:tcBorders>
              <w:left w:val="single" w:sz="8" w:color="auto"/>
            </w:tcBorders>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780" w:type="dxa"/>
            <w:vAlign w:val="bottom"/>
            <w:gridSpan w:val="16"/>
          </w:tcPr>
          <w:p>
            <w:pPr>
              <w:ind w:left="20"/>
              <w:spacing w:after="0" w:line="196" w:lineRule="exact"/>
              <w:rPr>
                <w:sz w:val="20"/>
                <w:szCs w:val="20"/>
                <w:color w:val="auto"/>
              </w:rPr>
            </w:pPr>
            <w:r>
              <w:rPr>
                <w:rFonts w:ascii="Arial" w:cs="Arial" w:eastAsia="Arial" w:hAnsi="Arial"/>
                <w:sz w:val="18"/>
                <w:szCs w:val="18"/>
                <w:color w:val="auto"/>
              </w:rPr>
              <w:t>“Agreement”</w:t>
            </w:r>
          </w:p>
        </w:tc>
        <w:tc>
          <w:tcPr>
            <w:tcW w:w="2500" w:type="dxa"/>
            <w:vAlign w:val="bottom"/>
          </w:tcPr>
          <w:p>
            <w:pPr>
              <w:ind w:left="20"/>
              <w:spacing w:after="0" w:line="196" w:lineRule="exact"/>
              <w:rPr>
                <w:sz w:val="20"/>
                <w:szCs w:val="20"/>
                <w:color w:val="auto"/>
              </w:rPr>
            </w:pPr>
            <w:r>
              <w:rPr>
                <w:rFonts w:ascii="Arial" w:cs="Arial" w:eastAsia="Arial" w:hAnsi="Arial"/>
                <w:sz w:val="18"/>
                <w:szCs w:val="18"/>
                <w:color w:val="auto"/>
              </w:rPr>
              <w:t>Preamble</w:t>
            </w:r>
          </w:p>
        </w:tc>
        <w:tc>
          <w:tcPr>
            <w:tcW w:w="4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780" w:type="dxa"/>
            <w:vAlign w:val="bottom"/>
            <w:gridSpan w:val="16"/>
          </w:tcPr>
          <w:p>
            <w:pPr>
              <w:ind w:left="20"/>
              <w:spacing w:after="0" w:line="196" w:lineRule="exact"/>
              <w:rPr>
                <w:sz w:val="20"/>
                <w:szCs w:val="20"/>
                <w:color w:val="auto"/>
              </w:rPr>
            </w:pPr>
            <w:r>
              <w:rPr>
                <w:rFonts w:ascii="Arial" w:cs="Arial" w:eastAsia="Arial" w:hAnsi="Arial"/>
                <w:sz w:val="18"/>
                <w:szCs w:val="18"/>
                <w:color w:val="auto"/>
              </w:rPr>
              <w:t>“Audited Financial Statements”</w:t>
            </w:r>
          </w:p>
        </w:tc>
        <w:tc>
          <w:tcPr>
            <w:tcW w:w="2500" w:type="dxa"/>
            <w:vAlign w:val="bottom"/>
          </w:tcPr>
          <w:p>
            <w:pPr>
              <w:ind w:left="20"/>
              <w:spacing w:after="0" w:line="196" w:lineRule="exact"/>
              <w:rPr>
                <w:sz w:val="20"/>
                <w:szCs w:val="20"/>
                <w:color w:val="auto"/>
              </w:rPr>
            </w:pPr>
            <w:r>
              <w:rPr>
                <w:rFonts w:ascii="Arial" w:cs="Arial" w:eastAsia="Arial" w:hAnsi="Arial"/>
                <w:sz w:val="18"/>
                <w:szCs w:val="18"/>
                <w:color w:val="auto"/>
              </w:rPr>
              <w:t>3.10(b)</w:t>
            </w:r>
          </w:p>
        </w:tc>
        <w:tc>
          <w:tcPr>
            <w:tcW w:w="4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780" w:type="dxa"/>
            <w:vAlign w:val="bottom"/>
            <w:gridSpan w:val="16"/>
          </w:tcPr>
          <w:p>
            <w:pPr>
              <w:ind w:left="20"/>
              <w:spacing w:after="0" w:line="196" w:lineRule="exact"/>
              <w:rPr>
                <w:sz w:val="20"/>
                <w:szCs w:val="20"/>
                <w:color w:val="auto"/>
              </w:rPr>
            </w:pPr>
            <w:r>
              <w:rPr>
                <w:rFonts w:ascii="Arial" w:cs="Arial" w:eastAsia="Arial" w:hAnsi="Arial"/>
                <w:sz w:val="18"/>
                <w:szCs w:val="18"/>
                <w:color w:val="auto"/>
              </w:rPr>
              <w:t>“Balance Sheet Date”</w:t>
            </w:r>
          </w:p>
        </w:tc>
        <w:tc>
          <w:tcPr>
            <w:tcW w:w="2500" w:type="dxa"/>
            <w:vAlign w:val="bottom"/>
          </w:tcPr>
          <w:p>
            <w:pPr>
              <w:ind w:left="20"/>
              <w:spacing w:after="0" w:line="196" w:lineRule="exact"/>
              <w:rPr>
                <w:sz w:val="20"/>
                <w:szCs w:val="20"/>
                <w:color w:val="auto"/>
              </w:rPr>
            </w:pPr>
            <w:r>
              <w:rPr>
                <w:rFonts w:ascii="Arial" w:cs="Arial" w:eastAsia="Arial" w:hAnsi="Arial"/>
                <w:sz w:val="18"/>
                <w:szCs w:val="18"/>
                <w:color w:val="auto"/>
              </w:rPr>
              <w:t>3.10(b)</w:t>
            </w:r>
          </w:p>
        </w:tc>
        <w:tc>
          <w:tcPr>
            <w:tcW w:w="4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780" w:type="dxa"/>
            <w:vAlign w:val="bottom"/>
            <w:gridSpan w:val="16"/>
          </w:tcPr>
          <w:p>
            <w:pPr>
              <w:ind w:left="20"/>
              <w:spacing w:after="0" w:line="196" w:lineRule="exact"/>
              <w:rPr>
                <w:sz w:val="20"/>
                <w:szCs w:val="20"/>
                <w:color w:val="auto"/>
              </w:rPr>
            </w:pPr>
            <w:r>
              <w:rPr>
                <w:rFonts w:ascii="Arial" w:cs="Arial" w:eastAsia="Arial" w:hAnsi="Arial"/>
                <w:sz w:val="18"/>
                <w:szCs w:val="18"/>
                <w:color w:val="auto"/>
              </w:rPr>
              <w:t>“Closing”</w:t>
            </w:r>
          </w:p>
        </w:tc>
        <w:tc>
          <w:tcPr>
            <w:tcW w:w="2500" w:type="dxa"/>
            <w:vAlign w:val="bottom"/>
          </w:tcPr>
          <w:p>
            <w:pPr>
              <w:ind w:left="20"/>
              <w:spacing w:after="0" w:line="196" w:lineRule="exact"/>
              <w:rPr>
                <w:sz w:val="20"/>
                <w:szCs w:val="20"/>
                <w:color w:val="auto"/>
              </w:rPr>
            </w:pPr>
            <w:r>
              <w:rPr>
                <w:rFonts w:ascii="Arial" w:cs="Arial" w:eastAsia="Arial" w:hAnsi="Arial"/>
                <w:sz w:val="18"/>
                <w:szCs w:val="18"/>
                <w:color w:val="auto"/>
              </w:rPr>
              <w:t>2.2</w:t>
            </w:r>
          </w:p>
        </w:tc>
        <w:tc>
          <w:tcPr>
            <w:tcW w:w="4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780" w:type="dxa"/>
            <w:vAlign w:val="bottom"/>
            <w:gridSpan w:val="16"/>
          </w:tcPr>
          <w:p>
            <w:pPr>
              <w:ind w:left="20"/>
              <w:spacing w:after="0" w:line="196" w:lineRule="exact"/>
              <w:rPr>
                <w:sz w:val="20"/>
                <w:szCs w:val="20"/>
                <w:color w:val="auto"/>
              </w:rPr>
            </w:pPr>
            <w:r>
              <w:rPr>
                <w:rFonts w:ascii="Arial" w:cs="Arial" w:eastAsia="Arial" w:hAnsi="Arial"/>
                <w:sz w:val="18"/>
                <w:szCs w:val="18"/>
                <w:color w:val="auto"/>
              </w:rPr>
              <w:t>“Common Stock”</w:t>
            </w:r>
          </w:p>
        </w:tc>
        <w:tc>
          <w:tcPr>
            <w:tcW w:w="2500" w:type="dxa"/>
            <w:vAlign w:val="bottom"/>
          </w:tcPr>
          <w:p>
            <w:pPr>
              <w:ind w:left="20"/>
              <w:spacing w:after="0" w:line="196" w:lineRule="exact"/>
              <w:rPr>
                <w:sz w:val="20"/>
                <w:szCs w:val="20"/>
                <w:color w:val="auto"/>
              </w:rPr>
            </w:pPr>
            <w:r>
              <w:rPr>
                <w:rFonts w:ascii="Arial" w:cs="Arial" w:eastAsia="Arial" w:hAnsi="Arial"/>
                <w:sz w:val="18"/>
                <w:szCs w:val="18"/>
                <w:color w:val="auto"/>
              </w:rPr>
              <w:t>Recitals</w:t>
            </w:r>
          </w:p>
        </w:tc>
        <w:tc>
          <w:tcPr>
            <w:tcW w:w="4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780" w:type="dxa"/>
            <w:vAlign w:val="bottom"/>
            <w:gridSpan w:val="16"/>
          </w:tcPr>
          <w:p>
            <w:pPr>
              <w:ind w:left="20"/>
              <w:spacing w:after="0" w:line="196" w:lineRule="exact"/>
              <w:rPr>
                <w:sz w:val="20"/>
                <w:szCs w:val="20"/>
                <w:color w:val="auto"/>
              </w:rPr>
            </w:pPr>
            <w:r>
              <w:rPr>
                <w:rFonts w:ascii="Arial" w:cs="Arial" w:eastAsia="Arial" w:hAnsi="Arial"/>
                <w:sz w:val="18"/>
                <w:szCs w:val="18"/>
                <w:color w:val="auto"/>
              </w:rPr>
              <w:t>“Company”</w:t>
            </w:r>
          </w:p>
        </w:tc>
        <w:tc>
          <w:tcPr>
            <w:tcW w:w="2500" w:type="dxa"/>
            <w:vAlign w:val="bottom"/>
          </w:tcPr>
          <w:p>
            <w:pPr>
              <w:ind w:left="20"/>
              <w:spacing w:after="0" w:line="196" w:lineRule="exact"/>
              <w:rPr>
                <w:sz w:val="20"/>
                <w:szCs w:val="20"/>
                <w:color w:val="auto"/>
              </w:rPr>
            </w:pPr>
            <w:r>
              <w:rPr>
                <w:rFonts w:ascii="Arial" w:cs="Arial" w:eastAsia="Arial" w:hAnsi="Arial"/>
                <w:sz w:val="18"/>
                <w:szCs w:val="18"/>
                <w:color w:val="auto"/>
              </w:rPr>
              <w:t>Preamble</w:t>
            </w:r>
          </w:p>
        </w:tc>
        <w:tc>
          <w:tcPr>
            <w:tcW w:w="4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780" w:type="dxa"/>
            <w:vAlign w:val="bottom"/>
            <w:gridSpan w:val="16"/>
          </w:tcPr>
          <w:p>
            <w:pPr>
              <w:ind w:left="20"/>
              <w:spacing w:after="0" w:line="196" w:lineRule="exact"/>
              <w:rPr>
                <w:sz w:val="20"/>
                <w:szCs w:val="20"/>
                <w:color w:val="auto"/>
              </w:rPr>
            </w:pPr>
            <w:r>
              <w:rPr>
                <w:rFonts w:ascii="Arial" w:cs="Arial" w:eastAsia="Arial" w:hAnsi="Arial"/>
                <w:sz w:val="18"/>
                <w:szCs w:val="18"/>
                <w:color w:val="auto"/>
              </w:rPr>
              <w:t>“Confidential Information”</w:t>
            </w:r>
          </w:p>
        </w:tc>
        <w:tc>
          <w:tcPr>
            <w:tcW w:w="2500" w:type="dxa"/>
            <w:vAlign w:val="bottom"/>
          </w:tcPr>
          <w:p>
            <w:pPr>
              <w:ind w:left="20"/>
              <w:spacing w:after="0" w:line="196" w:lineRule="exact"/>
              <w:rPr>
                <w:sz w:val="20"/>
                <w:szCs w:val="20"/>
                <w:color w:val="auto"/>
              </w:rPr>
            </w:pPr>
            <w:r>
              <w:rPr>
                <w:rFonts w:ascii="Arial" w:cs="Arial" w:eastAsia="Arial" w:hAnsi="Arial"/>
                <w:sz w:val="18"/>
                <w:szCs w:val="18"/>
                <w:color w:val="auto"/>
              </w:rPr>
              <w:t>7.2</w:t>
            </w:r>
          </w:p>
        </w:tc>
        <w:tc>
          <w:tcPr>
            <w:tcW w:w="4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780" w:type="dxa"/>
            <w:vAlign w:val="bottom"/>
            <w:gridSpan w:val="16"/>
          </w:tcPr>
          <w:p>
            <w:pPr>
              <w:ind w:left="20"/>
              <w:spacing w:after="0" w:line="196" w:lineRule="exact"/>
              <w:rPr>
                <w:sz w:val="20"/>
                <w:szCs w:val="20"/>
                <w:color w:val="auto"/>
              </w:rPr>
            </w:pPr>
            <w:r>
              <w:rPr>
                <w:rFonts w:ascii="Arial" w:cs="Arial" w:eastAsia="Arial" w:hAnsi="Arial"/>
                <w:sz w:val="18"/>
                <w:szCs w:val="18"/>
                <w:color w:val="auto"/>
              </w:rPr>
              <w:t>“Disclosure Letter”</w:t>
            </w:r>
          </w:p>
        </w:tc>
        <w:tc>
          <w:tcPr>
            <w:tcW w:w="2500" w:type="dxa"/>
            <w:vAlign w:val="bottom"/>
          </w:tcPr>
          <w:p>
            <w:pPr>
              <w:ind w:left="20"/>
              <w:spacing w:after="0" w:line="196" w:lineRule="exact"/>
              <w:rPr>
                <w:sz w:val="20"/>
                <w:szCs w:val="20"/>
                <w:color w:val="auto"/>
              </w:rPr>
            </w:pPr>
            <w:r>
              <w:rPr>
                <w:rFonts w:ascii="Arial" w:cs="Arial" w:eastAsia="Arial" w:hAnsi="Arial"/>
                <w:sz w:val="18"/>
                <w:szCs w:val="18"/>
                <w:color w:val="auto"/>
              </w:rPr>
              <w:t>3</w:t>
            </w:r>
          </w:p>
        </w:tc>
        <w:tc>
          <w:tcPr>
            <w:tcW w:w="4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780" w:type="dxa"/>
            <w:vAlign w:val="bottom"/>
            <w:gridSpan w:val="16"/>
          </w:tcPr>
          <w:p>
            <w:pPr>
              <w:ind w:left="20"/>
              <w:spacing w:after="0" w:line="196" w:lineRule="exact"/>
              <w:rPr>
                <w:sz w:val="20"/>
                <w:szCs w:val="20"/>
                <w:color w:val="auto"/>
              </w:rPr>
            </w:pPr>
            <w:r>
              <w:rPr>
                <w:rFonts w:ascii="Arial" w:cs="Arial" w:eastAsia="Arial" w:hAnsi="Arial"/>
                <w:sz w:val="18"/>
                <w:szCs w:val="18"/>
                <w:color w:val="auto"/>
              </w:rPr>
              <w:t>“Form 10-K”</w:t>
            </w:r>
          </w:p>
        </w:tc>
        <w:tc>
          <w:tcPr>
            <w:tcW w:w="2500" w:type="dxa"/>
            <w:vAlign w:val="bottom"/>
          </w:tcPr>
          <w:p>
            <w:pPr>
              <w:ind w:left="20"/>
              <w:spacing w:after="0" w:line="196" w:lineRule="exact"/>
              <w:rPr>
                <w:sz w:val="20"/>
                <w:szCs w:val="20"/>
                <w:color w:val="auto"/>
              </w:rPr>
            </w:pPr>
            <w:r>
              <w:rPr>
                <w:rFonts w:ascii="Arial" w:cs="Arial" w:eastAsia="Arial" w:hAnsi="Arial"/>
                <w:sz w:val="18"/>
                <w:szCs w:val="18"/>
                <w:color w:val="auto"/>
              </w:rPr>
              <w:t>3.10(a)</w:t>
            </w:r>
          </w:p>
        </w:tc>
        <w:tc>
          <w:tcPr>
            <w:tcW w:w="4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780" w:type="dxa"/>
            <w:vAlign w:val="bottom"/>
            <w:gridSpan w:val="16"/>
          </w:tcPr>
          <w:p>
            <w:pPr>
              <w:ind w:left="20"/>
              <w:spacing w:after="0" w:line="196" w:lineRule="exact"/>
              <w:rPr>
                <w:sz w:val="20"/>
                <w:szCs w:val="20"/>
                <w:color w:val="auto"/>
              </w:rPr>
            </w:pPr>
            <w:r>
              <w:rPr>
                <w:rFonts w:ascii="Arial" w:cs="Arial" w:eastAsia="Arial" w:hAnsi="Arial"/>
                <w:sz w:val="18"/>
                <w:szCs w:val="18"/>
                <w:color w:val="auto"/>
              </w:rPr>
              <w:t>“Form 10-Q’s”</w:t>
            </w:r>
          </w:p>
        </w:tc>
        <w:tc>
          <w:tcPr>
            <w:tcW w:w="2500" w:type="dxa"/>
            <w:vAlign w:val="bottom"/>
          </w:tcPr>
          <w:p>
            <w:pPr>
              <w:ind w:left="20"/>
              <w:spacing w:after="0" w:line="196" w:lineRule="exact"/>
              <w:rPr>
                <w:sz w:val="20"/>
                <w:szCs w:val="20"/>
                <w:color w:val="auto"/>
              </w:rPr>
            </w:pPr>
            <w:r>
              <w:rPr>
                <w:rFonts w:ascii="Arial" w:cs="Arial" w:eastAsia="Arial" w:hAnsi="Arial"/>
                <w:sz w:val="18"/>
                <w:szCs w:val="18"/>
                <w:color w:val="auto"/>
              </w:rPr>
              <w:t>3.10(a)</w:t>
            </w:r>
          </w:p>
        </w:tc>
        <w:tc>
          <w:tcPr>
            <w:tcW w:w="4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780" w:type="dxa"/>
            <w:vAlign w:val="bottom"/>
            <w:gridSpan w:val="16"/>
          </w:tcPr>
          <w:p>
            <w:pPr>
              <w:ind w:left="20"/>
              <w:spacing w:after="0" w:line="196" w:lineRule="exact"/>
              <w:rPr>
                <w:sz w:val="20"/>
                <w:szCs w:val="20"/>
                <w:color w:val="auto"/>
              </w:rPr>
            </w:pPr>
            <w:r>
              <w:rPr>
                <w:rFonts w:ascii="Arial" w:cs="Arial" w:eastAsia="Arial" w:hAnsi="Arial"/>
                <w:sz w:val="18"/>
                <w:szCs w:val="18"/>
                <w:color w:val="auto"/>
              </w:rPr>
              <w:t>“GAAP”</w:t>
            </w:r>
          </w:p>
        </w:tc>
        <w:tc>
          <w:tcPr>
            <w:tcW w:w="2500" w:type="dxa"/>
            <w:vAlign w:val="bottom"/>
          </w:tcPr>
          <w:p>
            <w:pPr>
              <w:ind w:left="20"/>
              <w:spacing w:after="0" w:line="196" w:lineRule="exact"/>
              <w:rPr>
                <w:sz w:val="20"/>
                <w:szCs w:val="20"/>
                <w:color w:val="auto"/>
              </w:rPr>
            </w:pPr>
            <w:r>
              <w:rPr>
                <w:rFonts w:ascii="Arial" w:cs="Arial" w:eastAsia="Arial" w:hAnsi="Arial"/>
                <w:sz w:val="18"/>
                <w:szCs w:val="18"/>
                <w:color w:val="auto"/>
              </w:rPr>
              <w:t>3.10(b)</w:t>
            </w:r>
          </w:p>
        </w:tc>
        <w:tc>
          <w:tcPr>
            <w:tcW w:w="4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780" w:type="dxa"/>
            <w:vAlign w:val="bottom"/>
            <w:gridSpan w:val="16"/>
          </w:tcPr>
          <w:p>
            <w:pPr>
              <w:ind w:left="20"/>
              <w:spacing w:after="0" w:line="196" w:lineRule="exact"/>
              <w:rPr>
                <w:sz w:val="20"/>
                <w:szCs w:val="20"/>
                <w:color w:val="auto"/>
              </w:rPr>
            </w:pPr>
            <w:r>
              <w:rPr>
                <w:rFonts w:ascii="Arial" w:cs="Arial" w:eastAsia="Arial" w:hAnsi="Arial"/>
                <w:sz w:val="18"/>
                <w:szCs w:val="18"/>
                <w:color w:val="auto"/>
              </w:rPr>
              <w:t>“Hedging Transaction”</w:t>
            </w:r>
          </w:p>
        </w:tc>
        <w:tc>
          <w:tcPr>
            <w:tcW w:w="2500" w:type="dxa"/>
            <w:vAlign w:val="bottom"/>
          </w:tcPr>
          <w:p>
            <w:pPr>
              <w:ind w:left="20"/>
              <w:spacing w:after="0" w:line="196" w:lineRule="exact"/>
              <w:rPr>
                <w:sz w:val="20"/>
                <w:szCs w:val="20"/>
                <w:color w:val="auto"/>
              </w:rPr>
            </w:pPr>
            <w:r>
              <w:rPr>
                <w:rFonts w:ascii="Arial" w:cs="Arial" w:eastAsia="Arial" w:hAnsi="Arial"/>
                <w:sz w:val="18"/>
                <w:szCs w:val="18"/>
                <w:color w:val="auto"/>
              </w:rPr>
              <w:t>4.10</w:t>
            </w:r>
          </w:p>
        </w:tc>
        <w:tc>
          <w:tcPr>
            <w:tcW w:w="4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780" w:type="dxa"/>
            <w:vAlign w:val="bottom"/>
            <w:gridSpan w:val="16"/>
          </w:tcPr>
          <w:p>
            <w:pPr>
              <w:ind w:left="20"/>
              <w:spacing w:after="0" w:line="196" w:lineRule="exact"/>
              <w:rPr>
                <w:sz w:val="20"/>
                <w:szCs w:val="20"/>
                <w:color w:val="auto"/>
              </w:rPr>
            </w:pPr>
            <w:r>
              <w:rPr>
                <w:rFonts w:ascii="Arial" w:cs="Arial" w:eastAsia="Arial" w:hAnsi="Arial"/>
                <w:sz w:val="18"/>
                <w:szCs w:val="18"/>
                <w:color w:val="auto"/>
              </w:rPr>
              <w:t>“Intel Capital”</w:t>
            </w:r>
          </w:p>
        </w:tc>
        <w:tc>
          <w:tcPr>
            <w:tcW w:w="2500" w:type="dxa"/>
            <w:vAlign w:val="bottom"/>
          </w:tcPr>
          <w:p>
            <w:pPr>
              <w:ind w:left="20"/>
              <w:spacing w:after="0" w:line="196" w:lineRule="exact"/>
              <w:rPr>
                <w:sz w:val="20"/>
                <w:szCs w:val="20"/>
                <w:color w:val="auto"/>
              </w:rPr>
            </w:pPr>
            <w:r>
              <w:rPr>
                <w:rFonts w:ascii="Arial" w:cs="Arial" w:eastAsia="Arial" w:hAnsi="Arial"/>
                <w:sz w:val="18"/>
                <w:szCs w:val="18"/>
                <w:color w:val="auto"/>
              </w:rPr>
              <w:t>Preamble</w:t>
            </w:r>
          </w:p>
        </w:tc>
        <w:tc>
          <w:tcPr>
            <w:tcW w:w="4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780" w:type="dxa"/>
            <w:vAlign w:val="bottom"/>
            <w:gridSpan w:val="16"/>
          </w:tcPr>
          <w:p>
            <w:pPr>
              <w:ind w:left="20"/>
              <w:spacing w:after="0" w:line="196" w:lineRule="exact"/>
              <w:rPr>
                <w:sz w:val="20"/>
                <w:szCs w:val="20"/>
                <w:color w:val="auto"/>
              </w:rPr>
            </w:pPr>
            <w:r>
              <w:rPr>
                <w:rFonts w:ascii="Arial" w:cs="Arial" w:eastAsia="Arial" w:hAnsi="Arial"/>
                <w:sz w:val="18"/>
                <w:szCs w:val="18"/>
                <w:color w:val="auto"/>
              </w:rPr>
              <w:t>“Material Adverse Effect”</w:t>
            </w:r>
          </w:p>
        </w:tc>
        <w:tc>
          <w:tcPr>
            <w:tcW w:w="250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4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5"/>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780" w:type="dxa"/>
            <w:vAlign w:val="bottom"/>
            <w:gridSpan w:val="16"/>
          </w:tcPr>
          <w:p>
            <w:pPr>
              <w:ind w:left="20"/>
              <w:spacing w:after="0" w:line="196" w:lineRule="exact"/>
              <w:rPr>
                <w:sz w:val="20"/>
                <w:szCs w:val="20"/>
                <w:color w:val="auto"/>
              </w:rPr>
            </w:pPr>
            <w:r>
              <w:rPr>
                <w:rFonts w:ascii="Arial" w:cs="Arial" w:eastAsia="Arial" w:hAnsi="Arial"/>
                <w:sz w:val="18"/>
                <w:szCs w:val="18"/>
                <w:color w:val="auto"/>
              </w:rPr>
              <w:t>“Purchase Price”</w:t>
            </w:r>
          </w:p>
        </w:tc>
        <w:tc>
          <w:tcPr>
            <w:tcW w:w="2500" w:type="dxa"/>
            <w:vAlign w:val="bottom"/>
          </w:tcPr>
          <w:p>
            <w:pPr>
              <w:ind w:left="20"/>
              <w:spacing w:after="0" w:line="196" w:lineRule="exact"/>
              <w:rPr>
                <w:sz w:val="20"/>
                <w:szCs w:val="20"/>
                <w:color w:val="auto"/>
              </w:rPr>
            </w:pPr>
            <w:r>
              <w:rPr>
                <w:rFonts w:ascii="Arial" w:cs="Arial" w:eastAsia="Arial" w:hAnsi="Arial"/>
                <w:sz w:val="18"/>
                <w:szCs w:val="18"/>
                <w:color w:val="auto"/>
              </w:rPr>
              <w:t>2.1</w:t>
            </w:r>
          </w:p>
        </w:tc>
        <w:tc>
          <w:tcPr>
            <w:tcW w:w="4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5"/>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780" w:type="dxa"/>
            <w:vAlign w:val="bottom"/>
            <w:gridSpan w:val="16"/>
          </w:tcPr>
          <w:p>
            <w:pPr>
              <w:ind w:left="20"/>
              <w:spacing w:after="0" w:line="196" w:lineRule="exact"/>
              <w:rPr>
                <w:sz w:val="20"/>
                <w:szCs w:val="20"/>
                <w:color w:val="auto"/>
              </w:rPr>
            </w:pPr>
            <w:r>
              <w:rPr>
                <w:rFonts w:ascii="Arial" w:cs="Arial" w:eastAsia="Arial" w:hAnsi="Arial"/>
                <w:sz w:val="18"/>
                <w:szCs w:val="18"/>
                <w:color w:val="auto"/>
              </w:rPr>
              <w:t>“SEC Documents”</w:t>
            </w:r>
          </w:p>
        </w:tc>
        <w:tc>
          <w:tcPr>
            <w:tcW w:w="2500" w:type="dxa"/>
            <w:vAlign w:val="bottom"/>
          </w:tcPr>
          <w:p>
            <w:pPr>
              <w:ind w:left="20"/>
              <w:spacing w:after="0" w:line="196" w:lineRule="exact"/>
              <w:rPr>
                <w:sz w:val="20"/>
                <w:szCs w:val="20"/>
                <w:color w:val="auto"/>
              </w:rPr>
            </w:pPr>
            <w:r>
              <w:rPr>
                <w:rFonts w:ascii="Arial" w:cs="Arial" w:eastAsia="Arial" w:hAnsi="Arial"/>
                <w:sz w:val="18"/>
                <w:szCs w:val="18"/>
                <w:color w:val="auto"/>
              </w:rPr>
              <w:t>3.10(a)</w:t>
            </w:r>
          </w:p>
        </w:tc>
        <w:tc>
          <w:tcPr>
            <w:tcW w:w="4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gridSpan w:val="6"/>
            <w:shd w:val="clear" w:color="auto" w:fill="000000"/>
          </w:tcPr>
          <w:p>
            <w:pPr>
              <w:spacing w:after="0" w:line="20" w:lineRule="exact"/>
              <w:rPr>
                <w:sz w:val="1"/>
                <w:szCs w:val="1"/>
                <w:color w:val="auto"/>
              </w:rPr>
            </w:pPr>
          </w:p>
        </w:tc>
        <w:tc>
          <w:tcPr>
            <w:tcW w:w="640" w:type="dxa"/>
            <w:vAlign w:val="bottom"/>
            <w:tcBorders>
              <w:left w:val="single" w:sz="8" w:color="auto"/>
            </w:tcBorders>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780" w:type="dxa"/>
            <w:vAlign w:val="bottom"/>
            <w:gridSpan w:val="16"/>
          </w:tcPr>
          <w:p>
            <w:pPr>
              <w:ind w:left="20"/>
              <w:spacing w:after="0" w:line="196" w:lineRule="exact"/>
              <w:rPr>
                <w:sz w:val="20"/>
                <w:szCs w:val="20"/>
                <w:color w:val="auto"/>
              </w:rPr>
            </w:pPr>
            <w:r>
              <w:rPr>
                <w:rFonts w:ascii="Arial" w:cs="Arial" w:eastAsia="Arial" w:hAnsi="Arial"/>
                <w:sz w:val="18"/>
                <w:szCs w:val="18"/>
                <w:color w:val="auto"/>
              </w:rPr>
              <w:t>“Settlement Date”</w:t>
            </w:r>
          </w:p>
        </w:tc>
        <w:tc>
          <w:tcPr>
            <w:tcW w:w="2500" w:type="dxa"/>
            <w:vAlign w:val="bottom"/>
          </w:tcPr>
          <w:p>
            <w:pPr>
              <w:ind w:left="20"/>
              <w:spacing w:after="0" w:line="196" w:lineRule="exact"/>
              <w:rPr>
                <w:sz w:val="20"/>
                <w:szCs w:val="20"/>
                <w:color w:val="auto"/>
              </w:rPr>
            </w:pPr>
            <w:r>
              <w:rPr>
                <w:rFonts w:ascii="Arial" w:cs="Arial" w:eastAsia="Arial" w:hAnsi="Arial"/>
                <w:sz w:val="18"/>
                <w:szCs w:val="18"/>
                <w:color w:val="auto"/>
              </w:rPr>
              <w:t>2.3</w:t>
            </w:r>
          </w:p>
        </w:tc>
        <w:tc>
          <w:tcPr>
            <w:tcW w:w="4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gridSpan w:val="6"/>
            <w:shd w:val="clear" w:color="auto" w:fill="000000"/>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780" w:type="dxa"/>
            <w:vAlign w:val="bottom"/>
            <w:gridSpan w:val="16"/>
          </w:tcPr>
          <w:p>
            <w:pPr>
              <w:ind w:left="20"/>
              <w:spacing w:after="0" w:line="196" w:lineRule="exact"/>
              <w:rPr>
                <w:sz w:val="20"/>
                <w:szCs w:val="20"/>
                <w:color w:val="auto"/>
              </w:rPr>
            </w:pPr>
            <w:r>
              <w:rPr>
                <w:rFonts w:ascii="Arial" w:cs="Arial" w:eastAsia="Arial" w:hAnsi="Arial"/>
                <w:sz w:val="18"/>
                <w:szCs w:val="18"/>
                <w:color w:val="auto"/>
              </w:rPr>
              <w:t>“Shares”</w:t>
            </w:r>
          </w:p>
        </w:tc>
        <w:tc>
          <w:tcPr>
            <w:tcW w:w="2500" w:type="dxa"/>
            <w:vAlign w:val="bottom"/>
          </w:tcPr>
          <w:p>
            <w:pPr>
              <w:ind w:left="20"/>
              <w:spacing w:after="0" w:line="196" w:lineRule="exact"/>
              <w:rPr>
                <w:sz w:val="20"/>
                <w:szCs w:val="20"/>
                <w:color w:val="auto"/>
              </w:rPr>
            </w:pPr>
            <w:r>
              <w:rPr>
                <w:rFonts w:ascii="Arial" w:cs="Arial" w:eastAsia="Arial" w:hAnsi="Arial"/>
                <w:sz w:val="18"/>
                <w:szCs w:val="18"/>
                <w:color w:val="auto"/>
              </w:rPr>
              <w:t>2.1</w:t>
            </w:r>
          </w:p>
        </w:tc>
        <w:tc>
          <w:tcPr>
            <w:tcW w:w="4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20" w:type="dxa"/>
            <w:vAlign w:val="bottom"/>
            <w:gridSpan w:val="11"/>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780" w:type="dxa"/>
            <w:vAlign w:val="bottom"/>
            <w:gridSpan w:val="16"/>
          </w:tcPr>
          <w:p>
            <w:pPr>
              <w:ind w:left="20"/>
              <w:spacing w:after="0" w:line="196" w:lineRule="exact"/>
              <w:rPr>
                <w:sz w:val="20"/>
                <w:szCs w:val="20"/>
                <w:color w:val="auto"/>
              </w:rPr>
            </w:pPr>
            <w:r>
              <w:rPr>
                <w:rFonts w:ascii="Arial" w:cs="Arial" w:eastAsia="Arial" w:hAnsi="Arial"/>
                <w:sz w:val="18"/>
                <w:szCs w:val="18"/>
                <w:color w:val="auto"/>
              </w:rPr>
              <w:t>“Transaction Agreements”</w:t>
            </w:r>
          </w:p>
        </w:tc>
        <w:tc>
          <w:tcPr>
            <w:tcW w:w="2500" w:type="dxa"/>
            <w:vAlign w:val="bottom"/>
          </w:tcPr>
          <w:p>
            <w:pPr>
              <w:ind w:left="20"/>
              <w:spacing w:after="0" w:line="196" w:lineRule="exact"/>
              <w:rPr>
                <w:sz w:val="20"/>
                <w:szCs w:val="20"/>
                <w:color w:val="auto"/>
              </w:rPr>
            </w:pPr>
            <w:r>
              <w:rPr>
                <w:rFonts w:ascii="Arial" w:cs="Arial" w:eastAsia="Arial" w:hAnsi="Arial"/>
                <w:sz w:val="18"/>
                <w:szCs w:val="18"/>
                <w:color w:val="auto"/>
              </w:rPr>
              <w:t>7.2</w:t>
            </w:r>
          </w:p>
        </w:tc>
        <w:tc>
          <w:tcPr>
            <w:tcW w:w="4120" w:type="dxa"/>
            <w:vAlign w:val="bottom"/>
          </w:tcPr>
          <w:p>
            <w:pPr>
              <w:spacing w:after="0"/>
              <w:rPr>
                <w:sz w:val="17"/>
                <w:szCs w:val="17"/>
                <w:color w:val="auto"/>
              </w:rPr>
            </w:pPr>
          </w:p>
        </w:tc>
      </w:tr>
      <w:tr>
        <w:trPr>
          <w:trHeight w:val="453"/>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tcPr>
          <w:p>
            <w:pPr>
              <w:ind w:left="840"/>
              <w:spacing w:after="0"/>
              <w:rPr>
                <w:sz w:val="20"/>
                <w:szCs w:val="20"/>
                <w:color w:val="auto"/>
              </w:rPr>
            </w:pPr>
            <w:r>
              <w:rPr>
                <w:rFonts w:ascii="Arial" w:cs="Arial" w:eastAsia="Arial" w:hAnsi="Arial"/>
                <w:sz w:val="18"/>
                <w:szCs w:val="18"/>
                <w:color w:val="auto"/>
              </w:rPr>
              <w:t>2</w:t>
            </w:r>
          </w:p>
        </w:tc>
        <w:tc>
          <w:tcPr>
            <w:tcW w:w="4120" w:type="dxa"/>
            <w:vAlign w:val="bottom"/>
          </w:tcPr>
          <w:p>
            <w:pPr>
              <w:spacing w:after="0"/>
              <w:rPr>
                <w:sz w:val="24"/>
                <w:szCs w:val="24"/>
                <w:color w:val="auto"/>
              </w:rPr>
            </w:pPr>
          </w:p>
        </w:tc>
      </w:tr>
      <w:tr>
        <w:trPr>
          <w:trHeight w:val="105"/>
        </w:trPr>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TO PURCHASE AND SELL SECURITIES.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Agreement to Purchase and Sell Securities</w:t>
      </w:r>
      <w:r>
        <w:rPr>
          <w:rFonts w:ascii="Arial" w:cs="Arial" w:eastAsia="Arial" w:hAnsi="Arial"/>
          <w:sz w:val="18"/>
          <w:szCs w:val="18"/>
          <w:color w:val="auto"/>
        </w:rPr>
        <w:t>. The Company hereby agrees to issue to Intel Capital at the Closing (as defined below) and Intel Capital agrees to purchase from the Company at the Closing, for an aggregate purchase price of $449,999,998.05 (the “</w:t>
      </w:r>
      <w:r>
        <w:rPr>
          <w:rFonts w:ascii="Arial" w:cs="Arial" w:eastAsia="Arial" w:hAnsi="Arial"/>
          <w:sz w:val="18"/>
          <w:szCs w:val="18"/>
          <w:u w:val="single" w:color="auto"/>
          <w:color w:val="auto"/>
        </w:rPr>
        <w:t>Purchase Price</w:t>
      </w:r>
      <w:r>
        <w:rPr>
          <w:rFonts w:ascii="Arial" w:cs="Arial" w:eastAsia="Arial" w:hAnsi="Arial"/>
          <w:sz w:val="18"/>
          <w:szCs w:val="18"/>
          <w:color w:val="auto"/>
        </w:rPr>
        <w:t>”), Rights representing in the aggregate the right to acquire 33,860,045 shares of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The Closing</w:t>
      </w:r>
      <w:r>
        <w:rPr>
          <w:rFonts w:ascii="Arial" w:cs="Arial" w:eastAsia="Arial" w:hAnsi="Arial"/>
          <w:sz w:val="17"/>
          <w:szCs w:val="17"/>
          <w:color w:val="auto"/>
        </w:rPr>
        <w:t>. The purchase and sale of the Rights shall take place at the offices of Gibson, Dunn &amp; Crutcher LLP, 1881 Page Mill Road, Palo Alto, California 94304, at 10:00 a.m. California time, on September 24, 2003, or at such other time and place as the Company and Intel Capital mutually agree upon (which time and place is referred to in this Agreement as the “</w:t>
      </w:r>
      <w:r>
        <w:rPr>
          <w:rFonts w:ascii="Arial" w:cs="Arial" w:eastAsia="Arial" w:hAnsi="Arial"/>
          <w:sz w:val="17"/>
          <w:szCs w:val="17"/>
          <w:u w:val="single" w:color="auto"/>
          <w:color w:val="auto"/>
        </w:rPr>
        <w:t>Closing</w:t>
      </w:r>
      <w:r>
        <w:rPr>
          <w:rFonts w:ascii="Arial" w:cs="Arial" w:eastAsia="Arial" w:hAnsi="Arial"/>
          <w:sz w:val="17"/>
          <w:szCs w:val="17"/>
          <w:color w:val="auto"/>
        </w:rPr>
        <w:t>”). At the Closing, the Company will deliver to Intel Capital certificates representing the Rights being purchased, against delivery to the Company by Intel Capital of the consideration set forth in Section 2.1 by wire transfer of immediately available funds to an account designated by the Company at least two (2) Business Days prior to the Closing.</w:t>
      </w:r>
    </w:p>
    <w:p>
      <w:pPr>
        <w:spacing w:after="0" w:line="173"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Additional Adjustment Rights</w:t>
      </w:r>
      <w:r>
        <w:rPr>
          <w:rFonts w:ascii="Arial" w:cs="Arial" w:eastAsia="Arial" w:hAnsi="Arial"/>
          <w:sz w:val="17"/>
          <w:szCs w:val="17"/>
          <w:color w:val="auto"/>
        </w:rPr>
        <w:t>. The Company and Intel Capital acknowledge that pursuant to Sections 7.2.1 and 7.2.2 of the Business Agreement, the Company may be obligated to pay to Intel certain Additional Amounts (as defined and specified in the Business Agreement). Subject to the provisions of this Section 2.3, the Company may elect to satisfy its obligation to pay all or a portion of any Additional Amount by delivering to Intel Capital additional Rights (any such Rights are referred to herein as “</w:t>
      </w:r>
      <w:r>
        <w:rPr>
          <w:rFonts w:ascii="Arial" w:cs="Arial" w:eastAsia="Arial" w:hAnsi="Arial"/>
          <w:sz w:val="17"/>
          <w:szCs w:val="17"/>
          <w:u w:val="single" w:color="auto"/>
          <w:color w:val="auto"/>
        </w:rPr>
        <w:t>Additional Adjustment Rights</w:t>
      </w:r>
      <w:r>
        <w:rPr>
          <w:rFonts w:ascii="Arial" w:cs="Arial" w:eastAsia="Arial" w:hAnsi="Arial"/>
          <w:sz w:val="17"/>
          <w:szCs w:val="17"/>
          <w:color w:val="auto"/>
        </w:rPr>
        <w:t>”). If the Company elects to deliver Additional Adjustment Rights to satisfy its obligation to pay any Additional Amount, then it shall notify Intel Capital of such election, the number of Rights or dollar value of Rights it elects to deliver (based upon the dollar value of the shares of Common Stock that may be acquired pursuant to such Rights), and the date that it will deliver the Additional Adjustment Rights (any such date, a “</w:t>
      </w:r>
      <w:r>
        <w:rPr>
          <w:rFonts w:ascii="Arial" w:cs="Arial" w:eastAsia="Arial" w:hAnsi="Arial"/>
          <w:sz w:val="17"/>
          <w:szCs w:val="17"/>
          <w:u w:val="single" w:color="auto"/>
          <w:color w:val="auto"/>
        </w:rPr>
        <w:t>Settlement Date</w:t>
      </w:r>
      <w:r>
        <w:rPr>
          <w:rFonts w:ascii="Arial" w:cs="Arial" w:eastAsia="Arial" w:hAnsi="Arial"/>
          <w:sz w:val="17"/>
          <w:szCs w:val="17"/>
          <w:color w:val="auto"/>
        </w:rPr>
        <w:t>”). The Company may deliver Additional Adjustment Rights only if, as of the applicable Settlement Date, the information contained in the SEC Documents (as defined in Section 3.10(a) hereof), as filed prior to the Settlement Date, with respect to the business, operations, results of operations and financial condition of the Company and its subsidiaries, taken as a whole, and the transactions contemplated by this Agreement, taken together, are true and complete in all material respects and do not omit to state any material fact necessary in order to make the statements therein, in light of the circumstances under which they were made, not misleading, and the Company delivers to Intel Capital on the Settlement Date, a certificate of its Chief Executive Officer or Chief Financial Officer to that effect. For purposes of satisfying the Company’s obligations to pay any Additional Amount, any Additional Adjustment Rights shall be valued based upon the average closing prices of the Common Stock on the NYSE, as reported by Bloomberg L.P., for the twenty (20) trading day period ending and including the third trading day prior to the Settlement Date. The Company may not elect to deliver Additional Adjustment Rights in satisfaction of its obligations to pay any Additional Amount if, as of the Settlement Date, the Common Stock is not listed on the NYSE or the NASDAQ National Market, if the Company has taken action towards delisting or intends to delist the Common Stock from the NYSE or the NASDAQ National Market.</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341" w:right="219" w:bottom="235" w:gutter="0" w:footer="0" w:header="0"/>
        </w:sectPr>
      </w:pPr>
    </w:p>
    <w:bookmarkStart w:id="5" w:name="page6"/>
    <w:bookmarkEnd w:id="5"/>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hereby represents and warrants to Intel Capital that the statements in this Section 3 are true and correct, except as set forth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Disclosure Letter from the Company dated the date hereof (the “</w:t>
      </w:r>
      <w:r>
        <w:rPr>
          <w:rFonts w:ascii="Arial" w:cs="Arial" w:eastAsia="Arial" w:hAnsi="Arial"/>
          <w:sz w:val="18"/>
          <w:szCs w:val="18"/>
          <w:u w:val="single" w:color="auto"/>
          <w:color w:val="auto"/>
        </w:rPr>
        <w:t>Disclosure Letter</w:t>
      </w:r>
      <w:r>
        <w:rPr>
          <w:rFonts w:ascii="Arial" w:cs="Arial" w:eastAsia="Arial" w:hAnsi="Arial"/>
          <w:sz w:val="18"/>
          <w:szCs w:val="18"/>
          <w:color w:val="auto"/>
        </w:rPr>
        <w:t>”) or disclosed in the SEC Documents (as defined below):</w:t>
      </w:r>
    </w:p>
    <w:p>
      <w:pPr>
        <w:spacing w:after="0" w:line="21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Organization Good Standing and Qualification</w:t>
      </w:r>
      <w:r>
        <w:rPr>
          <w:rFonts w:ascii="Arial" w:cs="Arial" w:eastAsia="Arial" w:hAnsi="Arial"/>
          <w:sz w:val="16"/>
          <w:szCs w:val="16"/>
          <w:color w:val="auto"/>
        </w:rPr>
        <w:t>. The Company is a corporation duly organized, validly existing and in good standing under the laws of the State of Delaware and has all corporate power and authority required to (a) carry on its business as presently conducted, and (b) enter into this Agreement, the Rights Agreement, the Rights and Restrictions Agreement and the Business Agreement, to issue the Rights, any Additional Adjustment Rights and any shares of Common Stock issuable pursuant to the Rights and any Additional Adjustment Rights, and to consummate the transactions contemplated hereby and thereby. The Company is qualified to do business and is in good standing in each jurisdiction in which the failure to so qualify would have a Material Adverse Effect. As used in this Agreement,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or a group of such effects which are related, on the business, operations, financial condition or results of operations, of the applicable party and its Subsidiaries, taken as a whole.</w:t>
      </w:r>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Capitalization</w:t>
      </w:r>
      <w:r>
        <w:rPr>
          <w:rFonts w:ascii="Arial" w:cs="Arial" w:eastAsia="Arial" w:hAnsi="Arial"/>
          <w:sz w:val="17"/>
          <w:szCs w:val="17"/>
          <w:color w:val="auto"/>
        </w:rPr>
        <w:t>. The authorized and outstanding capital stock of the Company at September 19, 2003, without giving effect to the transactions contemplated by this Agreement, is as set forth in the Disclosure Letter or the SEC Documents. All outstanding shares of capital stock have been duly authorized, and all such issued and outstanding shares have been validly issued and are fully paid and nonassessable. The Disclosure Letter or the SEC Documents include information regarding equity securities reserved for issuance to officers, directors, employees or independent contractors or affiliates of the Company under the Company’s employee stock option and purchase plans and upon conversion of convertible securities. Except as set forth in the Disclosure Letter or the SEC Documents, there are no other equity securities, options, warrants, calls, rights, commitments or agreements of any character to which the Company is a party or by which it is bound obligating the Company to issue, deliver, sell, repurchase or redeem, or cause to be issued, delivered, sold, repurchased or redeemed, any shares of the capital stock of the Company or obligating the Company to grant, extend or enter into any such equity security, option, warrant, call, right, commitment or agreement.</w:t>
      </w:r>
    </w:p>
    <w:p>
      <w:pPr>
        <w:spacing w:after="0" w:line="182"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Due Authorization</w:t>
      </w:r>
      <w:r>
        <w:rPr>
          <w:rFonts w:ascii="Arial" w:cs="Arial" w:eastAsia="Arial" w:hAnsi="Arial"/>
          <w:sz w:val="16"/>
          <w:szCs w:val="16"/>
          <w:color w:val="auto"/>
        </w:rPr>
        <w:t>. The Company has the requisite corporate power and authority to enter into this Agreement, the Rights Agreement, the Rights and Restrictions Agreement and the Business Agreement and to perform its obligations hereunder and thereunder. The execution and delivery of this Agreement, the Rights Agreement, the Rights and Restrictions Agreement and the Business Agreement, and performance by the Company of its obligations hereunder and thereunder, including without limitation, the issuance of the Rights, have been duly authorized by all necessary corporate action on the part of the Company (including its directors and stockholders). This Agreement constitutes, and the Rights Agreement, the Rights and Restrictions Agreement and the Business Agreement, when executed and delivered by the parties thereto, will constitute, valid and legally binding obligations of the Company, enforceable against the Company in accordance with their respective terms, except (a) as may be limited by (i) applicable bankruptcy, insolvency, reorganization or others laws of general application relating to or affecting the enforcement of creditors’ rights generally and (ii) the effect of rules 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law governing the availability of equitable remedies and (b) as rights to indemnity or contribution may be limited under federal or state securities laws or by principles of public policy thereunder.</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Valid Issuance</w:t>
      </w:r>
      <w:r>
        <w:rPr>
          <w:rFonts w:ascii="Arial" w:cs="Arial" w:eastAsia="Arial" w:hAnsi="Arial"/>
          <w:sz w:val="16"/>
          <w:szCs w:val="16"/>
          <w:color w:val="auto"/>
        </w:rPr>
        <w:t>.</w:t>
      </w:r>
    </w:p>
    <w:p>
      <w:pPr>
        <w:spacing w:after="0" w:line="225" w:lineRule="exact"/>
        <w:rPr>
          <w:sz w:val="20"/>
          <w:szCs w:val="20"/>
          <w:color w:val="auto"/>
        </w:rPr>
      </w:pPr>
    </w:p>
    <w:p>
      <w:pPr>
        <w:jc w:val="both"/>
        <w:ind w:right="180" w:firstLine="656"/>
        <w:spacing w:after="0" w:line="288" w:lineRule="auto"/>
        <w:tabs>
          <w:tab w:leader="none" w:pos="1307"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Valid Issuance and Enforceability of Rights</w:t>
      </w:r>
      <w:r>
        <w:rPr>
          <w:rFonts w:ascii="Arial" w:cs="Arial" w:eastAsia="Arial" w:hAnsi="Arial"/>
          <w:sz w:val="16"/>
          <w:szCs w:val="16"/>
          <w:color w:val="auto"/>
        </w:rPr>
        <w:t>. The Rights, including any Additional Adjustment Rights, issued pursuant to this Agreement have been duly authorized, and, when executed in accordance with the provisions of the Rights Agreement and delivered to and paid for by Intel Capital in accordance with the provisions of this Agreement, will be valid and binding obligations of the Company, enforceable in accordance with their terms, except</w:t>
      </w:r>
    </w:p>
    <w:p>
      <w:pPr>
        <w:ind w:right="80" w:firstLine="8"/>
        <w:spacing w:after="0" w:line="255" w:lineRule="auto"/>
        <w:tabs>
          <w:tab w:leader="none" w:pos="245"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may be limited by (i) applicable bankruptcy, insolvency, reorganization, or other laws of general application, relating to or affecting the enforcement of creditors’ rights generally and (ii) the effect of rules of laws governing the availability of equitable remedies and (b) as rights to indemnity or contribution may be limited under federal or state securities laws or by principles of public policy thereunder.</w:t>
      </w:r>
    </w:p>
    <w:p>
      <w:pPr>
        <w:spacing w:after="0" w:line="190" w:lineRule="exact"/>
        <w:rPr>
          <w:rFonts w:ascii="Arial" w:cs="Arial" w:eastAsia="Arial" w:hAnsi="Arial"/>
          <w:sz w:val="18"/>
          <w:szCs w:val="18"/>
          <w:color w:val="auto"/>
        </w:rPr>
      </w:pPr>
    </w:p>
    <w:p>
      <w:pPr>
        <w:ind w:right="100" w:firstLine="656"/>
        <w:spacing w:after="0" w:line="257" w:lineRule="auto"/>
        <w:tabs>
          <w:tab w:leader="none" w:pos="1304"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Valid Issuance of Shares</w:t>
      </w:r>
      <w:r>
        <w:rPr>
          <w:rFonts w:ascii="Arial" w:cs="Arial" w:eastAsia="Arial" w:hAnsi="Arial"/>
          <w:sz w:val="18"/>
          <w:szCs w:val="18"/>
          <w:color w:val="auto"/>
        </w:rPr>
        <w:t>. The shares of Common Stock issuable upon conversion, exchange or exercise of the Rights, including any Additional Adjustment Rights, have been duly authorized and reserved, and when issued upon conversion, exchange or exercise of the Rights in accordance with the terms of the Rights Agreement, will be duly and validly issued, fully paid and nonassessable. The shares of Common Stock issuable pursuant to the Rights, including any Additional Adjustment Rights, have been duly authorized and reserved, and upon issuance pursuant to the term of the Rights Agreement, will be duly and validly issued, fully paid and nonassessable.</w:t>
      </w:r>
    </w:p>
    <w:p>
      <w:pPr>
        <w:spacing w:after="0" w:line="188"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Compliance with Securities Laws</w:t>
      </w:r>
      <w:r>
        <w:rPr>
          <w:rFonts w:ascii="Arial" w:cs="Arial" w:eastAsia="Arial" w:hAnsi="Arial"/>
          <w:sz w:val="16"/>
          <w:szCs w:val="16"/>
          <w:color w:val="auto"/>
        </w:rPr>
        <w:t>. Assuming the accuracy of the representations made by Intel Capital in Section 4 hereof, the Rights, including any Additional Adjustment Rights, and the shares of Common Stock issuable upon conversion, exercise or exchange of the Rights, including any Additional Adjustment Rights, will be issued to Intel Capital in compliance with applicable exemptions from (i) the registration and prospectus delivery requirements of the Securities Act and (ii) the registration and qualification requirements of all applicable securities laws of the states of the United States.</w:t>
      </w:r>
    </w:p>
    <w:p>
      <w:pPr>
        <w:spacing w:after="0" w:line="15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Governmental Consents</w:t>
      </w:r>
      <w:r>
        <w:rPr>
          <w:rFonts w:ascii="Arial" w:cs="Arial" w:eastAsia="Arial" w:hAnsi="Arial"/>
          <w:sz w:val="17"/>
          <w:szCs w:val="17"/>
          <w:color w:val="auto"/>
        </w:rPr>
        <w:t>. No consent, approval, order or authorization of, or registration qualification, designation, declaration or filing with, any federal, state or local governmental authority on the part of the Company is required in connection with the consummation of the transactions contemplated by this Agreement, except: (i) compliance with the HSR Act which may be required for the conversion, exercise or exchange of the Rights to acquire shares of Common Stock; (ii) the filing of a current report on Form 8-K by the Company with the SEC following the Closing; (iii) the filing of such qualifications or filings under the Securities Act and the regulations thereunder and all applicable state securities laws as may be required in connection with the transactions contemplated by this Agreement; and (iii) as expressly required or contemplated by the terms of the Rights and Restrictions Agreement. All such qualifications and filings in connection with the issuance of the Rights have been made or are effective.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delivery and performance of this Agreement, the Rights Agreement, the Rights and Restrictions Agreement, and the Business Agreement by the Company, and the consummation by the Company of the transactions contemplated hereby and thereby, do not and will not (i) contravene or conflict with the Certificate of Incorporation or Bylaws of the Company, as amended; (ii) constitute a violation of any provision of any federal, state, local or foreign law binding upon or applicable to the Company; or (iii) constitute a default or require any consent under, give rise to any right of termination, cancellation or acceleration of, or to a loss of any benefit to which the Company is entitled under, or result in the creation or</w:t>
      </w:r>
    </w:p>
    <w:p>
      <w:pPr>
        <w:sectPr>
          <w:pgSz w:w="11900" w:h="16838" w:orient="portrait"/>
          <w:cols w:equalWidth="0" w:num="1">
            <w:col w:w="11400"/>
          </w:cols>
          <w:pgMar w:left="240" w:top="121" w:right="259" w:bottom="0" w:gutter="0" w:footer="0" w:header="0"/>
        </w:sectPr>
      </w:pPr>
    </w:p>
    <w:bookmarkStart w:id="6" w:name="page7"/>
    <w:bookmarkEnd w:id="6"/>
    <w:p>
      <w:pPr>
        <w:ind w:right="220"/>
        <w:spacing w:after="0" w:line="264" w:lineRule="auto"/>
        <w:rPr>
          <w:sz w:val="20"/>
          <w:szCs w:val="20"/>
          <w:color w:val="auto"/>
        </w:rPr>
      </w:pPr>
      <w:r>
        <w:rPr>
          <w:rFonts w:ascii="Arial" w:cs="Arial" w:eastAsia="Arial" w:hAnsi="Arial"/>
          <w:sz w:val="18"/>
          <w:szCs w:val="18"/>
          <w:color w:val="auto"/>
        </w:rPr>
        <w:t>imposition of any lien, claim or encumbrance on any assets of the Company under, any contract to which the Company is a party or any permit, license or similar right relating to the Company or by which the Company may be bound, except in the case of clause (ii) and (iii) as, individually or in the aggregate, would not have a Material Adverse Effect.</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suit, proceeding, claim, arbitration or investigation (“</w:t>
      </w:r>
      <w:r>
        <w:rPr>
          <w:rFonts w:ascii="Arial" w:cs="Arial" w:eastAsia="Arial" w:hAnsi="Arial"/>
          <w:sz w:val="18"/>
          <w:szCs w:val="18"/>
          <w:u w:val="single" w:color="auto"/>
          <w:color w:val="auto"/>
        </w:rPr>
        <w:t>Action</w:t>
      </w:r>
      <w:r>
        <w:rPr>
          <w:rFonts w:ascii="Arial" w:cs="Arial" w:eastAsia="Arial" w:hAnsi="Arial"/>
          <w:sz w:val="18"/>
          <w:szCs w:val="18"/>
          <w:color w:val="auto"/>
        </w:rPr>
        <w:t>”) pending: (a) against the Company, properties or assets or, to the best of the Company’s knowledge, against any officer, director or employee of the Company in connection with such officer’s, director’s or employee’s relationship with, or actions taken on behalf of, the Company, which the Company believes is reasonably likely to have a Material Adverse Effect, or (b) that seeks to prevent, enjoin, alter or delay the transactions contemplated by this Agreement. The Company is not a party to or subject to the provisions of any order, writ, injunction, judgment or decree of any court or government agency or instrumentality which it believes is reasonably likely to have a Material Adverse Effect. No Action by the Company is currently pending nor does the Company intend to initiate any Action which it believes is reasonably likely to have a Material Adverse Effect.</w:t>
      </w:r>
    </w:p>
    <w:p>
      <w:pPr>
        <w:spacing w:after="0" w:line="18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Compliance with Law and Charter Documents</w:t>
      </w:r>
      <w:r>
        <w:rPr>
          <w:rFonts w:ascii="Arial" w:cs="Arial" w:eastAsia="Arial" w:hAnsi="Arial"/>
          <w:sz w:val="17"/>
          <w:szCs w:val="17"/>
          <w:color w:val="auto"/>
        </w:rPr>
        <w:t>. The Company is not in violation or default of any provisions of its Certificate of Incorporation or Bylaws, both as amended. The Company has complied and is in compliance with all applicable statutes, laws, and regulations and executive orders of the United States of America and all states, foreign countries and other governmental bodies and agencies having jurisdiction over the Company’s business or properties, except for any violations that would not, either individually or in the aggregate, have a Material Adverse Effect.</w:t>
      </w:r>
    </w:p>
    <w:p>
      <w:pPr>
        <w:spacing w:after="0" w:line="17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u w:val="single" w:color="auto"/>
          <w:color w:val="auto"/>
        </w:rPr>
        <w:t>SEC Documents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90" w:lineRule="auto"/>
        <w:tabs>
          <w:tab w:leader="none" w:pos="195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Reports</w:t>
      </w:r>
      <w:r>
        <w:rPr>
          <w:rFonts w:ascii="Arial" w:cs="Arial" w:eastAsia="Arial" w:hAnsi="Arial"/>
          <w:sz w:val="16"/>
          <w:szCs w:val="16"/>
          <w:color w:val="auto"/>
        </w:rPr>
        <w:t>. The Company has filed all required forms, reports and documents with the SEC since January 1, 2002. The Company has furnished or made available to Intel Capital prior to the date hereof copies of its Annual Report on Form 10-K for the fiscal year ended August 29, 2002 (“</w:t>
      </w:r>
      <w:r>
        <w:rPr>
          <w:rFonts w:ascii="Arial" w:cs="Arial" w:eastAsia="Arial" w:hAnsi="Arial"/>
          <w:sz w:val="16"/>
          <w:szCs w:val="16"/>
          <w:u w:val="single" w:color="auto"/>
          <w:color w:val="auto"/>
        </w:rPr>
        <w:t>Form 10-K</w:t>
      </w:r>
      <w:r>
        <w:rPr>
          <w:rFonts w:ascii="Arial" w:cs="Arial" w:eastAsia="Arial" w:hAnsi="Arial"/>
          <w:sz w:val="16"/>
          <w:szCs w:val="16"/>
          <w:color w:val="auto"/>
        </w:rPr>
        <w:t>”), its Quarterly Reports on Form 10-Q for the fiscal quarters ended November 28, 2002, February 27, 2003 and May 29, 2003 (the “</w:t>
      </w:r>
      <w:r>
        <w:rPr>
          <w:rFonts w:ascii="Arial" w:cs="Arial" w:eastAsia="Arial" w:hAnsi="Arial"/>
          <w:sz w:val="16"/>
          <w:szCs w:val="16"/>
          <w:u w:val="single" w:color="auto"/>
          <w:color w:val="auto"/>
        </w:rPr>
        <w:t>Form 10-Q’s</w:t>
      </w:r>
      <w:r>
        <w:rPr>
          <w:rFonts w:ascii="Arial" w:cs="Arial" w:eastAsia="Arial" w:hAnsi="Arial"/>
          <w:sz w:val="16"/>
          <w:szCs w:val="16"/>
          <w:color w:val="auto"/>
        </w:rPr>
        <w:t>”), and all other registration statements, reports and proxy statements filed by the Company with the SEC on or after August 31, 2002 (the Form 10-K, the Form 10-Q’s and such registration statements, reports and proxy statements are collectively referred to herein as the “</w:t>
      </w:r>
      <w:r>
        <w:rPr>
          <w:rFonts w:ascii="Arial" w:cs="Arial" w:eastAsia="Arial" w:hAnsi="Arial"/>
          <w:sz w:val="16"/>
          <w:szCs w:val="16"/>
          <w:u w:val="single" w:color="auto"/>
          <w:color w:val="auto"/>
        </w:rPr>
        <w:t>SEC Documents</w:t>
      </w:r>
      <w:r>
        <w:rPr>
          <w:rFonts w:ascii="Arial" w:cs="Arial" w:eastAsia="Arial" w:hAnsi="Arial"/>
          <w:sz w:val="16"/>
          <w:szCs w:val="16"/>
          <w:color w:val="auto"/>
        </w:rPr>
        <w:t>”). Each of the SEC Documents, as of the respective date thereof (or if amended or superseded by a filing prior to the closing date of this Agreement, then on the date of such filing), did not, and each of the registration statements, reports and proxy statements filed by the Company with the SEC after the date hereof and prior to the Closing will not, as of the date thereof (or if amended or superseded by a filing prior to the date of this Agreement, then on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date of such filing), contain any untrue statement of a material fact or omit to state a material fact necessary in order to make the statements made therein, in light of the circumstances under which they were made, not misleading. The Company is not a party to any material contract, agreement or other arrangement which was required to have been filed as an exhibit to the SEC Documents that was not so filed.</w:t>
      </w:r>
    </w:p>
    <w:p>
      <w:pPr>
        <w:spacing w:after="0" w:line="181" w:lineRule="exact"/>
        <w:rPr>
          <w:sz w:val="20"/>
          <w:szCs w:val="20"/>
          <w:color w:val="auto"/>
        </w:rPr>
      </w:pPr>
    </w:p>
    <w:p>
      <w:pPr>
        <w:ind w:right="80" w:firstLine="1305"/>
        <w:spacing w:after="0" w:line="270" w:lineRule="auto"/>
        <w:tabs>
          <w:tab w:leader="none" w:pos="1952"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SEC Documents include the Company’s audited consolidated financial statements (the “</w:t>
      </w:r>
      <w:r>
        <w:rPr>
          <w:rFonts w:ascii="Arial" w:cs="Arial" w:eastAsia="Arial" w:hAnsi="Arial"/>
          <w:sz w:val="17"/>
          <w:szCs w:val="17"/>
          <w:u w:val="single" w:color="auto"/>
          <w:color w:val="auto"/>
        </w:rPr>
        <w:t>Audited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for the fiscal year ended August 29, 2002, and its unaudited consolidated financial statements for the nine-month period ended May 29, 2003 (the “</w:t>
      </w:r>
      <w:r>
        <w:rPr>
          <w:rFonts w:ascii="Arial" w:cs="Arial" w:eastAsia="Arial" w:hAnsi="Arial"/>
          <w:sz w:val="17"/>
          <w:szCs w:val="17"/>
          <w:u w:val="single" w:color="auto"/>
          <w:color w:val="auto"/>
        </w:rPr>
        <w:t>Balance Sheet Date</w:t>
      </w:r>
      <w:r>
        <w:rPr>
          <w:rFonts w:ascii="Arial" w:cs="Arial" w:eastAsia="Arial" w:hAnsi="Arial"/>
          <w:sz w:val="17"/>
          <w:szCs w:val="17"/>
          <w:color w:val="auto"/>
        </w:rPr>
        <w:t>”). Since the Balance Sheet Date, the Company has duly filed with the SEC all forms, reports and other documents required to be filed by it under the Exchange Act and the Securities Act. The audited and unaudited consolidated financial statements of the Company included in the SEC Documents filed prior to the date hereof fairly present, in conformity with United States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”)(except as permitted by Form 10-Q) applied on a consistent basis (except as may be indicated in such financial statements or the notes thereto), the consolidated financial position of the Company and its consolidated Subsidiaries as at the dates thereof and the consolidated results of their operations and cash flows for the periods then ended (subject to normal year-end audit adjustments in the case of the unaudited interim financial statements contained in the Form 10-Qs, which adjustments are not expected to be material in amount).</w:t>
      </w:r>
    </w:p>
    <w:p>
      <w:pPr>
        <w:spacing w:after="0" w:line="18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Absence of Certain Changes Since Balance Sheet</w:t>
      </w:r>
      <w:r>
        <w:rPr>
          <w:rFonts w:ascii="Arial" w:cs="Arial" w:eastAsia="Arial" w:hAnsi="Arial"/>
          <w:sz w:val="16"/>
          <w:szCs w:val="16"/>
          <w:color w:val="auto"/>
        </w:rPr>
        <w:t xml:space="preserve"> . Since the Balance Sheet Date, except as disclosed in or contemplated by the SEC Documents, the business and operations of the Company have been conducted in the ordinary course consistent with past practice, and there has not been:</w:t>
      </w:r>
    </w:p>
    <w:p>
      <w:pPr>
        <w:spacing w:after="0" w:line="124" w:lineRule="exact"/>
        <w:rPr>
          <w:sz w:val="20"/>
          <w:szCs w:val="20"/>
          <w:color w:val="auto"/>
        </w:rPr>
      </w:pPr>
    </w:p>
    <w:p>
      <w:pPr>
        <w:ind w:right="300" w:firstLine="1305"/>
        <w:spacing w:after="0" w:line="264" w:lineRule="auto"/>
        <w:tabs>
          <w:tab w:leader="none" w:pos="1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declaration, setting aside or payment of any dividend or other distribution of the assets of the Company with respect to any shares of capital stock of the Company or any repurchase, redemption or other acquisition by the Company or any Subsidiary of the Company of any outstanding shares of the Company’s capital stock;</w:t>
      </w:r>
    </w:p>
    <w:p>
      <w:pPr>
        <w:spacing w:after="0" w:line="181" w:lineRule="exact"/>
        <w:rPr>
          <w:rFonts w:ascii="Arial" w:cs="Arial" w:eastAsia="Arial" w:hAnsi="Arial"/>
          <w:sz w:val="18"/>
          <w:szCs w:val="18"/>
          <w:color w:val="auto"/>
        </w:rPr>
      </w:pPr>
    </w:p>
    <w:p>
      <w:pPr>
        <w:ind w:right="180" w:firstLine="1305"/>
        <w:spacing w:after="0" w:line="277" w:lineRule="auto"/>
        <w:tabs>
          <w:tab w:leader="none" w:pos="19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damage, destruction or loss, whether or not covered by insurance, except for such occurrences that have not resulted, and are not expected to result, in a Material Adverse Effect;</w:t>
      </w:r>
    </w:p>
    <w:p>
      <w:pPr>
        <w:spacing w:after="0" w:line="170" w:lineRule="exact"/>
        <w:rPr>
          <w:rFonts w:ascii="Arial" w:cs="Arial" w:eastAsia="Arial" w:hAnsi="Arial"/>
          <w:sz w:val="18"/>
          <w:szCs w:val="18"/>
          <w:color w:val="auto"/>
        </w:rPr>
      </w:pPr>
    </w:p>
    <w:p>
      <w:pPr>
        <w:ind w:right="100" w:firstLine="1305"/>
        <w:spacing w:after="0" w:line="277" w:lineRule="auto"/>
        <w:tabs>
          <w:tab w:leader="none" w:pos="1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waiver by the Company of a valuable right or of a material debt owed to it, except for such waivers that have not resulted and are not expected to result, in a Material Adverse Effect;</w:t>
      </w:r>
    </w:p>
    <w:p>
      <w:pPr>
        <w:spacing w:after="0" w:line="170" w:lineRule="exact"/>
        <w:rPr>
          <w:rFonts w:ascii="Arial" w:cs="Arial" w:eastAsia="Arial" w:hAnsi="Arial"/>
          <w:sz w:val="18"/>
          <w:szCs w:val="18"/>
          <w:color w:val="auto"/>
        </w:rPr>
      </w:pPr>
    </w:p>
    <w:p>
      <w:pPr>
        <w:ind w:right="40" w:firstLine="1305"/>
        <w:spacing w:after="0" w:line="264" w:lineRule="auto"/>
        <w:tabs>
          <w:tab w:leader="none" w:pos="19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material change or amendment to, or any waiver of any material rights under a material contract or arrangement by which the Company or any of its assets, or properties is bound or subject, except for changes, amendments or waivers that are expressly provided for or disclosed in this Agreement or that have not resulted, and are not expected to result, in a Material Adverse Effect;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change by the Company in its accounting principles, methods or practices or in the manner it keeps its accounting books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records;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20" w:firstLine="1305"/>
        <w:spacing w:after="0" w:line="277" w:lineRule="auto"/>
        <w:tabs>
          <w:tab w:leader="none" w:pos="19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event or condition of any character, except for such events and conditions that have not resulted, either individually or collectively, in a Material Adverse Effect.</w:t>
      </w:r>
    </w:p>
    <w:p>
      <w:pPr>
        <w:spacing w:after="0" w:line="17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Full Disclosure</w:t>
      </w:r>
      <w:r>
        <w:rPr>
          <w:rFonts w:ascii="Arial" w:cs="Arial" w:eastAsia="Arial" w:hAnsi="Arial"/>
          <w:sz w:val="16"/>
          <w:szCs w:val="16"/>
          <w:color w:val="auto"/>
        </w:rPr>
        <w:t>. The information contained in this Agreement, the Disclosure Letter and the SEC Documents with respect to the business, operations, results of operations and financial condition of the Company, and the transactions contemplated by this Agreement, taken together, are true and</w:t>
      </w:r>
    </w:p>
    <w:p>
      <w:pPr>
        <w:sectPr>
          <w:pgSz w:w="11900" w:h="16838" w:orient="portrait"/>
          <w:cols w:equalWidth="0" w:num="1">
            <w:col w:w="11420"/>
          </w:cols>
          <w:pgMar w:left="240" w:top="125" w:right="239" w:bottom="0" w:gutter="0" w:footer="0" w:header="0"/>
        </w:sectPr>
      </w:pPr>
    </w:p>
    <w:bookmarkStart w:id="7" w:name="page8"/>
    <w:bookmarkEnd w:id="7"/>
    <w:p>
      <w:pPr>
        <w:ind w:right="380"/>
        <w:spacing w:after="0" w:line="277" w:lineRule="auto"/>
        <w:rPr>
          <w:sz w:val="20"/>
          <w:szCs w:val="20"/>
          <w:color w:val="auto"/>
        </w:rPr>
      </w:pPr>
      <w:r>
        <w:rPr>
          <w:rFonts w:ascii="Arial" w:cs="Arial" w:eastAsia="Arial" w:hAnsi="Arial"/>
          <w:sz w:val="18"/>
          <w:szCs w:val="18"/>
          <w:color w:val="auto"/>
        </w:rPr>
        <w:t>complete in all material respects and do not omit to state any material fact necessary in order to make the statements therein, in light of the circumstances under which they were made, not misleading.</w:t>
      </w:r>
    </w:p>
    <w:p>
      <w:pPr>
        <w:spacing w:after="0" w:line="166" w:lineRule="exact"/>
        <w:rPr>
          <w:sz w:val="20"/>
          <w:szCs w:val="20"/>
          <w:color w:val="auto"/>
        </w:rPr>
      </w:pPr>
    </w:p>
    <w:p>
      <w:pPr>
        <w:ind w:left="660" w:right="3960" w:hanging="652"/>
        <w:spacing w:after="0" w:line="503"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WARRANTIES AND AGREEMENTS OF SILICON CAPITAL. </w:t>
      </w:r>
      <w:r>
        <w:rPr>
          <w:rFonts w:ascii="Arial" w:cs="Arial" w:eastAsia="Arial" w:hAnsi="Arial"/>
          <w:sz w:val="18"/>
          <w:szCs w:val="18"/>
          <w:color w:val="auto"/>
        </w:rPr>
        <w:t>Intel Capital represents and warrants to the Company as follows:</w:t>
      </w:r>
    </w:p>
    <w:p>
      <w:pPr>
        <w:spacing w:after="0" w:line="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Investigation; Economic Risk</w:t>
      </w:r>
      <w:r>
        <w:rPr>
          <w:rFonts w:ascii="Arial" w:cs="Arial" w:eastAsia="Arial" w:hAnsi="Arial"/>
          <w:sz w:val="16"/>
          <w:szCs w:val="16"/>
          <w:color w:val="auto"/>
        </w:rPr>
        <w:t>. Intel Capital has received or has had full access to all of the information it considers necessary or</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appropriate to make an informed investment decision with respect to the Rights to be purchased by Intel Capital under this Agreement. Intel Capital further has had an opportunity to ask questions and receive answers from the Company regarding the terms and conditions of the offering of the Rights and the shares of Common Stock into which they are convertible, exercisable or exchangeable and to obtain additional information (to the extent the Company possessed such information or could acquire it without unreasonable effort or expense) necessary to verify any information furnished to Intel Capital or to which Intel Capital had access. The foregoing, however, does not in any way limit or modify the representations and warranties made by the Company in Section 3. Intel Capital understands that the purchase of the Rights involves substantial risk. Intel Capital acknowledges that it is able to fend for itself in the transactions contemplated by this Agreement and has the ability to bear the economic risks of its investment pursuant to this Agreement and has such knowledge and experience in financial or business matters that it is capable of evaluating the merits and risks of this investment in the Rights and the shares of Common Stock into which they are convertible, exercisable or exchangeable and protecting its own interests in connection with this investment.</w:t>
      </w:r>
    </w:p>
    <w:p>
      <w:pPr>
        <w:spacing w:after="0" w:line="16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Intel Capital will acquire the Rights, and any Additional Adjustment Rights for its own account, not as a nominee or agent, and not with a view to or in connection with the sale or distribution of any part thereof.</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Exempt from Registration; Restricted Securities</w:t>
      </w:r>
      <w:r>
        <w:rPr>
          <w:rFonts w:ascii="Arial" w:cs="Arial" w:eastAsia="Arial" w:hAnsi="Arial"/>
          <w:sz w:val="18"/>
          <w:szCs w:val="18"/>
          <w:color w:val="auto"/>
        </w:rPr>
        <w:t>. Intel Capital understands that the sale and issuance of the Rights and any Additional Adjustment Rights and the issuance of any shares of Common Stock upon conversion, exercise or exchange thereof will not be registered under the Securities Act on the ground that the sale provided for in this Agreement is exempt from registration under of the Securities Act, and that the reliance of the Company on such exemption is predicated in part on Intel Capital’s representations set forth in this Agreement. Intel Capital understands that the Rights, including any Additional Adjustment Rights, and any shares of Common Stock issuable upon conversion, exercise or exchange thereof are restricted securities within the meaning of Rule 144 under the Securities Act, and must be held indefinitely unless they are subsequently registered or an exemption from such registration is available. Intel Capital understands that the Company is under no obligation to register any of the securities sold hereunder except as provided in the Rights and Restrictions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Accredited Investor</w:t>
      </w:r>
      <w:r>
        <w:rPr>
          <w:rFonts w:ascii="Arial" w:cs="Arial" w:eastAsia="Arial" w:hAnsi="Arial"/>
          <w:sz w:val="18"/>
          <w:szCs w:val="18"/>
          <w:color w:val="auto"/>
        </w:rPr>
        <w:t>. Intel Capital is an “accredited investor” as that term is defined in Rule 501(a)(8) of Regulation D as promulgated by the SEC under the Securities Act.</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Legends</w:t>
      </w:r>
      <w:r>
        <w:rPr>
          <w:rFonts w:ascii="Arial" w:cs="Arial" w:eastAsia="Arial" w:hAnsi="Arial"/>
          <w:sz w:val="18"/>
          <w:szCs w:val="18"/>
          <w:color w:val="auto"/>
        </w:rPr>
        <w:t>. Intel Capital agrees that the Rights, including any Additional Adjustment Rights, and the shares of Common Stock issuable upon conversion, exercise or exchange thereof, will bear legends and be subject to the restrictions on transfer as provided in the Rights and Restrictions Agreement. In addition, Intel Capital agrees that the Company may place stop transfer orders with its transfer agents with respect to such instruments. The appropriate portion of the legend shall be removed in accordance with the provisions of the Rights and Restrictions Agreement and the stop transfer orders shall be removed promptly upon delivery to the Company of such satisfactory evidence as reasonably may be required by the Company that such stop orders are not required to ensure compliance with the Securities Act.</w:t>
      </w:r>
    </w:p>
    <w:p>
      <w:pPr>
        <w:spacing w:after="0" w:line="19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Organization Good Standing and Qualification</w:t>
      </w:r>
      <w:r>
        <w:rPr>
          <w:rFonts w:ascii="Arial" w:cs="Arial" w:eastAsia="Arial" w:hAnsi="Arial"/>
          <w:sz w:val="18"/>
          <w:szCs w:val="18"/>
          <w:color w:val="auto"/>
        </w:rPr>
        <w:t>. Intel Capital is a corporation duly organized, validly existing and in good standing under the laws of the Cayman Islands and has all corporate power and authority required to (a) carry on its business as presently conducted, and (b) enter into this Agreement, the Rights Agreement, the Rights and Restrictions Agreement and the Business Agreement and to consummate the transactions contemplated hereby and thereby.</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Due Authorization; Capitalization</w:t>
      </w:r>
      <w:r>
        <w:rPr>
          <w:rFonts w:ascii="Arial" w:cs="Arial" w:eastAsia="Arial" w:hAnsi="Arial"/>
          <w:sz w:val="17"/>
          <w:szCs w:val="17"/>
          <w:color w:val="auto"/>
        </w:rPr>
        <w:t>. Intel Capital has the requisite corporate power and authority to enter into this Agreement, the Rights Agreement and the Rights and Restrictions Agreement and to perform its obligations hereunder and thereunder. Intel Capital is an indirect, wholly-owned subsidiary of Intel and all outstanding shares of capital stock of Intel Capital are owned free and clear of any pledge, lien or security interests. The execution and delivery of this Agreement, the Rights Agreement and the Rights and Restrictions Agreement, and performance by Intel Capital of its obligations hereunder and thereunder, have been duly authorized by all necessary corporate action on the part of Intel Capital. This Agreement constitutes, and the Rights Agreement and the Rights and Restrictions Agreement, when executed and delivered by the parties thereto, will constitute, valid and legally binding obligations of Intel Capital, enforceable against the Intel Capital in accordance with their respective terms, except (a) as may be limited by (i) applicable bankruptcy, insolvency, reorganization or others laws of general application relating to or affecting the enforcement of creditors’ rights generally and (ii) the effect of rules of law governing the availability of equitable remedies and (b) as rights to indemnity or contribution may be limited under federal or state securities laws or by principles of public policy thereunder.</w:t>
      </w:r>
    </w:p>
    <w:p>
      <w:pPr>
        <w:spacing w:after="0" w:line="17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Governmental Consents</w:t>
      </w:r>
      <w:r>
        <w:rPr>
          <w:rFonts w:ascii="Arial" w:cs="Arial" w:eastAsia="Arial" w:hAnsi="Arial"/>
          <w:sz w:val="17"/>
          <w:szCs w:val="17"/>
          <w:color w:val="auto"/>
        </w:rPr>
        <w:t>. No consent, approval, order or authorization of, or registration qualification, designation, declaration or filing with, any federal, state or local governmental authority on the part of Intel Capital is required in connection with the consummation of the transactions contemplated by this Agreement, except (i) compliance with the HSR Act which may be required for the conversion, exercise or exchange of the Rights for Common Stock, and (ii) as expressly required or contemplated by the terms of the Rights and Restrictions Agreement.</w:t>
      </w:r>
    </w:p>
    <w:p>
      <w:pPr>
        <w:spacing w:after="0" w:line="17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Non-Contravention</w:t>
      </w:r>
      <w:r>
        <w:rPr>
          <w:rFonts w:ascii="Arial" w:cs="Arial" w:eastAsia="Arial" w:hAnsi="Arial"/>
          <w:sz w:val="18"/>
          <w:szCs w:val="18"/>
          <w:color w:val="auto"/>
        </w:rPr>
        <w:t>. The execution, delivery and performance of this Agreement, the Rights Agreement and the Rights and Restrictions Agreement by Intel Capital, and the consummation by Intel Capital of the transactions contemplated hereby and thereby, do not and will not (i) contravene or conflict with the Certificate of Incorporation or Bylaws of Intel Capital,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as amended; (ii) constitute a violation of any provision of any federal, state, local or foreign law binding upon or applicable to Intel Capital; or (iii) constitute a default or require any consent under, give rise to any right of termination, cancellation or acceleration of, or to a loss of any benefit to which Intel Capital is entitled under, or result in the creation or imposition of any lien, claim or encumbrance on any assets of Intel Capital under, any contract to which Intel</w:t>
      </w:r>
    </w:p>
    <w:p>
      <w:pPr>
        <w:sectPr>
          <w:pgSz w:w="11900" w:h="16838" w:orient="portrait"/>
          <w:cols w:equalWidth="0" w:num="1">
            <w:col w:w="11420"/>
          </w:cols>
          <w:pgMar w:left="240" w:top="125" w:right="239" w:bottom="0" w:gutter="0" w:footer="0" w:header="0"/>
        </w:sectPr>
      </w:pPr>
    </w:p>
    <w:bookmarkStart w:id="8" w:name="page9"/>
    <w:bookmarkEnd w:id="8"/>
    <w:p>
      <w:pPr>
        <w:ind w:right="160"/>
        <w:spacing w:after="0" w:line="277" w:lineRule="auto"/>
        <w:rPr>
          <w:sz w:val="20"/>
          <w:szCs w:val="20"/>
          <w:color w:val="auto"/>
        </w:rPr>
      </w:pPr>
      <w:r>
        <w:rPr>
          <w:rFonts w:ascii="Arial" w:cs="Arial" w:eastAsia="Arial" w:hAnsi="Arial"/>
          <w:sz w:val="18"/>
          <w:szCs w:val="18"/>
          <w:color w:val="auto"/>
        </w:rPr>
        <w:t>Capital is a party or any permit, license or similar right relating to Intel Capital or by which Intel Capital may be bound, except in the case of clause (ii) and (iii) as, individually or in the aggregate, would not have a Material Adverse Effect.</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Restrictions on Hedging</w:t>
      </w:r>
      <w:r>
        <w:rPr>
          <w:rFonts w:ascii="Arial" w:cs="Arial" w:eastAsia="Arial" w:hAnsi="Arial"/>
          <w:sz w:val="17"/>
          <w:szCs w:val="17"/>
          <w:color w:val="auto"/>
        </w:rPr>
        <w:t>. Neither Intel Capital nor any of its Affiliates as of the Closing holds any short position with respect to the Company’s Common Stock or is a party to any other contract, option, right, warrant to sell, purchase, lend, or otherwise transfer or dispose of, directly or indirectly, any shares of Common Stock of the Company or any securities convertible or exercisable into shares of Common Stock of the Company, including any swap or other derivative contract that transfers, in whole or in part, any of the economic consequences of ownership of the Common Stock of the Company (a “</w:t>
      </w:r>
      <w:r>
        <w:rPr>
          <w:rFonts w:ascii="Arial" w:cs="Arial" w:eastAsia="Arial" w:hAnsi="Arial"/>
          <w:sz w:val="17"/>
          <w:szCs w:val="17"/>
          <w:u w:val="single" w:color="auto"/>
          <w:color w:val="auto"/>
        </w:rPr>
        <w:t>Hedging Transaction</w:t>
      </w:r>
      <w:r>
        <w:rPr>
          <w:rFonts w:ascii="Arial" w:cs="Arial" w:eastAsia="Arial" w:hAnsi="Arial"/>
          <w:sz w:val="17"/>
          <w:szCs w:val="17"/>
          <w:color w:val="auto"/>
        </w:rPr>
        <w:t>”). Intel Capital and its Affiliates agree not to enter into any such Hedging Transaction until such time following the public dissemination of the press release contemplated by Section 7.4 hereof and the filing by the Company of a Current Report on Form 8-K with respect to the transaction after Closing (provided such filing is made within two (2) trading days of the Closing).</w:t>
      </w:r>
    </w:p>
    <w:p>
      <w:pPr>
        <w:spacing w:after="0" w:line="174" w:lineRule="exact"/>
        <w:rPr>
          <w:sz w:val="20"/>
          <w:szCs w:val="20"/>
          <w:color w:val="auto"/>
        </w:rPr>
      </w:pPr>
    </w:p>
    <w:p>
      <w:pPr>
        <w:ind w:left="660" w:right="6560" w:hanging="652"/>
        <w:spacing w:after="0" w:line="503"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AFFIRMATIVE COVENANTS OF THE COMPANY. </w:t>
      </w:r>
      <w:r>
        <w:rPr>
          <w:rFonts w:ascii="Arial" w:cs="Arial" w:eastAsia="Arial" w:hAnsi="Arial"/>
          <w:sz w:val="18"/>
          <w:szCs w:val="18"/>
          <w:color w:val="auto"/>
        </w:rPr>
        <w:t>The Company covenants to Intel Capital as follows:</w:t>
      </w:r>
    </w:p>
    <w:p>
      <w:pPr>
        <w:spacing w:after="0" w:line="1"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Listing of Shares</w:t>
      </w:r>
      <w:r>
        <w:rPr>
          <w:rFonts w:ascii="Arial" w:cs="Arial" w:eastAsia="Arial" w:hAnsi="Arial"/>
          <w:sz w:val="17"/>
          <w:szCs w:val="17"/>
          <w:color w:val="auto"/>
        </w:rPr>
        <w:t>. Within thirty (30) days following the Closing, the Company shall take action so that the shares of Common Stock issuable upon conversion, exercise or exchange of the Rights will be listed on the New York Stock Exchange upon official notice of issuance.</w:t>
      </w:r>
    </w:p>
    <w:p>
      <w:pPr>
        <w:spacing w:after="0" w:line="143"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CLOSING CONDITIONS.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Conditions to Intel Capital’s Obligations</w:t>
      </w:r>
      <w:r>
        <w:rPr>
          <w:rFonts w:ascii="Arial" w:cs="Arial" w:eastAsia="Arial" w:hAnsi="Arial"/>
          <w:sz w:val="18"/>
          <w:szCs w:val="18"/>
          <w:color w:val="auto"/>
        </w:rPr>
        <w:t>. The obligations of Intel Capital to consummate the transactions contemplated by this Agreement at the Closing are subject to the fulfillment or waiver, on or before the Closing, of each of the following conditions:</w:t>
      </w:r>
    </w:p>
    <w:p>
      <w:pPr>
        <w:spacing w:after="0" w:line="170" w:lineRule="exact"/>
        <w:rPr>
          <w:sz w:val="20"/>
          <w:szCs w:val="20"/>
          <w:color w:val="auto"/>
        </w:rPr>
      </w:pPr>
    </w:p>
    <w:p>
      <w:pPr>
        <w:ind w:right="40" w:firstLine="1305"/>
        <w:spacing w:after="0" w:line="255" w:lineRule="auto"/>
        <w:tabs>
          <w:tab w:leader="none" w:pos="195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True</w:t>
      </w:r>
      <w:r>
        <w:rPr>
          <w:rFonts w:ascii="Arial" w:cs="Arial" w:eastAsia="Arial" w:hAnsi="Arial"/>
          <w:sz w:val="18"/>
          <w:szCs w:val="18"/>
          <w:color w:val="auto"/>
        </w:rPr>
        <w:t>. (i) Each of the representations and warranties of the Company contained in Section 3 and qualified by “Material Adverse Effect” or the term “material” will be true and correct on and as of the date hereof and on and as of the date of the Closing, and (ii) each of the representations and warranties of the Company contained in Section 3 and not qualified by “Material Adverse Effect” or the term “material,” disregarding all qualifications and exceptions contained therein relating to materiality, will be true and correct in all material respects on and as of the date hereof and on and as of the date of the Closing, in each case with the same effect as though such representations and warranties had been made as of the Closing.</w:t>
      </w:r>
    </w:p>
    <w:p>
      <w:pPr>
        <w:spacing w:after="0" w:line="193" w:lineRule="exact"/>
        <w:rPr>
          <w:rFonts w:ascii="Arial" w:cs="Arial" w:eastAsia="Arial" w:hAnsi="Arial"/>
          <w:sz w:val="18"/>
          <w:szCs w:val="18"/>
          <w:color w:val="auto"/>
        </w:rPr>
      </w:pPr>
    </w:p>
    <w:p>
      <w:pPr>
        <w:ind w:right="140" w:firstLine="1305"/>
        <w:spacing w:after="0" w:line="277" w:lineRule="auto"/>
        <w:tabs>
          <w:tab w:leader="none" w:pos="195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The Company will have performed and complied with all agreements, obligations and conditions contained in this Agreement that are required to be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performed or complied with by it on or before the Closing and will have obtained all approvals, consents and qualifications necessary to complete the purchase and sale described herein.</w:t>
      </w:r>
    </w:p>
    <w:p>
      <w:pPr>
        <w:spacing w:after="0" w:line="170" w:lineRule="exact"/>
        <w:rPr>
          <w:sz w:val="20"/>
          <w:szCs w:val="20"/>
          <w:color w:val="auto"/>
        </w:rPr>
      </w:pPr>
    </w:p>
    <w:p>
      <w:pPr>
        <w:ind w:right="160" w:firstLine="1305"/>
        <w:spacing w:after="0" w:line="308" w:lineRule="auto"/>
        <w:tabs>
          <w:tab w:leader="none" w:pos="195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Compliance Certificate</w:t>
      </w:r>
      <w:r>
        <w:rPr>
          <w:rFonts w:ascii="Arial" w:cs="Arial" w:eastAsia="Arial" w:hAnsi="Arial"/>
          <w:sz w:val="17"/>
          <w:szCs w:val="17"/>
          <w:color w:val="auto"/>
        </w:rPr>
        <w:t>. The Company will have delivered to the Intel Capital at the Closing a certificate signed on its behalf by its Chief Executive Officer or Chief Financial Officer certifying that the conditions specified in Section 6.1(a) and (b) hereof have been fulfilled.</w:t>
      </w:r>
    </w:p>
    <w:p>
      <w:pPr>
        <w:spacing w:after="0" w:line="146" w:lineRule="exact"/>
        <w:rPr>
          <w:rFonts w:ascii="Arial" w:cs="Arial" w:eastAsia="Arial" w:hAnsi="Arial"/>
          <w:sz w:val="17"/>
          <w:szCs w:val="17"/>
          <w:color w:val="auto"/>
        </w:rPr>
      </w:pPr>
    </w:p>
    <w:p>
      <w:pPr>
        <w:ind w:firstLine="1305"/>
        <w:spacing w:after="0" w:line="342" w:lineRule="auto"/>
        <w:tabs>
          <w:tab w:leader="none" w:pos="195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Securities Exemptions</w:t>
      </w:r>
      <w:r>
        <w:rPr>
          <w:rFonts w:ascii="Arial" w:cs="Arial" w:eastAsia="Arial" w:hAnsi="Arial"/>
          <w:sz w:val="16"/>
          <w:szCs w:val="16"/>
          <w:color w:val="auto"/>
        </w:rPr>
        <w:t>. The offer and sale of the Rights to Intel Capital pursuant to this Agreement and the Rights Agreement will be exempt from the registration requirements of the Securities Act and the registration and/or qualification requirements of all applicable state securities laws.</w:t>
      </w:r>
    </w:p>
    <w:p>
      <w:pPr>
        <w:spacing w:after="0" w:line="123" w:lineRule="exact"/>
        <w:rPr>
          <w:rFonts w:ascii="Arial" w:cs="Arial" w:eastAsia="Arial" w:hAnsi="Arial"/>
          <w:sz w:val="16"/>
          <w:szCs w:val="16"/>
          <w:color w:val="auto"/>
        </w:rPr>
      </w:pPr>
    </w:p>
    <w:p>
      <w:pPr>
        <w:ind w:right="20" w:firstLine="1305"/>
        <w:spacing w:after="0" w:line="259" w:lineRule="auto"/>
        <w:tabs>
          <w:tab w:leader="none" w:pos="195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Proceedings and Documents</w:t>
      </w:r>
      <w:r>
        <w:rPr>
          <w:rFonts w:ascii="Arial" w:cs="Arial" w:eastAsia="Arial" w:hAnsi="Arial"/>
          <w:sz w:val="18"/>
          <w:szCs w:val="18"/>
          <w:color w:val="auto"/>
        </w:rPr>
        <w:t>. All corporate and other proceedings in connection with the transactions contemplated at the Closing and all documents incident thereto will be reasonably satisfactory in form and substance to Intel Capital, and Intel Capital will have received all such counterpart originals and certified or other copies of such documents as it may reasonably request. Such documents shall include (but not be limited to) the following:</w:t>
      </w:r>
    </w:p>
    <w:p>
      <w:pPr>
        <w:spacing w:after="0" w:line="186" w:lineRule="exact"/>
        <w:rPr>
          <w:rFonts w:ascii="Arial" w:cs="Arial" w:eastAsia="Arial" w:hAnsi="Arial"/>
          <w:sz w:val="18"/>
          <w:szCs w:val="18"/>
          <w:color w:val="auto"/>
        </w:rPr>
      </w:pPr>
    </w:p>
    <w:p>
      <w:pPr>
        <w:ind w:right="120" w:firstLine="1953"/>
        <w:spacing w:after="0" w:line="264" w:lineRule="auto"/>
        <w:tabs>
          <w:tab w:leader="none" w:pos="2614"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Certified Charter Documents</w:t>
      </w:r>
      <w:r>
        <w:rPr>
          <w:rFonts w:ascii="Arial" w:cs="Arial" w:eastAsia="Arial" w:hAnsi="Arial"/>
          <w:sz w:val="18"/>
          <w:szCs w:val="18"/>
          <w:color w:val="auto"/>
        </w:rPr>
        <w:t>. A copy of the Certificate of Incorporation certified as of a recent date by the Secretary of State of Delaware as a complete and correct copy thereof, and the Bylaws of the Company (as amended through the date of the Closing), certified by the Secretary of the Company as true and correct copies thereof as of the Closing.</w:t>
      </w:r>
    </w:p>
    <w:p>
      <w:pPr>
        <w:spacing w:after="0" w:line="181" w:lineRule="exact"/>
        <w:rPr>
          <w:rFonts w:ascii="Arial" w:cs="Arial" w:eastAsia="Arial" w:hAnsi="Arial"/>
          <w:sz w:val="18"/>
          <w:szCs w:val="18"/>
          <w:color w:val="auto"/>
        </w:rPr>
      </w:pPr>
    </w:p>
    <w:p>
      <w:pPr>
        <w:ind w:firstLine="1953"/>
        <w:spacing w:after="0" w:line="259" w:lineRule="auto"/>
        <w:tabs>
          <w:tab w:leader="none" w:pos="2624"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Board Resolutions</w:t>
      </w:r>
      <w:r>
        <w:rPr>
          <w:rFonts w:ascii="Arial" w:cs="Arial" w:eastAsia="Arial" w:hAnsi="Arial"/>
          <w:sz w:val="18"/>
          <w:szCs w:val="18"/>
          <w:color w:val="auto"/>
        </w:rPr>
        <w:t>. A copy, certified by the Secretary of the Company, of the resolutions of the Board of Directors of the Company providing for the approval of the transactions contemplated by this Agreement, the Rights Agreement, the Rights and Restrictions Agreement and the Business Agreement and the issuance of the Rights, including, as applicable, the Additional Adjustment Shares, and the shares of Common Stock issuable upon conversion, exercise or exchange thereof.</w:t>
      </w:r>
    </w:p>
    <w:p>
      <w:pPr>
        <w:spacing w:after="0" w:line="186" w:lineRule="exact"/>
        <w:rPr>
          <w:rFonts w:ascii="Arial" w:cs="Arial" w:eastAsia="Arial" w:hAnsi="Arial"/>
          <w:sz w:val="18"/>
          <w:szCs w:val="18"/>
          <w:color w:val="auto"/>
        </w:rPr>
      </w:pPr>
    </w:p>
    <w:p>
      <w:pPr>
        <w:ind w:right="180" w:firstLine="1305"/>
        <w:spacing w:after="0" w:line="277" w:lineRule="auto"/>
        <w:tabs>
          <w:tab w:leader="none" w:pos="196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Opinion of Company Counsel</w:t>
      </w:r>
      <w:r>
        <w:rPr>
          <w:rFonts w:ascii="Arial" w:cs="Arial" w:eastAsia="Arial" w:hAnsi="Arial"/>
          <w:sz w:val="18"/>
          <w:szCs w:val="18"/>
          <w:color w:val="auto"/>
        </w:rPr>
        <w:t>. Intel Capital will have received an opinion on behalf of the Company, dated as of the date of the Closing, from counsel to the Company, in form and substance reasonably satisfactory to Intel Capital.</w:t>
      </w:r>
    </w:p>
    <w:p>
      <w:pPr>
        <w:spacing w:after="0" w:line="170" w:lineRule="exact"/>
        <w:rPr>
          <w:rFonts w:ascii="Arial" w:cs="Arial" w:eastAsia="Arial" w:hAnsi="Arial"/>
          <w:sz w:val="18"/>
          <w:szCs w:val="18"/>
          <w:color w:val="auto"/>
        </w:rPr>
      </w:pPr>
    </w:p>
    <w:p>
      <w:pPr>
        <w:ind w:right="40" w:firstLine="1305"/>
        <w:spacing w:after="0" w:line="277" w:lineRule="auto"/>
        <w:tabs>
          <w:tab w:leader="none" w:pos="195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 The Company will have executed and delivered the Rights Agreement, the Rights and Restrictions Agreement and the Business Agreement.</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Conditions to the Company’s Obligations</w:t>
      </w:r>
      <w:r>
        <w:rPr>
          <w:rFonts w:ascii="Arial" w:cs="Arial" w:eastAsia="Arial" w:hAnsi="Arial"/>
          <w:sz w:val="16"/>
          <w:szCs w:val="16"/>
          <w:color w:val="auto"/>
        </w:rPr>
        <w:t>. The obligations of the Company to consummate the transactions contemplated by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 at the Closing are subject to the fulfillment or waiver on or before the Closing, of each of the following conditions:</w:t>
      </w:r>
    </w:p>
    <w:p>
      <w:pPr>
        <w:spacing w:after="0" w:line="211" w:lineRule="exact"/>
        <w:rPr>
          <w:sz w:val="20"/>
          <w:szCs w:val="20"/>
          <w:color w:val="auto"/>
        </w:rPr>
      </w:pPr>
    </w:p>
    <w:p>
      <w:pPr>
        <w:jc w:val="both"/>
        <w:ind w:right="240" w:firstLine="1305"/>
        <w:spacing w:after="0" w:line="259" w:lineRule="auto"/>
        <w:tabs>
          <w:tab w:leader="none" w:pos="195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True</w:t>
      </w:r>
      <w:r>
        <w:rPr>
          <w:rFonts w:ascii="Arial" w:cs="Arial" w:eastAsia="Arial" w:hAnsi="Arial"/>
          <w:sz w:val="18"/>
          <w:szCs w:val="18"/>
          <w:color w:val="auto"/>
        </w:rPr>
        <w:t>. (i) Each of the representations and warranties of Intel Capital contained in Section 4 and qualified by “Material Adverse Effect” or the term “material” will be true and correct on and as of the date hereof and on and as of the date of the Closing, and (ii) each of the representations and warranties of Intel Capital contained in Section 4 and not qualified by “Material Adverse Effect” or the term “material,” disregarding all</w:t>
      </w:r>
    </w:p>
    <w:p>
      <w:pPr>
        <w:sectPr>
          <w:pgSz w:w="11900" w:h="16838" w:orient="portrait"/>
          <w:cols w:equalWidth="0" w:num="1">
            <w:col w:w="11380"/>
          </w:cols>
          <w:pgMar w:left="240" w:top="125" w:right="279" w:bottom="0"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9" w:name="page10"/>
    <w:bookmarkEnd w:id="9"/>
    <w:p>
      <w:pPr>
        <w:ind w:right="120"/>
        <w:spacing w:after="0" w:line="342" w:lineRule="auto"/>
        <w:rPr>
          <w:sz w:val="20"/>
          <w:szCs w:val="20"/>
          <w:color w:val="auto"/>
        </w:rPr>
      </w:pPr>
      <w:r>
        <w:rPr>
          <w:rFonts w:ascii="Arial" w:cs="Arial" w:eastAsia="Arial" w:hAnsi="Arial"/>
          <w:sz w:val="16"/>
          <w:szCs w:val="16"/>
          <w:color w:val="auto"/>
        </w:rPr>
        <w:t>qualifications and exceptions contained therein relating to materiality, will be true and correct in all material respects on and as of the date hereof and on and as of the date of the Closing, in each case with the same effect as though such representations and warranties had been made as of the Closing.</w:t>
      </w:r>
    </w:p>
    <w:p>
      <w:pPr>
        <w:spacing w:after="0" w:line="124" w:lineRule="exact"/>
        <w:rPr>
          <w:sz w:val="20"/>
          <w:szCs w:val="20"/>
          <w:color w:val="auto"/>
        </w:rPr>
      </w:pPr>
    </w:p>
    <w:p>
      <w:pPr>
        <w:ind w:right="40" w:firstLine="1305"/>
        <w:spacing w:after="0" w:line="264" w:lineRule="auto"/>
        <w:tabs>
          <w:tab w:leader="none" w:pos="195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Intel Capital will have performed and complied with all agreements, obligations and conditions contained in this Agreement that are required to be performed or complied with by it on or before the Closing and will have obtained all approvals, consents and qualifications necessary to complete the purchase and sale described herein.</w:t>
      </w:r>
    </w:p>
    <w:p>
      <w:pPr>
        <w:spacing w:after="0" w:line="181" w:lineRule="exact"/>
        <w:rPr>
          <w:rFonts w:ascii="Arial" w:cs="Arial" w:eastAsia="Arial" w:hAnsi="Arial"/>
          <w:sz w:val="18"/>
          <w:szCs w:val="18"/>
          <w:color w:val="auto"/>
        </w:rPr>
      </w:pPr>
    </w:p>
    <w:p>
      <w:pPr>
        <w:ind w:right="120" w:firstLine="1305"/>
        <w:spacing w:after="0" w:line="277" w:lineRule="auto"/>
        <w:tabs>
          <w:tab w:leader="none" w:pos="1955"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Payment of Purchase Price</w:t>
      </w:r>
      <w:r>
        <w:rPr>
          <w:rFonts w:ascii="Arial" w:cs="Arial" w:eastAsia="Arial" w:hAnsi="Arial"/>
          <w:sz w:val="18"/>
          <w:szCs w:val="18"/>
          <w:color w:val="auto"/>
        </w:rPr>
        <w:t>. Intel Capital will have delivered to the Company the Purchase Price of the Rights as specified in and in accordance with Section 2.1.</w:t>
      </w:r>
    </w:p>
    <w:p>
      <w:pPr>
        <w:spacing w:after="0" w:line="170" w:lineRule="exact"/>
        <w:rPr>
          <w:rFonts w:ascii="Arial" w:cs="Arial" w:eastAsia="Arial" w:hAnsi="Arial"/>
          <w:sz w:val="18"/>
          <w:szCs w:val="18"/>
          <w:color w:val="auto"/>
        </w:rPr>
      </w:pPr>
    </w:p>
    <w:p>
      <w:pPr>
        <w:ind w:right="520" w:firstLine="1305"/>
        <w:spacing w:after="0" w:line="308" w:lineRule="auto"/>
        <w:tabs>
          <w:tab w:leader="none" w:pos="1952"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Securities Exemptions</w:t>
      </w:r>
      <w:r>
        <w:rPr>
          <w:rFonts w:ascii="Arial" w:cs="Arial" w:eastAsia="Arial" w:hAnsi="Arial"/>
          <w:sz w:val="17"/>
          <w:szCs w:val="17"/>
          <w:color w:val="auto"/>
        </w:rPr>
        <w:t>. The offer and sale of the Rights to Intel Capital pursuant to this Agreement will be exempt from the registration requirements of the Securities Act and the registration and/or qualification requirements of all applicable state securities laws.</w:t>
      </w:r>
    </w:p>
    <w:p>
      <w:pPr>
        <w:spacing w:after="0" w:line="146" w:lineRule="exact"/>
        <w:rPr>
          <w:rFonts w:ascii="Arial" w:cs="Arial" w:eastAsia="Arial" w:hAnsi="Arial"/>
          <w:sz w:val="17"/>
          <w:szCs w:val="17"/>
          <w:color w:val="auto"/>
        </w:rPr>
      </w:pPr>
    </w:p>
    <w:p>
      <w:pPr>
        <w:ind w:right="760" w:firstLine="1305"/>
        <w:spacing w:after="0" w:line="277" w:lineRule="auto"/>
        <w:tabs>
          <w:tab w:leader="none" w:pos="1955"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 Intel Capital will have executed and delivered the Rights Agreement and the Rights and Restrictions Agreement, and Intel will have executed and delivered the Business Agreement.</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OBLIGATIONS.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7.1</w:t>
      </w:r>
      <w:r>
        <w:rPr>
          <w:rFonts w:ascii="Arial" w:cs="Arial" w:eastAsia="Arial" w:hAnsi="Arial"/>
          <w:sz w:val="16"/>
          <w:szCs w:val="16"/>
          <w:u w:val="single" w:color="auto"/>
          <w:color w:val="auto"/>
        </w:rPr>
        <w:t>Obligations</w:t>
      </w:r>
      <w:r>
        <w:rPr>
          <w:rFonts w:ascii="Arial" w:cs="Arial" w:eastAsia="Arial" w:hAnsi="Arial"/>
          <w:sz w:val="16"/>
          <w:szCs w:val="16"/>
          <w:color w:val="auto"/>
        </w:rPr>
        <w:t>. Except to the extent required by law or judicial order or except as provided herein, each party to this Agreement will hold any</w:t>
      </w:r>
    </w:p>
    <w:p>
      <w:pPr>
        <w:spacing w:after="0" w:line="23"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of the other’s Confidential Information (as defined in the next paragraph) in confidence and will: (i) use the same degree of care to prevent unauthorized disclosure or use of the Confidential Information that the receiving party uses with its own information of like nature (but in no event less than reasonable care), (ii) limit disclosure of the Confidential Information, including any materials regarding the Confidential Information that the receiving party has generated, to such of its employees and contractors as have a need to know the Confidential Information to accomplish the purposes of this Agreement, and</w:t>
      </w:r>
    </w:p>
    <w:p>
      <w:pPr>
        <w:spacing w:after="0" w:line="3" w:lineRule="exact"/>
        <w:rPr>
          <w:sz w:val="20"/>
          <w:szCs w:val="20"/>
          <w:color w:val="auto"/>
        </w:rPr>
      </w:pPr>
    </w:p>
    <w:p>
      <w:pPr>
        <w:ind w:right="100" w:firstLine="8"/>
        <w:spacing w:after="0" w:line="261" w:lineRule="auto"/>
        <w:tabs>
          <w:tab w:leader="none" w:pos="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advise its employees, agents and contractors of the confidential nature of the Confidential Information and of the receiving party’s obligations under this Agreement and the Corporate Non-Disclosure Agreement #19096.</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term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includes this Agreement, the Rights Agreement, the Business Agreement and the Rights and Restrictions Agreement (collectively, the “</w:t>
      </w:r>
      <w:r>
        <w:rPr>
          <w:rFonts w:ascii="Arial" w:cs="Arial" w:eastAsia="Arial" w:hAnsi="Arial"/>
          <w:sz w:val="18"/>
          <w:szCs w:val="18"/>
          <w:u w:val="single" w:color="auto"/>
          <w:color w:val="auto"/>
        </w:rPr>
        <w:t>Transaction Agreements</w:t>
      </w:r>
      <w:r>
        <w:rPr>
          <w:rFonts w:ascii="Arial" w:cs="Arial" w:eastAsia="Arial" w:hAnsi="Arial"/>
          <w:sz w:val="18"/>
          <w:szCs w:val="18"/>
          <w:color w:val="auto"/>
        </w:rPr>
        <w:t>”). Any employee or contractor of the receiving party having access to the Confidential Information will be required to sign a non-disclosure agreement protecting the Confidential Information if not already bound by such a non-disclosure agreement.</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Non-Disclosure of Agreements</w:t>
      </w:r>
      <w:r>
        <w:rPr>
          <w:rFonts w:ascii="Arial" w:cs="Arial" w:eastAsia="Arial" w:hAnsi="Arial"/>
          <w:sz w:val="18"/>
          <w:szCs w:val="18"/>
          <w:color w:val="auto"/>
        </w:rPr>
        <w:t>. Except to the extent required by law or judicial order or except as provided herein, neither party shall disclose the Transaction Agreements or any of their terms without the other’s prior written approval, which approval will not be delayed or unreasonably withheld. Either party may disclose the Transaction Agreements to the extent required by law or judicial order, provided that if such disclosure is pursuant to judicial order or proceedings, the disclosing party will notify the other party promptly before such disclosure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will cooperate with the other party to seek confidential treatment with respect to the disclosure if requested by the other party and provided further that if such disclosure is required pursuant to the rules and regulations of any federal, state or local organization, the parties will cooperate to seek confidential treatment of the Transaction Agreements to the maximum extent possible under law. Notwithstanding the foregoing, in the absence of any prior disclosure of any of the Transaction Agreements or the terms thereof pursuant to this Section 7.3, each party may disclose the Transaction Agreements or any of their terms to its agents or third party consultants who have a need to know arising out of the establishment, implementation, administration, termination or enforcement of the Transaction Agreements provided such agents are informed of the confidential nature of the Transaction Agreements and the terms thereof and are bound, either by statutory rules of professional responsibility to maintain client confidences with respect thereto or, in the absence of such statutory duties, are bound by the terms of a applicable nondisclosure agreement that treats as confidential information the Transaction Agreements and the terms thereof.</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agrees that it will provide Intel Capital with the relevant portions of any drafts of any documents, press releases or other filings in which the Agreement or its contents are to be disclosed prior to the filing thereof to consult with the Company as to the contents of such filing. The Company will endeavor to provide adequate opportunity for Intel Capital review and comments prior to any disclosure or filing. The minimum prior notice to Intel Capital for such review is two (2) business days.</w:t>
      </w:r>
    </w:p>
    <w:p>
      <w:pPr>
        <w:spacing w:after="0" w:line="18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Upon execution of this Agreement, the parties will mutually agree on language to be included in press release(s) announcing the existence of the transactions contemplated by this Agreement, which press release will be issued promptly following the execution of this Agreement.</w:t>
      </w:r>
    </w:p>
    <w:p>
      <w:pPr>
        <w:spacing w:after="0" w:line="18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Third Party Information</w:t>
      </w:r>
      <w:r>
        <w:rPr>
          <w:rFonts w:ascii="Arial" w:cs="Arial" w:eastAsia="Arial" w:hAnsi="Arial"/>
          <w:sz w:val="18"/>
          <w:szCs w:val="18"/>
          <w:color w:val="auto"/>
        </w:rPr>
        <w:t>. Neither party will be required to disclose to the other any confidential information of any third party without having first obtained such third party’s prior written consent.</w:t>
      </w:r>
    </w:p>
    <w:p>
      <w:pPr>
        <w:spacing w:after="0" w:line="170"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Other Disclosures</w:t>
      </w:r>
      <w:r>
        <w:rPr>
          <w:rFonts w:ascii="Arial" w:cs="Arial" w:eastAsia="Arial" w:hAnsi="Arial"/>
          <w:sz w:val="17"/>
          <w:szCs w:val="17"/>
          <w:color w:val="auto"/>
        </w:rPr>
        <w:t>. Except as otherwise provided for in Sections 7.3. 7.4, 7.5 and 7.7 hereof, all confidential information exchanged by the parties will be disclosed pursuant to the Intel Corporation/Micron Technology, Inc. Corporate Non-Disclosure Agreement #19096.</w:t>
      </w:r>
    </w:p>
    <w:p>
      <w:pPr>
        <w:spacing w:after="0" w:line="147"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Disclosure of Tax Treatment, Etc.</w:t>
      </w:r>
      <w:r>
        <w:rPr>
          <w:rFonts w:ascii="Arial" w:cs="Arial" w:eastAsia="Arial" w:hAnsi="Arial"/>
          <w:sz w:val="16"/>
          <w:szCs w:val="16"/>
          <w:color w:val="auto"/>
        </w:rPr>
        <w:t xml:space="preserve"> Notwithstanding anything herein to the contrary, any party to this Agreement or the other Transaction Agreements (and any employee, representative, or other agent of any party to this Agreement or the other Transaction Agreements) may disclose to any and all persons, without limitation of any kind, the tax treatment and tax structure of the transactions contemplated by this Agreement and the other Transaction Agreements and all materials of any kind (including opinions or other tax analyses) that are provided to it relating to such tax treatment and tax structure;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sentence shall not permit any disclosure that otherwise is prohibited by this Agreement or the other Transaction Agreements if such disclosure would result in a violation of federal or state securities laws,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this sentence shall not permit disclosure of any information to the extent not related to the tax aspects of the transactions contemplated by this Agreement or the other Transaction Agreements. The parties to this Agreement acknowledge that they have no knowledge or reason to know that such disclosure is otherwise limited.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57" w:right="259" w:bottom="0" w:gutter="0" w:footer="0" w:header="0"/>
        </w:sectPr>
      </w:pPr>
    </w:p>
    <w:bookmarkStart w:id="10" w:name="page11"/>
    <w:bookmarkEnd w:id="10"/>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in all respects by and construed in accordance with the laws of the State of Delaware, without regard to provisions regarding choice of laws. Jurisdiction shall be in the courts of the state of domicile of the defending party to the original action.</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warranties, covenants and agreements made herein shall survive any investigation made by any party hereto and the closing of the transactions contemplated hereby, provided that the representations and warranties set forth herein shall terminate as of the first anniversary of the date hereof (other than with respect to any claims asserted prior to such date, as to which they shall survive solely for the purpose of resolving such claims until the resolution thereof).</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expressly provided herein, the provisions hereof shall inure to the benefit of, and be binding upon, the successors, assigns, heirs, executors and administrators of the parties hereto. This Agreement and the rights and obligations herein may not be assigned by Intel Capital without the prior written consent of the Company, except to a Qualified Subsidiary (as defined in the Rights and Restrictions Agreement) or the Parent. This Agreement and the rights and obligations herein may not be assigned by the Company without the prior written consent of Intel Capital.</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the Rights Agreement, the Rights and Restrictions Agreement and the Business Agreement, and the agreements, exhibits and schedules referred to herein and therein constitute the entire understanding and agreement between the parties with regard to the subjects hereof and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in this Agreement shall be deemed to terminate or supersede the provisions of any confidentiality and nondisclosure agreements executed by the parties hereto prior to the date hereof, which agreements shall continue in full force and effect until terminated in accordance with their respective terms.</w:t>
      </w:r>
    </w:p>
    <w:p>
      <w:pPr>
        <w:spacing w:after="0" w:line="18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Notices</w:t>
      </w:r>
      <w:r>
        <w:rPr>
          <w:rFonts w:ascii="Arial" w:cs="Arial" w:eastAsia="Arial" w:hAnsi="Arial"/>
          <w:sz w:val="17"/>
          <w:szCs w:val="17"/>
          <w:color w:val="auto"/>
        </w:rPr>
        <w:t>. Except as may be otherwise provided herein, all notices, requests, waivers and other communications made pursuant to this Agreement shall be in writing and shall be delivered to the other party (a) in person; (b) by facsimile to the address and number set forth below, when promptly followed up by another of the delivery methods permitted by this Section 8.5; (c) by U.S. mail, registered or certified, return receipt requested, postage prepaid and addressed to the other party as set forth below; or (d) by a national-recognized overnight delivery service that keeps records of deliveries and attempted deliveries (such as FedEx), postage prepaid, addressed to the parties as set forth below with next-business-day delivery guaranteed, provided that the sending party receives a confirmation of delivery from the delivery service provider.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6880" w:type="dxa"/>
            <w:vAlign w:val="bottom"/>
          </w:tcPr>
          <w:p>
            <w:pPr>
              <w:ind w:left="1060"/>
              <w:spacing w:after="0"/>
              <w:rPr>
                <w:sz w:val="20"/>
                <w:szCs w:val="20"/>
                <w:color w:val="auto"/>
              </w:rPr>
            </w:pPr>
            <w:r>
              <w:rPr>
                <w:rFonts w:ascii="Arial" w:cs="Arial" w:eastAsia="Arial" w:hAnsi="Arial"/>
                <w:sz w:val="18"/>
                <w:szCs w:val="18"/>
                <w:color w:val="auto"/>
              </w:rPr>
              <w:t>14</w:t>
            </w:r>
          </w:p>
        </w:tc>
      </w:tr>
      <w:tr>
        <w:trPr>
          <w:trHeight w:val="105"/>
        </w:trPr>
        <w:tc>
          <w:tcPr>
            <w:tcW w:w="4560" w:type="dxa"/>
            <w:vAlign w:val="bottom"/>
            <w:tcBorders>
              <w:bottom w:val="single" w:sz="8" w:color="808080"/>
            </w:tcBorders>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r>
      <w:tr>
        <w:trPr>
          <w:trHeight w:val="726"/>
        </w:trPr>
        <w:tc>
          <w:tcPr>
            <w:tcW w:w="4560" w:type="dxa"/>
            <w:vAlign w:val="bottom"/>
          </w:tcPr>
          <w:p>
            <w:pPr>
              <w:ind w:left="1060"/>
              <w:spacing w:after="0"/>
              <w:rPr>
                <w:sz w:val="20"/>
                <w:szCs w:val="20"/>
                <w:color w:val="auto"/>
              </w:rPr>
            </w:pPr>
            <w:r>
              <w:rPr>
                <w:rFonts w:ascii="Arial" w:cs="Arial" w:eastAsia="Arial" w:hAnsi="Arial"/>
                <w:sz w:val="18"/>
                <w:szCs w:val="18"/>
                <w:color w:val="auto"/>
              </w:rPr>
              <w:t>To Intel Capital:</w:t>
            </w:r>
          </w:p>
        </w:tc>
        <w:tc>
          <w:tcPr>
            <w:tcW w:w="6880" w:type="dxa"/>
            <w:vAlign w:val="bottom"/>
          </w:tcPr>
          <w:p>
            <w:pPr>
              <w:ind w:left="500"/>
              <w:spacing w:after="0"/>
              <w:rPr>
                <w:sz w:val="20"/>
                <w:szCs w:val="20"/>
                <w:color w:val="auto"/>
              </w:rPr>
            </w:pPr>
            <w:r>
              <w:rPr>
                <w:rFonts w:ascii="Arial" w:cs="Arial" w:eastAsia="Arial" w:hAnsi="Arial"/>
                <w:sz w:val="18"/>
                <w:szCs w:val="18"/>
                <w:color w:val="auto"/>
              </w:rPr>
              <w:t>To the Company:</w:t>
            </w:r>
          </w:p>
        </w:tc>
      </w:tr>
      <w:tr>
        <w:trPr>
          <w:trHeight w:val="418"/>
        </w:trPr>
        <w:tc>
          <w:tcPr>
            <w:tcW w:w="4560" w:type="dxa"/>
            <w:vAlign w:val="bottom"/>
          </w:tcPr>
          <w:p>
            <w:pPr>
              <w:ind w:left="1060"/>
              <w:spacing w:after="0"/>
              <w:rPr>
                <w:sz w:val="20"/>
                <w:szCs w:val="20"/>
                <w:color w:val="auto"/>
              </w:rPr>
            </w:pPr>
            <w:r>
              <w:rPr>
                <w:rFonts w:ascii="Arial" w:cs="Arial" w:eastAsia="Arial" w:hAnsi="Arial"/>
                <w:sz w:val="18"/>
                <w:szCs w:val="18"/>
                <w:color w:val="auto"/>
              </w:rPr>
              <w:t>Intel Capital Corporation</w:t>
            </w:r>
          </w:p>
        </w:tc>
        <w:tc>
          <w:tcPr>
            <w:tcW w:w="6880" w:type="dxa"/>
            <w:vAlign w:val="bottom"/>
          </w:tcPr>
          <w:p>
            <w:pPr>
              <w:ind w:left="500"/>
              <w:spacing w:after="0"/>
              <w:rPr>
                <w:sz w:val="20"/>
                <w:szCs w:val="20"/>
                <w:color w:val="auto"/>
              </w:rPr>
            </w:pPr>
            <w:r>
              <w:rPr>
                <w:rFonts w:ascii="Arial" w:cs="Arial" w:eastAsia="Arial" w:hAnsi="Arial"/>
                <w:sz w:val="18"/>
                <w:szCs w:val="18"/>
                <w:color w:val="auto"/>
              </w:rPr>
              <w:t>Micron Technology, Inc.</w:t>
            </w:r>
          </w:p>
        </w:tc>
      </w:tr>
      <w:tr>
        <w:trPr>
          <w:trHeight w:val="216"/>
        </w:trPr>
        <w:tc>
          <w:tcPr>
            <w:tcW w:w="4560" w:type="dxa"/>
            <w:vAlign w:val="bottom"/>
          </w:tcPr>
          <w:p>
            <w:pPr>
              <w:ind w:left="1060"/>
              <w:spacing w:after="0"/>
              <w:rPr>
                <w:sz w:val="20"/>
                <w:szCs w:val="20"/>
                <w:color w:val="auto"/>
              </w:rPr>
            </w:pPr>
            <w:r>
              <w:rPr>
                <w:rFonts w:ascii="Arial" w:cs="Arial" w:eastAsia="Arial" w:hAnsi="Arial"/>
                <w:sz w:val="18"/>
                <w:szCs w:val="18"/>
                <w:color w:val="auto"/>
              </w:rPr>
              <w:t>c/o Intel Corporation</w:t>
            </w:r>
          </w:p>
        </w:tc>
        <w:tc>
          <w:tcPr>
            <w:tcW w:w="6880" w:type="dxa"/>
            <w:vAlign w:val="bottom"/>
          </w:tcPr>
          <w:p>
            <w:pPr>
              <w:ind w:left="500"/>
              <w:spacing w:after="0"/>
              <w:rPr>
                <w:sz w:val="20"/>
                <w:szCs w:val="20"/>
                <w:color w:val="auto"/>
              </w:rPr>
            </w:pPr>
            <w:r>
              <w:rPr>
                <w:rFonts w:ascii="Arial" w:cs="Arial" w:eastAsia="Arial" w:hAnsi="Arial"/>
                <w:sz w:val="18"/>
                <w:szCs w:val="18"/>
                <w:color w:val="auto"/>
              </w:rPr>
              <w:t>8000 S. Federal Way</w:t>
            </w:r>
          </w:p>
        </w:tc>
      </w:tr>
      <w:tr>
        <w:trPr>
          <w:trHeight w:val="216"/>
        </w:trPr>
        <w:tc>
          <w:tcPr>
            <w:tcW w:w="4560" w:type="dxa"/>
            <w:vAlign w:val="bottom"/>
          </w:tcPr>
          <w:p>
            <w:pPr>
              <w:ind w:left="1060"/>
              <w:spacing w:after="0"/>
              <w:rPr>
                <w:sz w:val="20"/>
                <w:szCs w:val="20"/>
                <w:color w:val="auto"/>
              </w:rPr>
            </w:pPr>
            <w:r>
              <w:rPr>
                <w:rFonts w:ascii="Arial" w:cs="Arial" w:eastAsia="Arial" w:hAnsi="Arial"/>
                <w:sz w:val="18"/>
                <w:szCs w:val="18"/>
                <w:color w:val="auto"/>
              </w:rPr>
              <w:t>2200 Mission College Blvd, M/S RN6-46</w:t>
            </w:r>
          </w:p>
        </w:tc>
        <w:tc>
          <w:tcPr>
            <w:tcW w:w="6880" w:type="dxa"/>
            <w:vAlign w:val="bottom"/>
          </w:tcPr>
          <w:p>
            <w:pPr>
              <w:ind w:left="500"/>
              <w:spacing w:after="0"/>
              <w:rPr>
                <w:sz w:val="20"/>
                <w:szCs w:val="20"/>
                <w:color w:val="auto"/>
              </w:rPr>
            </w:pPr>
            <w:r>
              <w:rPr>
                <w:rFonts w:ascii="Arial" w:cs="Arial" w:eastAsia="Arial" w:hAnsi="Arial"/>
                <w:sz w:val="18"/>
                <w:szCs w:val="18"/>
                <w:color w:val="auto"/>
              </w:rPr>
              <w:t>P.O. Box 6</w:t>
            </w:r>
          </w:p>
        </w:tc>
      </w:tr>
      <w:tr>
        <w:trPr>
          <w:trHeight w:val="216"/>
        </w:trPr>
        <w:tc>
          <w:tcPr>
            <w:tcW w:w="4560" w:type="dxa"/>
            <w:vAlign w:val="bottom"/>
          </w:tcPr>
          <w:p>
            <w:pPr>
              <w:ind w:left="1060"/>
              <w:spacing w:after="0"/>
              <w:rPr>
                <w:sz w:val="20"/>
                <w:szCs w:val="20"/>
                <w:color w:val="auto"/>
              </w:rPr>
            </w:pPr>
            <w:r>
              <w:rPr>
                <w:rFonts w:ascii="Arial" w:cs="Arial" w:eastAsia="Arial" w:hAnsi="Arial"/>
                <w:sz w:val="18"/>
                <w:szCs w:val="18"/>
                <w:color w:val="auto"/>
              </w:rPr>
              <w:t>Santa Clara, California 95052</w:t>
            </w:r>
          </w:p>
        </w:tc>
        <w:tc>
          <w:tcPr>
            <w:tcW w:w="6880" w:type="dxa"/>
            <w:vAlign w:val="bottom"/>
          </w:tcPr>
          <w:p>
            <w:pPr>
              <w:ind w:left="500"/>
              <w:spacing w:after="0"/>
              <w:rPr>
                <w:sz w:val="20"/>
                <w:szCs w:val="20"/>
                <w:color w:val="auto"/>
              </w:rPr>
            </w:pPr>
            <w:r>
              <w:rPr>
                <w:rFonts w:ascii="Arial" w:cs="Arial" w:eastAsia="Arial" w:hAnsi="Arial"/>
                <w:sz w:val="18"/>
                <w:szCs w:val="18"/>
                <w:color w:val="auto"/>
              </w:rPr>
              <w:t>Boise, Idaho 83716</w:t>
            </w:r>
          </w:p>
        </w:tc>
      </w:tr>
      <w:tr>
        <w:trPr>
          <w:trHeight w:val="216"/>
        </w:trPr>
        <w:tc>
          <w:tcPr>
            <w:tcW w:w="4560" w:type="dxa"/>
            <w:vAlign w:val="bottom"/>
          </w:tcPr>
          <w:p>
            <w:pPr>
              <w:ind w:left="1060"/>
              <w:spacing w:after="0"/>
              <w:rPr>
                <w:sz w:val="20"/>
                <w:szCs w:val="20"/>
                <w:color w:val="auto"/>
              </w:rPr>
            </w:pPr>
            <w:r>
              <w:rPr>
                <w:rFonts w:ascii="Arial" w:cs="Arial" w:eastAsia="Arial" w:hAnsi="Arial"/>
                <w:sz w:val="18"/>
                <w:szCs w:val="18"/>
                <w:color w:val="auto"/>
              </w:rPr>
              <w:t>Attn: Intel Capital Portfolio Manager</w:t>
            </w:r>
          </w:p>
        </w:tc>
        <w:tc>
          <w:tcPr>
            <w:tcW w:w="6880" w:type="dxa"/>
            <w:vAlign w:val="bottom"/>
          </w:tcPr>
          <w:p>
            <w:pPr>
              <w:ind w:left="500"/>
              <w:spacing w:after="0"/>
              <w:rPr>
                <w:sz w:val="20"/>
                <w:szCs w:val="20"/>
                <w:color w:val="auto"/>
              </w:rPr>
            </w:pPr>
            <w:r>
              <w:rPr>
                <w:rFonts w:ascii="Arial" w:cs="Arial" w:eastAsia="Arial" w:hAnsi="Arial"/>
                <w:sz w:val="18"/>
                <w:szCs w:val="18"/>
                <w:color w:val="auto"/>
              </w:rPr>
              <w:t>Attn: Chief Financial Officer</w:t>
            </w:r>
          </w:p>
        </w:tc>
      </w:tr>
      <w:tr>
        <w:trPr>
          <w:trHeight w:val="230"/>
        </w:trPr>
        <w:tc>
          <w:tcPr>
            <w:tcW w:w="4560" w:type="dxa"/>
            <w:vAlign w:val="bottom"/>
          </w:tcPr>
          <w:p>
            <w:pPr>
              <w:ind w:left="1060"/>
              <w:spacing w:after="0"/>
              <w:rPr>
                <w:sz w:val="20"/>
                <w:szCs w:val="20"/>
                <w:color w:val="auto"/>
              </w:rPr>
            </w:pPr>
            <w:r>
              <w:rPr>
                <w:rFonts w:ascii="Arial" w:cs="Arial" w:eastAsia="Arial" w:hAnsi="Arial"/>
                <w:sz w:val="18"/>
                <w:szCs w:val="18"/>
                <w:color w:val="auto"/>
              </w:rPr>
              <w:t>Fax Number: (408) 765-6038</w:t>
            </w:r>
          </w:p>
        </w:tc>
        <w:tc>
          <w:tcPr>
            <w:tcW w:w="6880" w:type="dxa"/>
            <w:vAlign w:val="bottom"/>
          </w:tcPr>
          <w:p>
            <w:pPr>
              <w:ind w:left="500"/>
              <w:spacing w:after="0"/>
              <w:rPr>
                <w:sz w:val="20"/>
                <w:szCs w:val="20"/>
                <w:color w:val="auto"/>
              </w:rPr>
            </w:pPr>
            <w:r>
              <w:rPr>
                <w:rFonts w:ascii="Arial" w:cs="Arial" w:eastAsia="Arial" w:hAnsi="Arial"/>
                <w:sz w:val="18"/>
                <w:szCs w:val="18"/>
                <w:color w:val="auto"/>
              </w:rPr>
              <w:t>Fax Number: (208) 308-2900</w:t>
            </w:r>
          </w:p>
        </w:tc>
      </w:tr>
      <w:tr>
        <w:trPr>
          <w:trHeight w:val="432"/>
        </w:trPr>
        <w:tc>
          <w:tcPr>
            <w:tcW w:w="4560" w:type="dxa"/>
            <w:vAlign w:val="bottom"/>
          </w:tcPr>
          <w:p>
            <w:pPr>
              <w:ind w:left="1060"/>
              <w:spacing w:after="0"/>
              <w:rPr>
                <w:sz w:val="20"/>
                <w:szCs w:val="20"/>
                <w:color w:val="auto"/>
              </w:rPr>
            </w:pPr>
            <w:r>
              <w:rPr>
                <w:rFonts w:ascii="Arial" w:cs="Arial" w:eastAsia="Arial" w:hAnsi="Arial"/>
                <w:sz w:val="18"/>
                <w:szCs w:val="18"/>
                <w:color w:val="auto"/>
              </w:rPr>
              <w:t>with copies by email to:</w:t>
            </w:r>
          </w:p>
        </w:tc>
        <w:tc>
          <w:tcPr>
            <w:tcW w:w="6880" w:type="dxa"/>
            <w:vAlign w:val="bottom"/>
          </w:tcPr>
          <w:p>
            <w:pPr>
              <w:ind w:left="500"/>
              <w:spacing w:after="0"/>
              <w:rPr>
                <w:sz w:val="20"/>
                <w:szCs w:val="20"/>
                <w:color w:val="auto"/>
              </w:rPr>
            </w:pPr>
            <w:r>
              <w:rPr>
                <w:rFonts w:ascii="Arial" w:cs="Arial" w:eastAsia="Arial" w:hAnsi="Arial"/>
                <w:sz w:val="18"/>
                <w:szCs w:val="18"/>
                <w:color w:val="auto"/>
              </w:rPr>
              <w:t>with copies to:</w:t>
            </w:r>
          </w:p>
        </w:tc>
      </w:tr>
      <w:tr>
        <w:trPr>
          <w:trHeight w:val="418"/>
        </w:trPr>
        <w:tc>
          <w:tcPr>
            <w:tcW w:w="4560" w:type="dxa"/>
            <w:vAlign w:val="bottom"/>
          </w:tcPr>
          <w:p>
            <w:pPr>
              <w:ind w:left="1060"/>
              <w:spacing w:after="0"/>
              <w:rPr>
                <w:sz w:val="20"/>
                <w:szCs w:val="20"/>
                <w:color w:val="auto"/>
              </w:rPr>
            </w:pPr>
            <w:r>
              <w:rPr>
                <w:rFonts w:ascii="Arial" w:cs="Arial" w:eastAsia="Arial" w:hAnsi="Arial"/>
                <w:sz w:val="18"/>
                <w:szCs w:val="18"/>
                <w:color w:val="auto"/>
              </w:rPr>
              <w:t>portfolio.manager@intel.com</w:t>
            </w:r>
          </w:p>
        </w:tc>
        <w:tc>
          <w:tcPr>
            <w:tcW w:w="6880" w:type="dxa"/>
            <w:vAlign w:val="bottom"/>
          </w:tcPr>
          <w:p>
            <w:pPr>
              <w:ind w:left="500"/>
              <w:spacing w:after="0"/>
              <w:rPr>
                <w:sz w:val="20"/>
                <w:szCs w:val="20"/>
                <w:color w:val="auto"/>
              </w:rPr>
            </w:pPr>
            <w:r>
              <w:rPr>
                <w:rFonts w:ascii="Arial" w:cs="Arial" w:eastAsia="Arial" w:hAnsi="Arial"/>
                <w:sz w:val="18"/>
                <w:szCs w:val="18"/>
                <w:color w:val="auto"/>
              </w:rPr>
              <w:t>Micron Technology, Inc.</w:t>
            </w:r>
          </w:p>
        </w:tc>
      </w:tr>
      <w:tr>
        <w:trPr>
          <w:trHeight w:val="216"/>
        </w:trPr>
        <w:tc>
          <w:tcPr>
            <w:tcW w:w="4560" w:type="dxa"/>
            <w:vAlign w:val="bottom"/>
          </w:tcPr>
          <w:p>
            <w:pPr>
              <w:spacing w:after="0"/>
              <w:rPr>
                <w:sz w:val="18"/>
                <w:szCs w:val="18"/>
                <w:color w:val="auto"/>
              </w:rPr>
            </w:pPr>
          </w:p>
        </w:tc>
        <w:tc>
          <w:tcPr>
            <w:tcW w:w="6880" w:type="dxa"/>
            <w:vAlign w:val="bottom"/>
          </w:tcPr>
          <w:p>
            <w:pPr>
              <w:ind w:left="500"/>
              <w:spacing w:after="0"/>
              <w:rPr>
                <w:sz w:val="20"/>
                <w:szCs w:val="20"/>
                <w:color w:val="auto"/>
              </w:rPr>
            </w:pPr>
            <w:r>
              <w:rPr>
                <w:rFonts w:ascii="Arial" w:cs="Arial" w:eastAsia="Arial" w:hAnsi="Arial"/>
                <w:sz w:val="18"/>
                <w:szCs w:val="18"/>
                <w:color w:val="auto"/>
              </w:rPr>
              <w:t>8000 S. Federal Way</w:t>
            </w:r>
          </w:p>
        </w:tc>
      </w:tr>
      <w:tr>
        <w:trPr>
          <w:trHeight w:val="216"/>
        </w:trPr>
        <w:tc>
          <w:tcPr>
            <w:tcW w:w="4560" w:type="dxa"/>
            <w:vAlign w:val="bottom"/>
          </w:tcPr>
          <w:p>
            <w:pPr>
              <w:spacing w:after="0"/>
              <w:rPr>
                <w:sz w:val="18"/>
                <w:szCs w:val="18"/>
                <w:color w:val="auto"/>
              </w:rPr>
            </w:pPr>
          </w:p>
        </w:tc>
        <w:tc>
          <w:tcPr>
            <w:tcW w:w="6880" w:type="dxa"/>
            <w:vAlign w:val="bottom"/>
          </w:tcPr>
          <w:p>
            <w:pPr>
              <w:ind w:left="500"/>
              <w:spacing w:after="0"/>
              <w:rPr>
                <w:sz w:val="20"/>
                <w:szCs w:val="20"/>
                <w:color w:val="auto"/>
              </w:rPr>
            </w:pPr>
            <w:r>
              <w:rPr>
                <w:rFonts w:ascii="Arial" w:cs="Arial" w:eastAsia="Arial" w:hAnsi="Arial"/>
                <w:sz w:val="18"/>
                <w:szCs w:val="18"/>
                <w:color w:val="auto"/>
              </w:rPr>
              <w:t>P.O. Box 6</w:t>
            </w:r>
          </w:p>
        </w:tc>
      </w:tr>
      <w:tr>
        <w:trPr>
          <w:trHeight w:val="216"/>
        </w:trPr>
        <w:tc>
          <w:tcPr>
            <w:tcW w:w="4560" w:type="dxa"/>
            <w:vAlign w:val="bottom"/>
          </w:tcPr>
          <w:p>
            <w:pPr>
              <w:spacing w:after="0"/>
              <w:rPr>
                <w:sz w:val="18"/>
                <w:szCs w:val="18"/>
                <w:color w:val="auto"/>
              </w:rPr>
            </w:pPr>
          </w:p>
        </w:tc>
        <w:tc>
          <w:tcPr>
            <w:tcW w:w="6880" w:type="dxa"/>
            <w:vAlign w:val="bottom"/>
          </w:tcPr>
          <w:p>
            <w:pPr>
              <w:ind w:left="500"/>
              <w:spacing w:after="0"/>
              <w:rPr>
                <w:sz w:val="20"/>
                <w:szCs w:val="20"/>
                <w:color w:val="auto"/>
              </w:rPr>
            </w:pPr>
            <w:r>
              <w:rPr>
                <w:rFonts w:ascii="Arial" w:cs="Arial" w:eastAsia="Arial" w:hAnsi="Arial"/>
                <w:sz w:val="18"/>
                <w:szCs w:val="18"/>
                <w:color w:val="auto"/>
              </w:rPr>
              <w:t>Attn: General Counsel</w:t>
            </w:r>
          </w:p>
        </w:tc>
      </w:tr>
      <w:tr>
        <w:trPr>
          <w:trHeight w:val="230"/>
        </w:trPr>
        <w:tc>
          <w:tcPr>
            <w:tcW w:w="4560" w:type="dxa"/>
            <w:vAlign w:val="bottom"/>
          </w:tcPr>
          <w:p>
            <w:pPr>
              <w:spacing w:after="0"/>
              <w:rPr>
                <w:sz w:val="20"/>
                <w:szCs w:val="20"/>
                <w:color w:val="auto"/>
              </w:rPr>
            </w:pPr>
          </w:p>
        </w:tc>
        <w:tc>
          <w:tcPr>
            <w:tcW w:w="6880" w:type="dxa"/>
            <w:vAlign w:val="bottom"/>
          </w:tcPr>
          <w:p>
            <w:pPr>
              <w:ind w:left="500"/>
              <w:spacing w:after="0"/>
              <w:rPr>
                <w:sz w:val="20"/>
                <w:szCs w:val="20"/>
                <w:color w:val="auto"/>
              </w:rPr>
            </w:pPr>
            <w:r>
              <w:rPr>
                <w:rFonts w:ascii="Arial" w:cs="Arial" w:eastAsia="Arial" w:hAnsi="Arial"/>
                <w:sz w:val="18"/>
                <w:szCs w:val="18"/>
                <w:color w:val="auto"/>
              </w:rPr>
              <w:t>Fax Number: (208) 308-4509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-2533650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-2533650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 party may change or supplement the addresses given above, or designate additional addresses, for purposes of this Section 8.5 by giving the other party written notice of the new address in the manner set forth above.</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Amendments</w:t>
      </w:r>
      <w:r>
        <w:rPr>
          <w:rFonts w:ascii="Arial" w:cs="Arial" w:eastAsia="Arial" w:hAnsi="Arial"/>
          <w:sz w:val="16"/>
          <w:szCs w:val="16"/>
          <w:color w:val="auto"/>
        </w:rPr>
        <w:t>. Any term of this Agreement may be amended only with the prior written consent of the Company and Intel Capital.</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Delays or Omissions</w:t>
      </w:r>
      <w:r>
        <w:rPr>
          <w:rFonts w:ascii="Arial" w:cs="Arial" w:eastAsia="Arial" w:hAnsi="Arial"/>
          <w:sz w:val="18"/>
          <w:szCs w:val="18"/>
          <w:color w:val="auto"/>
        </w:rPr>
        <w:t>. No delay or omission to exercise any right, power or remedy accruing to the Company or to Intel Capital, upon any breach or default of any party hereto under this Agreement, shall impair any such right, power or remedy of the Company or Intel Capital, nor shall it be construed to be a waiver of any such breach or default, or an acquiescence therein, or of any similar breach or default thereafter occurring. Any waiver, permit, consent or approval of any kind or character on the part of the Company or Intel Capital of any breach or default under this Agreement or any waiver on the part of the Company or Intel Capital of any provisions or conditions of this Agreement, must be in writing and shall be effective only to the extent specifically set forth in such writing. All remedies, either under this Agreement, or by law or otherwise afforded to the Company or Intel Capital shall be cumulative and not alternative.</w:t>
      </w:r>
    </w:p>
    <w:p>
      <w:pPr>
        <w:spacing w:after="0" w:line="18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Legal Fees</w:t>
      </w:r>
      <w:r>
        <w:rPr>
          <w:rFonts w:ascii="Arial" w:cs="Arial" w:eastAsia="Arial" w:hAnsi="Arial"/>
          <w:sz w:val="18"/>
          <w:szCs w:val="18"/>
          <w:color w:val="auto"/>
        </w:rPr>
        <w:t>. In the event of any action at law, suit in equity or arbitration proceeding in relation to this Agreement or any units or securities of the Company issued or to be issued, the prevailing party shall be paid by the other party a reasonable sum for attorney’s fees and expenses for such prevailing party.</w:t>
      </w:r>
    </w:p>
    <w:p>
      <w:pPr>
        <w:spacing w:after="0" w:line="1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an original, but both of which together shall constitute one instrument.</w:t>
      </w:r>
    </w:p>
    <w:p>
      <w:pPr>
        <w:sectPr>
          <w:pgSz w:w="11900" w:h="16838" w:orient="portrait"/>
          <w:cols w:equalWidth="0" w:num="1">
            <w:col w:w="11440"/>
          </w:cols>
          <w:pgMar w:left="240" w:top="553" w:right="219" w:bottom="126" w:gutter="0" w:footer="0" w:header="0"/>
        </w:sectPr>
      </w:pPr>
    </w:p>
    <w:bookmarkStart w:id="11" w:name="page12"/>
    <w:bookmarkEnd w:id="11"/>
    <w:p>
      <w:pPr>
        <w:ind w:right="140" w:firstLine="648"/>
        <w:spacing w:after="0" w:line="277"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determined to be illegal or unenforceable, such determination shall not affect the remaining provisions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agree to negotiate in good faith to resolve any dispute between them regarding this Agreement. If the negotiations do not resolve the dispute to the reasonable satisfaction of both parties, then each party shall nominate one senior officer of the rank of Vice President or higher as its representative. These representatives shall, within thirty (30) days of a written request by either party to call such a meeting, meet in person and alone (except for one assistant for each party) and shall attempt in good faith to resolve the dispute. If the disputes cannot be resolved by such senior managers in such meeting, the parties agree that they shall, if requested in writing by either party, meet within thirty (30) days after such written notification for one day with an impartial mediator and consider dispute resolution alternatives other than litigation. If an alternative method of dispute resolution is not agreed upon within thirty (30) days after the one day mediation, either party may proceed as they see fit. This procedure shall be a prerequisite before taking any additional action hereunder.</w:t>
      </w:r>
    </w:p>
    <w:p>
      <w:pPr>
        <w:spacing w:after="0" w:line="19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No Third Parties Benefited</w:t>
      </w:r>
      <w:r>
        <w:rPr>
          <w:rFonts w:ascii="Arial" w:cs="Arial" w:eastAsia="Arial" w:hAnsi="Arial"/>
          <w:sz w:val="18"/>
          <w:szCs w:val="18"/>
          <w:color w:val="auto"/>
        </w:rPr>
        <w:t>. This Agreement is made and entered into for the protection and benefit of the parties hereto and their permitted successors and assigns, and, except as expressly provided herein, no other Person shall be a direct or indirect beneficiary of or have any direct or indirect cause of action or claim in connection with this Agreement or any of the documents executed in connection herewith.</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Meaning of Include and Including</w:t>
      </w:r>
      <w:r>
        <w:rPr>
          <w:rFonts w:ascii="Arial" w:cs="Arial" w:eastAsia="Arial" w:hAnsi="Arial"/>
          <w:sz w:val="18"/>
          <w:szCs w:val="18"/>
          <w:color w:val="auto"/>
        </w:rPr>
        <w:t>. Whenever in this Agreement the word “include” or “including” is used. it shall be deemed to mean “include, without limitation” or “including, without limitation,” as the case may be. and the language following “include” or “including” shall not be deemed to set forth an exhaustive list.</w:t>
      </w:r>
    </w:p>
    <w:p>
      <w:pPr>
        <w:spacing w:after="0" w:line="18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8.15 </w:t>
      </w:r>
      <w:r>
        <w:rPr>
          <w:rFonts w:ascii="Arial" w:cs="Arial" w:eastAsia="Arial" w:hAnsi="Arial"/>
          <w:sz w:val="16"/>
          <w:szCs w:val="16"/>
          <w:u w:val="single" w:color="auto"/>
          <w:color w:val="auto"/>
        </w:rPr>
        <w:t>Fees, Costs and Expenses</w:t>
      </w:r>
      <w:r>
        <w:rPr>
          <w:rFonts w:ascii="Arial" w:cs="Arial" w:eastAsia="Arial" w:hAnsi="Arial"/>
          <w:sz w:val="16"/>
          <w:szCs w:val="16"/>
          <w:color w:val="auto"/>
        </w:rPr>
        <w:t>. All fees, costs and expenses (including attorney’s’ fees and expenses) incurred by either party hereto prior to the Closing in connection with the preparation, negotiation and execution of this Agreement, the Rights Agreement, the Rights and Restrictions Agreement and the Business Agreement and the consummation of the transactions contemplated hereby and thereby (including the costs associated with any filings with, or compliance with any of the requirements of, any governmental authorities), shall be the sole and exclusive responsibility of such party.</w:t>
      </w:r>
    </w:p>
    <w:p>
      <w:pPr>
        <w:spacing w:after="0" w:line="15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u w:val="single" w:color="auto"/>
          <w:color w:val="auto"/>
        </w:rPr>
        <w:t>Competition</w:t>
      </w:r>
      <w:r>
        <w:rPr>
          <w:rFonts w:ascii="Arial" w:cs="Arial" w:eastAsia="Arial" w:hAnsi="Arial"/>
          <w:sz w:val="18"/>
          <w:szCs w:val="18"/>
          <w:color w:val="auto"/>
        </w:rPr>
        <w:t>. Nothing set forth herein shall be deemed to preclude, limit or restrict the Company’s or Intel Capital’s and their respective Affiliates’ ability to compete with the 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Securities Purchase Agreement as of the date first written above.</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INTEL CAPITAL CORPORATION</w:t>
            </w:r>
          </w:p>
        </w:tc>
        <w:tc>
          <w:tcPr>
            <w:tcW w:w="5420" w:type="dxa"/>
            <w:vAlign w:val="bottom"/>
            <w:gridSpan w:val="2"/>
          </w:tcPr>
          <w:p>
            <w:pPr>
              <w:ind w:left="2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Arvind Sodhani</w:t>
            </w:r>
          </w:p>
        </w:tc>
        <w:tc>
          <w:tcPr>
            <w:tcW w:w="520" w:type="dxa"/>
            <w:vAlign w:val="bottom"/>
          </w:tcPr>
          <w:p>
            <w:pPr>
              <w:ind w:left="2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 W.G. Stover, Jr.</w:t>
            </w:r>
          </w:p>
        </w:tc>
      </w:tr>
      <w:tr>
        <w:trPr>
          <w:trHeight w:val="195"/>
        </w:trPr>
        <w:tc>
          <w:tcPr>
            <w:tcW w:w="440" w:type="dxa"/>
            <w:vAlign w:val="bottom"/>
          </w:tcPr>
          <w:p>
            <w:pPr>
              <w:spacing w:after="0"/>
              <w:rPr>
                <w:sz w:val="16"/>
                <w:szCs w:val="16"/>
                <w:color w:val="auto"/>
              </w:rPr>
            </w:pPr>
          </w:p>
        </w:tc>
        <w:tc>
          <w:tcPr>
            <w:tcW w:w="5540" w:type="dxa"/>
            <w:vAlign w:val="bottom"/>
          </w:tcPr>
          <w:p>
            <w:pPr>
              <w:spacing w:after="0" w:line="195" w:lineRule="exact"/>
              <w:rPr>
                <w:sz w:val="20"/>
                <w:szCs w:val="20"/>
                <w:color w:val="auto"/>
              </w:rPr>
            </w:pPr>
            <w:r>
              <w:rPr>
                <w:rFonts w:ascii="Arial" w:cs="Arial" w:eastAsia="Arial" w:hAnsi="Arial"/>
                <w:sz w:val="18"/>
                <w:szCs w:val="18"/>
                <w:color w:val="auto"/>
              </w:rPr>
              <w:t>Name: Arvind Sodhani</w:t>
            </w:r>
          </w:p>
        </w:tc>
        <w:tc>
          <w:tcPr>
            <w:tcW w:w="520" w:type="dxa"/>
            <w:vAlign w:val="bottom"/>
          </w:tcPr>
          <w:p>
            <w:pPr>
              <w:spacing w:after="0"/>
              <w:rPr>
                <w:sz w:val="16"/>
                <w:szCs w:val="16"/>
                <w:color w:val="auto"/>
              </w:rPr>
            </w:pPr>
          </w:p>
        </w:tc>
        <w:tc>
          <w:tcPr>
            <w:tcW w:w="4900" w:type="dxa"/>
            <w:vAlign w:val="bottom"/>
          </w:tcPr>
          <w:p>
            <w:pPr>
              <w:ind w:left="20"/>
              <w:spacing w:after="0" w:line="195" w:lineRule="exact"/>
              <w:rPr>
                <w:sz w:val="20"/>
                <w:szCs w:val="20"/>
                <w:color w:val="auto"/>
              </w:rPr>
            </w:pPr>
            <w:r>
              <w:rPr>
                <w:rFonts w:ascii="Arial" w:cs="Arial" w:eastAsia="Arial" w:hAnsi="Arial"/>
                <w:sz w:val="18"/>
                <w:szCs w:val="18"/>
                <w:color w:val="auto"/>
              </w:rPr>
              <w:t>Name: W.G. Stover, Jr.</w:t>
            </w:r>
          </w:p>
        </w:tc>
      </w:tr>
      <w:tr>
        <w:trPr>
          <w:trHeight w:val="216"/>
        </w:trPr>
        <w:tc>
          <w:tcPr>
            <w:tcW w:w="4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Title: Vice President and Treasurer</w:t>
            </w:r>
          </w:p>
        </w:tc>
        <w:tc>
          <w:tcPr>
            <w:tcW w:w="5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Title:  Vice President of Finance and</w:t>
            </w:r>
          </w:p>
        </w:tc>
      </w:tr>
      <w:tr>
        <w:trPr>
          <w:trHeight w:val="230"/>
        </w:trPr>
        <w:tc>
          <w:tcPr>
            <w:tcW w:w="4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900" w:type="dxa"/>
            <w:vAlign w:val="bottom"/>
          </w:tcPr>
          <w:p>
            <w:pPr>
              <w:ind w:left="56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Securities 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ind w:left="10580"/>
        <w:spacing w:after="0"/>
        <w:rPr>
          <w:sz w:val="20"/>
          <w:szCs w:val="20"/>
          <w:color w:val="auto"/>
        </w:rPr>
      </w:pPr>
      <w:r>
        <w:rPr>
          <w:rFonts w:ascii="Arial" w:cs="Arial" w:eastAsia="Arial" w:hAnsi="Arial"/>
          <w:sz w:val="16"/>
          <w:szCs w:val="16"/>
          <w:b w:val="1"/>
          <w:bCs w:val="1"/>
          <w:color w:val="auto"/>
        </w:rPr>
        <w:t>Exhibit 4.2</w:t>
      </w:r>
    </w:p>
    <w:p>
      <w:pPr>
        <w:spacing w:after="0" w:line="25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SECURITIES REPRESENTED BY THIS INSTRUMENT HAVE BEEN ACQUIRED FOR INVESTMENT AND HAVE NOT BEEN REGISTERED UNDER THE SECURITIES ACT OF 1933, AS AMENDED. SUCH SECURITIES MAY NOT BE SOLD OR TRANSFERRED IN THE ABSENCE OF SUCH REGISTRATION OR AN OPINION OF COUNSEL SATISFACTORY TO THE ISSUER AS TO THE AVAILABILITY OF AN EXEMPTION FROM REGISTRATION. THE SECURITIES REPRESENTED BY THIS INSTRUMENT ARE SUBJECT TO RESTRICTIONS ON TRANSFER, INCLUDING ANY SALE, PLEDGE OR OTHER HYPOTHECATION, SET FORTH IN AN AGREEMENT BETWEEN THE ISSUER AND INTEL CAPITAL CORPORATION, A COPY OF WHICH AGREEMENT MAY BE OBTAINED AT NO COST BY WRITTEN REQUEST MADE BY THE HOLDER OF RECORD OF THIS INSTRUMENT TO THE SECRETARY OF THE COMPANY AT ITS PRINCIPAL EXECUTIVE OFFICES.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RIGHTS AGREEMENT</w:t>
      </w:r>
    </w:p>
    <w:p>
      <w:pPr>
        <w:spacing w:after="0" w:line="229"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This STOCK RIGHTS AGREEMENT is dated as of September 24, 2003 (this “</w:t>
      </w:r>
      <w:r>
        <w:rPr>
          <w:rFonts w:ascii="Arial" w:cs="Arial" w:eastAsia="Arial" w:hAnsi="Arial"/>
          <w:sz w:val="16"/>
          <w:szCs w:val="16"/>
          <w:u w:val="single" w:color="auto"/>
          <w:color w:val="auto"/>
        </w:rPr>
        <w:t>Agreement</w:t>
      </w:r>
      <w:r>
        <w:rPr>
          <w:rFonts w:ascii="Arial" w:cs="Arial" w:eastAsia="Arial" w:hAnsi="Arial"/>
          <w:sz w:val="16"/>
          <w:szCs w:val="16"/>
          <w:color w:val="auto"/>
        </w:rPr>
        <w:t>”) and entered into by and between Micron Technology,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Intel Capital Corporation, a Cayman Islands corporation (“</w:t>
      </w:r>
      <w:r>
        <w:rPr>
          <w:rFonts w:ascii="Arial" w:cs="Arial" w:eastAsia="Arial" w:hAnsi="Arial"/>
          <w:sz w:val="16"/>
          <w:szCs w:val="16"/>
          <w:u w:val="single" w:color="auto"/>
          <w:color w:val="auto"/>
        </w:rPr>
        <w:t>Intel Capital</w:t>
      </w:r>
      <w:r>
        <w:rPr>
          <w:rFonts w:ascii="Arial" w:cs="Arial" w:eastAsia="Arial" w:hAnsi="Arial"/>
          <w:sz w:val="16"/>
          <w:szCs w:val="16"/>
          <w:color w:val="auto"/>
        </w:rPr>
        <w:t>”). All capitalized terms used but not defined herein shall have the meanings ascribed to them in the Securities Purchase Agreement (as hereinafter defined).</w:t>
      </w:r>
    </w:p>
    <w:p>
      <w:pPr>
        <w:spacing w:after="0" w:line="14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WHEREAS, pursuant to a Securities Purchase Agreement, dated as of September 24, 2003 (the “</w:t>
      </w:r>
      <w:r>
        <w:rPr>
          <w:rFonts w:ascii="Arial" w:cs="Arial" w:eastAsia="Arial" w:hAnsi="Arial"/>
          <w:sz w:val="18"/>
          <w:szCs w:val="18"/>
          <w:u w:val="single" w:color="auto"/>
          <w:color w:val="auto"/>
        </w:rPr>
        <w:t>Securities Purchase Agreement</w:t>
      </w:r>
      <w:r>
        <w:rPr>
          <w:rFonts w:ascii="Arial" w:cs="Arial" w:eastAsia="Arial" w:hAnsi="Arial"/>
          <w:sz w:val="18"/>
          <w:szCs w:val="18"/>
          <w:color w:val="auto"/>
        </w:rPr>
        <w:t>”), by and between the Company and Intel Capital, the Company is issuing and selling to Intel Capital, in consideration of the payment of four hundred and forty nine million nine hundred and ninety nine thousand nine hundred and ninety eight dollars and five cents ($449,999,998.05), certain stock rights, which provide Intel Capital the right to acquire, for no additional consideration, shares of Common Stock of the Company;</w:t>
      </w:r>
    </w:p>
    <w:p>
      <w:pPr>
        <w:spacing w:after="0" w:line="187"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WHEREAS, the Company proposes to issue to Intel Capital certain rights (the “</w:t>
      </w:r>
      <w:r>
        <w:rPr>
          <w:rFonts w:ascii="Arial" w:cs="Arial" w:eastAsia="Arial" w:hAnsi="Arial"/>
          <w:sz w:val="18"/>
          <w:szCs w:val="18"/>
          <w:u w:val="single" w:color="auto"/>
          <w:color w:val="auto"/>
        </w:rPr>
        <w:t>Rights</w:t>
      </w:r>
      <w:r>
        <w:rPr>
          <w:rFonts w:ascii="Arial" w:cs="Arial" w:eastAsia="Arial" w:hAnsi="Arial"/>
          <w:sz w:val="18"/>
          <w:szCs w:val="18"/>
          <w:color w:val="auto"/>
        </w:rPr>
        <w:t>”) to purchase up to an aggregate of 33,860,045 shares (subject to adjustment as set forth in this Agreement) of Common Stock (the shares of Common Stock and other securities issuable upon exercise of the Rights being referred to herein as the “</w:t>
      </w:r>
      <w:r>
        <w:rPr>
          <w:rFonts w:ascii="Arial" w:cs="Arial" w:eastAsia="Arial" w:hAnsi="Arial"/>
          <w:sz w:val="18"/>
          <w:szCs w:val="18"/>
          <w:u w:val="single" w:color="auto"/>
          <w:color w:val="auto"/>
        </w:rPr>
        <w:t>Rights Shares</w:t>
      </w:r>
      <w:r>
        <w:rPr>
          <w:rFonts w:ascii="Arial" w:cs="Arial" w:eastAsia="Arial" w:hAnsi="Arial"/>
          <w:sz w:val="18"/>
          <w:szCs w:val="18"/>
          <w:color w:val="auto"/>
        </w:rPr>
        <w:t>”);</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WHEREAS, the term “</w:t>
      </w:r>
      <w:r>
        <w:rPr>
          <w:rFonts w:ascii="Arial" w:cs="Arial" w:eastAsia="Arial" w:hAnsi="Arial"/>
          <w:sz w:val="18"/>
          <w:szCs w:val="18"/>
          <w:u w:val="single" w:color="auto"/>
          <w:color w:val="auto"/>
        </w:rPr>
        <w:t>Rights</w:t>
      </w:r>
      <w:r>
        <w:rPr>
          <w:rFonts w:ascii="Arial" w:cs="Arial" w:eastAsia="Arial" w:hAnsi="Arial"/>
          <w:sz w:val="18"/>
          <w:szCs w:val="18"/>
          <w:color w:val="auto"/>
        </w:rPr>
        <w:t>” hereunder shall also refer to any Additional Adjustment Rights (as defined in the Securities Purchase Agreement), if any, issued by the Company pursuant to the Securities Purchase Agreement; and</w:t>
      </w:r>
    </w:p>
    <w:p>
      <w:pPr>
        <w:spacing w:after="0" w:line="17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WHEREAS, the Company and Intel Capital are concurrently entering into a Securities Rights and Restrictions Agreement, dated as of the date hereof (the “</w:t>
      </w:r>
      <w:r>
        <w:rPr>
          <w:rFonts w:ascii="Arial" w:cs="Arial" w:eastAsia="Arial" w:hAnsi="Arial"/>
          <w:sz w:val="18"/>
          <w:szCs w:val="18"/>
          <w:u w:val="single" w:color="auto"/>
          <w:color w:val="auto"/>
        </w:rPr>
        <w:t>Rights and Restrictions Agreement</w:t>
      </w:r>
      <w:r>
        <w:rPr>
          <w:rFonts w:ascii="Arial" w:cs="Arial" w:eastAsia="Arial" w:hAnsi="Arial"/>
          <w:sz w:val="18"/>
          <w:szCs w:val="18"/>
          <w:color w:val="auto"/>
        </w:rPr>
        <w:t>”), pursuant to which the Company and Intel Capital have agreed, among other things, to certain rights and restrictions with respect to the transfer of the Rights and Rights Shares.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premises and the mutual agreements herein set forth,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Rights Certificates</w:t>
      </w:r>
      <w:r>
        <w:rPr>
          <w:rFonts w:ascii="Arial" w:cs="Arial" w:eastAsia="Arial" w:hAnsi="Arial"/>
          <w:sz w:val="17"/>
          <w:szCs w:val="17"/>
          <w:color w:val="auto"/>
        </w:rPr>
        <w:t>. The Company will issue and deliver to Intel Capital a certificate or certificates evidencing the Rights (the “</w:t>
      </w:r>
      <w:r>
        <w:rPr>
          <w:rFonts w:ascii="Arial" w:cs="Arial" w:eastAsia="Arial" w:hAnsi="Arial"/>
          <w:sz w:val="17"/>
          <w:szCs w:val="17"/>
          <w:u w:val="single" w:color="auto"/>
          <w:color w:val="auto"/>
        </w:rPr>
        <w:t>Rights</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Certificates</w:t>
      </w:r>
      <w:r>
        <w:rPr>
          <w:rFonts w:ascii="Arial" w:cs="Arial" w:eastAsia="Arial" w:hAnsi="Arial"/>
          <w:sz w:val="17"/>
          <w:szCs w:val="17"/>
          <w:color w:val="auto"/>
        </w:rPr>
        <w:t xml:space="preserve">”) pursuant to and in accordance with the terms of the Securities Purchase Agreement. Such certificate or certificates shall be substantially in the form set forth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Rights Certificates shall be dated the date of issuance by the Company.</w:t>
      </w:r>
    </w:p>
    <w:p>
      <w:pPr>
        <w:spacing w:after="0" w:line="166"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Execution of Rights Certificates</w:t>
      </w:r>
      <w:r>
        <w:rPr>
          <w:rFonts w:ascii="Arial" w:cs="Arial" w:eastAsia="Arial" w:hAnsi="Arial"/>
          <w:sz w:val="18"/>
          <w:szCs w:val="18"/>
          <w:color w:val="auto"/>
        </w:rPr>
        <w:t>. Rights Certificates shall be signed on behalf of the Company by its Chief Executive Officer, President or a Vice President and attested by its Secretary or an Assistant Secretary.</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Registration</w:t>
      </w:r>
      <w:r>
        <w:rPr>
          <w:rFonts w:ascii="Arial" w:cs="Arial" w:eastAsia="Arial" w:hAnsi="Arial"/>
          <w:sz w:val="18"/>
          <w:szCs w:val="18"/>
          <w:color w:val="auto"/>
        </w:rPr>
        <w:t>. The Company shall number and register the Rights Certificates in a register (the “</w:t>
      </w:r>
      <w:r>
        <w:rPr>
          <w:rFonts w:ascii="Arial" w:cs="Arial" w:eastAsia="Arial" w:hAnsi="Arial"/>
          <w:sz w:val="18"/>
          <w:szCs w:val="18"/>
          <w:u w:val="single" w:color="auto"/>
          <w:color w:val="auto"/>
        </w:rPr>
        <w:t>Rights Register</w:t>
      </w:r>
      <w:r>
        <w:rPr>
          <w:rFonts w:ascii="Arial" w:cs="Arial" w:eastAsia="Arial" w:hAnsi="Arial"/>
          <w:sz w:val="18"/>
          <w:szCs w:val="18"/>
          <w:color w:val="auto"/>
        </w:rPr>
        <w:t>”) as they are issued. The Company may deem and treat the registered holder(s) from time to time of the Rights Certificates (the “</w:t>
      </w:r>
      <w:r>
        <w:rPr>
          <w:rFonts w:ascii="Arial" w:cs="Arial" w:eastAsia="Arial" w:hAnsi="Arial"/>
          <w:sz w:val="18"/>
          <w:szCs w:val="18"/>
          <w:u w:val="single" w:color="auto"/>
          <w:color w:val="auto"/>
        </w:rPr>
        <w:t>Holders</w:t>
      </w:r>
      <w:r>
        <w:rPr>
          <w:rFonts w:ascii="Arial" w:cs="Arial" w:eastAsia="Arial" w:hAnsi="Arial"/>
          <w:sz w:val="18"/>
          <w:szCs w:val="18"/>
          <w:color w:val="auto"/>
        </w:rPr>
        <w:t>”) as the absolute owner(s) thereof (notwithstanding any notation of ownership or other writing thereon made by anyone) for all purposes and shall not be affected by any notice to the contrary. The Rights shall be registered initially in such name or names as Intel Capital shall designate.</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Restrictions on Transfer; Registration of Transfers and Exchanges</w:t>
      </w:r>
      <w:r>
        <w:rPr>
          <w:rFonts w:ascii="Arial" w:cs="Arial" w:eastAsia="Arial" w:hAnsi="Arial"/>
          <w:sz w:val="17"/>
          <w:szCs w:val="17"/>
          <w:color w:val="auto"/>
        </w:rPr>
        <w:t>. Subject to any applicable conditions to transfer contained in the Securities Purchase Agreement or the Rights and Restrictions Agreement, the Company shall from time to time register the transfer of any outstanding Rights Certificates in the Rights Register to be maintained by the Company upon surrender of the Rights Certificates accompanied by a written instrument or instruments of transfer in form reasonably satisfactory to the Company, duly executed by the registered holders thereof, the duly appointed legal representative thereof or a duly authorized attorney. Upon any such registration of transfer, a new Rights Certificate shall be issued to the transferee holder(s) and the surrendered Rights Certificate shall be canceled and disposed of by the Company.</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Except as provided in the immediately following sentence, no person or entity holding Rights may transfer, sell, assign, devise or bequeath any of such holder’s interest in his, her or its Rights, and the Company shall not register the transfer of such Rights, whether by sale, assignment, gift, devise, bequest, appointment or otherwise, except to a Permitted Transferee (as defined below) of such holder. Upon the transfer by any holder of a Right to a person or entity who is not a Permitted Transferee, then such Right shall automatically be exchanged or converted for shares of Common Stock at the then effective Exchange Ratio. For purposes of this Section 4, the term “</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shall mean (i) the Company, (ii) a Qualified Subsidiary (provided that if at any time such Qualified Subsidiary ceases to be a Qualified Subsidiary such Rights will automatically convert into Common Stock), (iii) Intel Capital or (iv) Intel Corporation, a Delaware corporation and parent of Intel Capital. Notwithstanding anything to the contrary set forth herein, the transfer agent shall not be required to register the transfer of such Rights or the Common Stock into which they are automatically exchanged unless concurrently with such transfer the certificate representing such Rights to be so transferred shall be surrendered and exchanged for a certificate representing the applicable number of shares of Common Stock into which such Rights are automatically exchanged by virtue of such transfer.</w:t>
      </w:r>
    </w:p>
    <w:p>
      <w:pPr>
        <w:spacing w:after="0" w:line="169"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Subject to Section 4.10 of the Securities Purchase Agreement, nothing in this Section 4 shall be construed to prohibit Hedging Transactions (as defined in the Rights and Restrictions Agreement) with respect to securities of Micron provided that such transactions do not result 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non-compliance with the foregoing restrictions insofar such provisions relate to, and are limited in their application to, the Transaction Related Securities (as defined in the Rights and Restrictions Agreement).</w:t>
      </w:r>
    </w:p>
    <w:p>
      <w:pPr>
        <w:sectPr>
          <w:pgSz w:w="11900" w:h="16838" w:orient="portrait"/>
          <w:cols w:equalWidth="0" w:num="1">
            <w:col w:w="11420"/>
          </w:cols>
          <w:pgMar w:left="240" w:top="121" w:right="239" w:bottom="0" w:gutter="0" w:footer="0" w:header="0"/>
        </w:sectPr>
      </w:pPr>
    </w:p>
    <w:bookmarkStart w:id="13" w:name="page14"/>
    <w:bookmarkEnd w:id="13"/>
    <w:p>
      <w:pPr>
        <w:ind w:right="40" w:firstLine="648"/>
        <w:spacing w:after="0" w:line="273"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Exercise of Rights</w:t>
      </w:r>
      <w:r>
        <w:rPr>
          <w:rFonts w:ascii="Arial" w:cs="Arial" w:eastAsia="Arial" w:hAnsi="Arial"/>
          <w:sz w:val="17"/>
          <w:szCs w:val="17"/>
          <w:color w:val="auto"/>
        </w:rPr>
        <w:t>. Subject to the terms of this Agreement, each holder of a Rights Certificate shall have the right, which may be exercised commencing the date hereof and until 5:00 p.m., California time, on December 31, 2063 (the “</w:t>
      </w:r>
      <w:r>
        <w:rPr>
          <w:rFonts w:ascii="Arial" w:cs="Arial" w:eastAsia="Arial" w:hAnsi="Arial"/>
          <w:sz w:val="17"/>
          <w:szCs w:val="17"/>
          <w:u w:val="single" w:color="auto"/>
          <w:color w:val="auto"/>
        </w:rPr>
        <w:t>Expiration Date</w:t>
      </w:r>
      <w:r>
        <w:rPr>
          <w:rFonts w:ascii="Arial" w:cs="Arial" w:eastAsia="Arial" w:hAnsi="Arial"/>
          <w:sz w:val="17"/>
          <w:szCs w:val="17"/>
          <w:color w:val="auto"/>
        </w:rPr>
        <w:t>”) to receive from the Company the number of fully paid and nonassessable Rights Shares (and such other consideration) which the holder may at the time be entitled to receive on exercise of such Rights. Any Rights not exercised prior to 5:00 p.m., California time, on the Expiration Date shall become void and all rights thereunder and all rights in respect thereof under this Agreement shall cease as of such time. The amounts payable to the Company under the Securities Purchase Agreement shall be the exercise price of the Rights, and no additional consideration is payable upon exercise of the Rights.</w:t>
      </w:r>
    </w:p>
    <w:p>
      <w:pPr>
        <w:spacing w:after="0" w:line="17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Rights may be exercised upon surrender to the Company at its office designated for such purpose (as provided in Section 12 hereof) of the Rights Certificate or Certificates to be exercised with the exercise notice attached thereto duly filled in and signed.</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Subject to the provisions of Section 7 hereof, upon such surrender of Rights Certificates in accordance with the terms hereof, the Company shall issue and cause to be delivered, as promptly as practicable, to or upon the written order of the holder and in such name or names as such holder may designate a certificate or certificates for the number of full Rights Shares issuable upon the exercise of such Rights (and such other consideration as may be deliverable upon exercise of such Rights) and cash for fractional Rights Shares as provided in Section 6 hereof. The certificate or certificates for such Rights Shares shall be deemed to have been issued and the person so named therein shall be deemed to have become a holder of record of such Rights Shares as of the date of the surrender of such Rights, irrespective of the date of delivery of such certificate or certificates for Rights Shares (the “</w:t>
      </w:r>
      <w:r>
        <w:rPr>
          <w:rFonts w:ascii="Arial" w:cs="Arial" w:eastAsia="Arial" w:hAnsi="Arial"/>
          <w:sz w:val="16"/>
          <w:szCs w:val="16"/>
          <w:u w:val="single" w:color="auto"/>
          <w:color w:val="auto"/>
        </w:rPr>
        <w:t>Exercise Date</w:t>
      </w:r>
      <w:r>
        <w:rPr>
          <w:rFonts w:ascii="Arial" w:cs="Arial" w:eastAsia="Arial" w:hAnsi="Arial"/>
          <w:sz w:val="16"/>
          <w:szCs w:val="16"/>
          <w:color w:val="auto"/>
        </w:rPr>
        <w:t>”).</w:t>
      </w:r>
    </w:p>
    <w:p>
      <w:pPr>
        <w:spacing w:after="0" w:line="16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Each Rights Certificate shall be exercisable, at the election of the holder thereof, either in full or from time to time in part. In the event that a Rights Certificate is exercised in respect of fewer than all of the Rights Shares issuable on such exercise at any time prior to the date of expiration of the Rights, a new certificate evidencing the remaining Rights will be issued and delivered pursuant to the provisions of this Section 5 and Section 2 hereof.</w:t>
      </w:r>
    </w:p>
    <w:p>
      <w:pPr>
        <w:spacing w:after="0" w:line="147"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All Rights Certificates surrendered upon exercise of Rights shall be canceled and disposed of by the Company. The Company shall keep copies of this Agreement and any notices given or received hereunder available for inspection by the holders during normal business hours at its office.</w:t>
      </w:r>
    </w:p>
    <w:p>
      <w:pPr>
        <w:spacing w:after="0" w:line="124"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Notwithstanding the above, Rights may not be exercised for Common Stock unless and until the holder shall submit to the Company either evidence of compliance with the filing requirements of the HSR Act or a certificate of an officer of the holder to the effect that the acquisition of Common Stock upon exercise of the Rights does not require any filing under the HSR Act.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20" w:firstLine="648"/>
        <w:spacing w:after="0" w:line="302" w:lineRule="auto"/>
        <w:rPr>
          <w:sz w:val="20"/>
          <w:szCs w:val="20"/>
          <w:color w:val="auto"/>
        </w:rPr>
      </w:pPr>
      <w:r>
        <w:rPr>
          <w:rFonts w:ascii="Arial" w:cs="Arial" w:eastAsia="Arial" w:hAnsi="Arial"/>
          <w:sz w:val="16"/>
          <w:szCs w:val="16"/>
          <w:color w:val="auto"/>
        </w:rPr>
        <w:t>In the event that a Qualified Subsidiary that is a holder of Rights ceases at any time to be a Qualified Subsidiary, the Rights so held shall represent only the right to receive the Common Stock in to which they are exchangeable, and the Company shall deliver the shares of Common Stock issuable upon exchange thereof upon (i) surrender of the Rights Certificates to the Company, (ii) if required, the holder furnishing appropriate endorsements and transfer documents, and (iii) if required by Section 7, payment of all transfer and similar taxes if the shares of Common Stock are not being issued to the holder.</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Number of Rights; Adjustments to Rights; Dividends; Fractional Rights Shares</w:t>
      </w:r>
      <w:r>
        <w:rPr>
          <w:rFonts w:ascii="Arial" w:cs="Arial" w:eastAsia="Arial" w:hAnsi="Arial"/>
          <w:sz w:val="18"/>
          <w:szCs w:val="18"/>
          <w:color w:val="auto"/>
        </w:rPr>
        <w:t>.</w:t>
      </w:r>
    </w:p>
    <w:p>
      <w:pPr>
        <w:spacing w:after="0" w:line="225" w:lineRule="exact"/>
        <w:rPr>
          <w:sz w:val="20"/>
          <w:szCs w:val="20"/>
          <w:color w:val="auto"/>
        </w:rPr>
      </w:pPr>
    </w:p>
    <w:p>
      <w:pPr>
        <w:ind w:right="660" w:firstLine="656"/>
        <w:spacing w:after="0" w:line="277" w:lineRule="auto"/>
        <w:tabs>
          <w:tab w:leader="none" w:pos="134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Exchange Ratio</w:t>
      </w:r>
      <w:r>
        <w:rPr>
          <w:rFonts w:ascii="Arial" w:cs="Arial" w:eastAsia="Arial" w:hAnsi="Arial"/>
          <w:sz w:val="18"/>
          <w:szCs w:val="18"/>
          <w:color w:val="auto"/>
        </w:rPr>
        <w:t>. Each Right represents the right to receive one share of Common Stock, as adjusted in the manner provided below (“</w:t>
      </w:r>
      <w:r>
        <w:rPr>
          <w:rFonts w:ascii="Arial" w:cs="Arial" w:eastAsia="Arial" w:hAnsi="Arial"/>
          <w:sz w:val="18"/>
          <w:szCs w:val="18"/>
          <w:u w:val="single" w:color="auto"/>
          <w:color w:val="auto"/>
        </w:rPr>
        <w:t>Exchange Ratio</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656"/>
        <w:spacing w:after="0" w:line="272" w:lineRule="auto"/>
        <w:tabs>
          <w:tab w:leader="none" w:pos="1353"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the conversion, exchange or exercise of Rights. In lieu of any fractional shares to which the holder would otherwise be entitled, the Company shall pay cash equal to such fraction multiplied by the then fair market value of one share of Common Stock, as determined in good faith by the Board of Directors. The Company shall, as soon as practicable thereafter, cause its transfer agent to issue and deliver at such office to such holder of Rights Certificates or to such holder’s nominee or nominees, a certificate or certificates for the number of shares of Common Stock to which such holder or such holder’s nominee shall be entitled as aforesaid, together with cash in lieu of any fraction of a share. The person or persons entitled to receive the shares of Common Stock issuable upon conversion, exchange or exercise of Rights shall be treated for all purposes as the record holder or holders of such shares of Common Stock on the Exercise Date.</w:t>
      </w:r>
    </w:p>
    <w:p>
      <w:pPr>
        <w:spacing w:after="0" w:line="177" w:lineRule="exact"/>
        <w:rPr>
          <w:rFonts w:ascii="Arial" w:cs="Arial" w:eastAsia="Arial" w:hAnsi="Arial"/>
          <w:sz w:val="17"/>
          <w:szCs w:val="17"/>
          <w:color w:val="auto"/>
        </w:rPr>
      </w:pPr>
    </w:p>
    <w:p>
      <w:pPr>
        <w:ind w:firstLine="656"/>
        <w:spacing w:after="0" w:line="286" w:lineRule="auto"/>
        <w:tabs>
          <w:tab w:leader="none" w:pos="1343"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Adjustment for Stock Splits, etc</w:t>
      </w:r>
      <w:r>
        <w:rPr>
          <w:rFonts w:ascii="Arial" w:cs="Arial" w:eastAsia="Arial" w:hAnsi="Arial"/>
          <w:sz w:val="16"/>
          <w:szCs w:val="16"/>
          <w:color w:val="auto"/>
        </w:rPr>
        <w:t>. In case of any subdivision (by stock split, stock dividend or otherwise) of the Common Stock, the Exchange Ratio shall be proportionately increased, and conversely in the case of combination of the Common Stock (by reverse stock split or otherwise), the Exchange Ratio shall be proportionately decreased, with such adjustment to the Exchange Ratio to be effective immediately after the opening of business on the day following the day which such subdivision or combination, as the case may be, becomes effective. In case of any reorganization, reclassification or change of shares of the Common Stock (other than a change in par value or from par value to no par value as a result of a subdivision or combination), or in the case of any consolidation of the Company with one or more corporations or a merger of the Company with another corporation (other than a consolidation or merger in which the Company is the resulting or surviving corporation and which does not result in any reclassification or change of outstanding shares of Common Stock), provision shall be made so that each holder of a Right shall have the right at any time thereafter as nearly as practicable, so long as the exercise or exchange rights hereunder with respect thereto would exist had such event not occurred, to exercise or exchange such Right into the kind and amount of shares of stock and other securities and properties (including cash) receivable upon such reorganization, reclassification, change, consolidation or merger by a holder of the number of shares of Common Stock into which the Rights might have been converted immediately prior to such reorganization, reclassification, change, consolidation or merger. In the event of such a reorganization, reclassification, change, consolidation or merger, effective provision shall be made in the certificate of incorporation of the resulting or surviving corporation or otherwise for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protection of the conversion, exercise or exchange rights of the holders of Rights that shall be applicable, as nearly as reasonably may be, to any such other shares of stock and other securities and property (including cash) deliverable upon exercise of the Rights that might have been issued immediately prior to such event.</w:t>
      </w:r>
    </w:p>
    <w:p>
      <w:pPr>
        <w:spacing w:after="0" w:line="181" w:lineRule="exact"/>
        <w:rPr>
          <w:sz w:val="20"/>
          <w:szCs w:val="20"/>
          <w:color w:val="auto"/>
        </w:rPr>
      </w:pPr>
    </w:p>
    <w:p>
      <w:pPr>
        <w:ind w:right="120" w:firstLine="656"/>
        <w:spacing w:after="0" w:line="264" w:lineRule="auto"/>
        <w:tabs>
          <w:tab w:leader="none" w:pos="135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In the event that the Company declares a dividend or other distribution in respect of its Common Stock (other than a dividend payable in shares of Common Stock), the holders of Rights hereunder shall be entitled to receive such dividend or distribution as if the Rights had been exercised or converted immediately prior to the record date for such dividend or distribution.</w:t>
      </w:r>
    </w:p>
    <w:p>
      <w:pPr>
        <w:sectPr>
          <w:pgSz w:w="11900" w:h="16838" w:orient="portrait"/>
          <w:cols w:equalWidth="0" w:num="1">
            <w:col w:w="11400"/>
          </w:cols>
          <w:pgMar w:left="240" w:top="341" w:right="259" w:bottom="0" w:gutter="0" w:footer="0" w:header="0"/>
        </w:sectPr>
      </w:pPr>
    </w:p>
    <w:bookmarkStart w:id="14" w:name="page15"/>
    <w:bookmarkEnd w:id="14"/>
    <w:p>
      <w:pPr>
        <w:ind w:right="220" w:firstLine="656"/>
        <w:spacing w:after="0" w:line="264" w:lineRule="auto"/>
        <w:tabs>
          <w:tab w:leader="none" w:pos="134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In the event that the Company liquidates, dissolves or winds-up, the holders of Rights hereunder shall be entitled to receive such proceeds, securities or other property as if the Rights had been exercised or converted immediately prior to the date on which such liquidation, dissolution or winding-up is to take place.</w:t>
      </w:r>
    </w:p>
    <w:p>
      <w:pPr>
        <w:spacing w:after="0" w:line="181" w:lineRule="exact"/>
        <w:rPr>
          <w:rFonts w:ascii="Arial" w:cs="Arial" w:eastAsia="Arial" w:hAnsi="Arial"/>
          <w:sz w:val="18"/>
          <w:szCs w:val="18"/>
          <w:color w:val="auto"/>
        </w:rPr>
      </w:pPr>
    </w:p>
    <w:p>
      <w:pPr>
        <w:ind w:right="160" w:firstLine="656"/>
        <w:spacing w:after="0" w:line="264" w:lineRule="auto"/>
        <w:tabs>
          <w:tab w:leader="none" w:pos="136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Rights Certificates Following Adjustments</w:t>
      </w:r>
      <w:r>
        <w:rPr>
          <w:rFonts w:ascii="Arial" w:cs="Arial" w:eastAsia="Arial" w:hAnsi="Arial"/>
          <w:sz w:val="18"/>
          <w:szCs w:val="18"/>
          <w:color w:val="auto"/>
        </w:rPr>
        <w:t>. Irrespective of any adjustments in the number or kind of shares issuable upon the exercise or conversion of the Rights, Rights theretofore or thereafter issued may continue to express the same number and kind of shares as are stated in the Rights Certificate initially issuable pursuant to this Agreement.</w:t>
      </w:r>
    </w:p>
    <w:p>
      <w:pPr>
        <w:spacing w:after="0" w:line="18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Payment of Taxes</w:t>
      </w:r>
      <w:r>
        <w:rPr>
          <w:rFonts w:ascii="Arial" w:cs="Arial" w:eastAsia="Arial" w:hAnsi="Arial"/>
          <w:sz w:val="16"/>
          <w:szCs w:val="16"/>
          <w:color w:val="auto"/>
        </w:rPr>
        <w:t>. The Company will pay all documentary stamp taxes and other governmental charges (excluding all foreign, federal or state income, franchise, property, estate, inheritance, gift or similar taxes) in connection with the issuance or delivery of the Rights hereunder, as well as all such taxes attributable to the initial issuance or delivery of Rights Shares upon the exercise or exchange of Rights. The Company shall not, however, be required to pay any tax that may be payable in respect of any subsequent transfer of the Rights or any transfer involved in the issuance and delivery of Rights Shares in a name other than that in which the Rights to which such issuance relates were registered, and, if any such tax would otherwise be payable by the Company, no such issuance or delivery shall be made unless and until the person requesting such issuance has paid to the Company the amount of any such tax, or it is established to the reasonable satisfaction of the Company that any such tax has been paid.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 Redemption</w:t>
      </w:r>
      <w:r>
        <w:rPr>
          <w:rFonts w:ascii="Arial" w:cs="Arial" w:eastAsia="Arial" w:hAnsi="Arial"/>
          <w:sz w:val="18"/>
          <w:szCs w:val="18"/>
          <w:color w:val="auto"/>
        </w:rPr>
        <w:t>. The Rights shall not be redeemable.</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Mutilated or Missing Rights Certificates</w:t>
      </w:r>
      <w:r>
        <w:rPr>
          <w:rFonts w:ascii="Arial" w:cs="Arial" w:eastAsia="Arial" w:hAnsi="Arial"/>
          <w:sz w:val="18"/>
          <w:szCs w:val="18"/>
          <w:color w:val="auto"/>
        </w:rPr>
        <w:t>. If a mutilated Rights Certificate is surrendered to the Company, or if the holder of a Rights Certificate claims and submits an affidavit or other evidence satisfactory to the Company to the effect that the Rights Certificate has been lost, destroyed or wrongfully taken, the Company shall issue a replacement Rights Certificate. If required by the Company, such holder must provide an indemnity bond, or other form of indemnity, sufficient in the judgment of the Company to protect the Company from any loss which it may suffer if a Rights Certificate is replaced. If Intel Capital or any other institutional holder (or nominee thereof) is the owner of any such lost, stolen or destroyed Rights Certificate, then the affidavit of an authorized officer of such owner, setting forth the fact of loss, theft or destruction and of its ownership of the Rights Certificate at the time of such loss, theft or destruction shall be accepted as satisfactory evidence thereof, and no further indemnity shall be required as a condition to the execution and delivery of a new Rights Certificate other than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unsecured written agreement of such owner to indemnify the Company from any loss which it may suffer if a Rights Certificate is replaced.</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Reservation of Rights Shares</w:t>
      </w:r>
      <w:r>
        <w:rPr>
          <w:rFonts w:ascii="Arial" w:cs="Arial" w:eastAsia="Arial" w:hAnsi="Arial"/>
          <w:sz w:val="17"/>
          <w:szCs w:val="17"/>
          <w:color w:val="auto"/>
        </w:rPr>
        <w:t>. The Company shall at all times reserve and keep available, free from preemptive rights, out of the aggregate of its authorized but unissued Common Stock, for the purpose of enabling it to satisfy any obligation to issue Rights Shares upon exercise or exchange of Rights, the maximum number of shares of Common Stock which may then be deliverable upon the exercise or exchange of all outstanding Rights. To the extent that the Rights Shares are listed on any national securities exchange, the Company shall use commercially reasonable efforts to cause all such securities issued or reserved for issuance to be listed on such exchange upon official notice of issuance.</w:t>
      </w:r>
    </w:p>
    <w:p>
      <w:pPr>
        <w:spacing w:after="0" w:line="17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Company or, if appointed, the transfer agent for the Common Stock and each transfer agent for any shares of the Company’s capital stock issuable upon the exercise or exchange of any of the Rights (collectively, the “</w:t>
      </w:r>
      <w:r>
        <w:rPr>
          <w:rFonts w:ascii="Arial" w:cs="Arial" w:eastAsia="Arial" w:hAnsi="Arial"/>
          <w:sz w:val="16"/>
          <w:szCs w:val="16"/>
          <w:u w:val="single" w:color="auto"/>
          <w:color w:val="auto"/>
        </w:rPr>
        <w:t>Transfer Agent</w:t>
      </w:r>
      <w:r>
        <w:rPr>
          <w:rFonts w:ascii="Arial" w:cs="Arial" w:eastAsia="Arial" w:hAnsi="Arial"/>
          <w:sz w:val="16"/>
          <w:szCs w:val="16"/>
          <w:color w:val="auto"/>
        </w:rPr>
        <w:t>”) will be irrevocably authorized and directed at all times to reserve such number of authorized shares as shall be required for such purpose. The Company shall keep a copy of this Agreement on file with any such Transfer Agent. The Company will supply any such Transfer Agent with duly executed certificates for such purposes and will provide or otherwise make available all other consideration that may be deliverable upon exercise or exchange of the Rights. The Company will furnish any such Transfer Agent a copy of all notices of adjustments and certificates related thereto, transmitted to each holder pursuant to Section 11 or Section 12 hereof.</w:t>
      </w:r>
    </w:p>
    <w:p>
      <w:pPr>
        <w:spacing w:after="0" w:line="16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Company covenants that all Rights Shares and other capital stock issued upon exercise of Rights will, upon issuance thereof, be validly authorized and issued, fully paid, nonassessable, free of preemptive rights and free, subject to Section 7 hereof, from all taxes, liens, charges and security interests with respect to the issue thereof.</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Notices to Rights Holders</w:t>
      </w:r>
      <w:r>
        <w:rPr>
          <w:rFonts w:ascii="Arial" w:cs="Arial" w:eastAsia="Arial" w:hAnsi="Arial"/>
          <w:sz w:val="16"/>
          <w:szCs w:val="16"/>
          <w:color w:val="auto"/>
        </w:rPr>
        <w:t>. Upon any event affecting the number of shares of Common Stock receivable upon exercise or exchange of Rights, the Company shall promptly thereafter give to each of the holders at its address appearing on the Rights Register written notice of such events and the effect thereof on the Rights and the Rights Shares in accordance with the provisions of this Section 11. Where appropriate, such notice may be given in advance and included as a part of the notice required to be mailed under the other provisions of this Section 11. The Company shall also provide notice to the holders of Rights of record dates or events with respect to which notice is given to other stockholders of the Company. Such notice shall be given at the same time as notice is given to other stockholders. The failure to give the notice required by this Section 11 or any defect therein shall not affect the legality or validity of any distribution, right, option, rights, consolidation, merger, conveyance, transfer, dissolution, liquidation or winding up or the vote on any action.</w:t>
      </w:r>
    </w:p>
    <w:p>
      <w:pPr>
        <w:spacing w:after="0" w:line="16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Nothing contained in this Agreement or in any Rights Certificate shall be construed as conferring upon the holders (prior to the exercise or exchange of such Rights) the right to vote, to consent or to receive notice as a stockholder in respect of the meetings of stockholders or the election of Directors of the Company or any other matter, or any rights whatsoever as stockholders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nothing in the foregoing provision is intended to detract from any rights explicitly granted to any holder hereunder.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Notices to the Company and Rights Holders</w:t>
      </w:r>
      <w:r>
        <w:rPr>
          <w:rFonts w:ascii="Arial" w:cs="Arial" w:eastAsia="Arial" w:hAnsi="Arial"/>
          <w:sz w:val="16"/>
          <w:szCs w:val="16"/>
          <w:color w:val="auto"/>
        </w:rPr>
        <w:t>. Except as may be otherwise provided herein, all notices, requests, waivers and other communications made pursuant to this Agreement shall be in writing and shall be delivered to the other party (a) in person; (b) by facsimile to the address and number set forth below, when promptly followed up by another of the delivery methods permitted by this Section 12; (c) by U.S. mail, registered or certified, return receipt requested, postage prepaid and addressed to the other party as set forth below; or (d) by a national-recognized overnight delivery service that keeps records of deliveries and attempted deliveries (such as FedEx), postage prepaid, addressed to the parties as set forth below with next-business-day delivery guaranteed, provided that the sending party receives a confirmation of delivery from the delivery service provider.</w:t>
      </w:r>
    </w:p>
    <w:p>
      <w:pPr>
        <w:spacing w:after="0" w:line="165" w:lineRule="exact"/>
        <w:rPr>
          <w:sz w:val="20"/>
          <w:szCs w:val="20"/>
          <w:color w:val="auto"/>
        </w:rPr>
      </w:pPr>
    </w:p>
    <w:p>
      <w:pPr>
        <w:ind w:left="1060"/>
        <w:spacing w:after="0"/>
        <w:tabs>
          <w:tab w:leader="none" w:pos="5360" w:val="left"/>
        </w:tabs>
        <w:rPr>
          <w:sz w:val="20"/>
          <w:szCs w:val="20"/>
          <w:color w:val="auto"/>
        </w:rPr>
      </w:pPr>
      <w:r>
        <w:rPr>
          <w:rFonts w:ascii="Arial" w:cs="Arial" w:eastAsia="Arial" w:hAnsi="Arial"/>
          <w:sz w:val="18"/>
          <w:szCs w:val="18"/>
          <w:color w:val="auto"/>
        </w:rPr>
        <w:t>To Intel Capital:</w:t>
      </w:r>
      <w:r>
        <w:rPr>
          <w:sz w:val="20"/>
          <w:szCs w:val="20"/>
          <w:color w:val="auto"/>
        </w:rPr>
        <w:tab/>
      </w:r>
      <w:r>
        <w:rPr>
          <w:rFonts w:ascii="Arial" w:cs="Arial" w:eastAsia="Arial" w:hAnsi="Arial"/>
          <w:sz w:val="16"/>
          <w:szCs w:val="16"/>
          <w:color w:val="auto"/>
        </w:rPr>
        <w:t>To the Company:</w:t>
      </w:r>
    </w:p>
    <w:p>
      <w:pPr>
        <w:sectPr>
          <w:pgSz w:w="11900" w:h="16838" w:orient="portrait"/>
          <w:cols w:equalWidth="0" w:num="1">
            <w:col w:w="11420"/>
          </w:cols>
          <w:pgMar w:left="240" w:top="341" w:right="239" w:bottom="0" w:gutter="0" w:footer="0" w:header="0"/>
        </w:sectPr>
      </w:pPr>
    </w:p>
    <w:bookmarkStart w:id="15" w:name="page16"/>
    <w:bookmarkEnd w:id="15"/>
    <w:p>
      <w:pPr>
        <w:ind w:left="1060"/>
        <w:spacing w:after="0"/>
        <w:rPr>
          <w:sz w:val="20"/>
          <w:szCs w:val="20"/>
          <w:color w:val="auto"/>
        </w:rPr>
      </w:pPr>
      <w:r>
        <w:rPr>
          <w:rFonts w:ascii="Arial" w:cs="Arial" w:eastAsia="Arial" w:hAnsi="Arial"/>
          <w:sz w:val="18"/>
          <w:szCs w:val="18"/>
          <w:color w:val="auto"/>
        </w:rPr>
        <w:t>Intel Capital Corporation</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 Intel Corporation</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Attn: Intel Capital Portfolio</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Manager</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2200 Mission College Blvd., M/S</w:t>
      </w:r>
    </w:p>
    <w:p>
      <w:pPr>
        <w:spacing w:after="0" w:line="3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RN6-46</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Santa Clara, California 95052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Roderic W. Lewis, Esq.</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Fax Number: (208) 368-4540</w:t>
      </w:r>
    </w:p>
    <w:p>
      <w:pPr>
        <w:spacing w:after="0" w:line="237" w:lineRule="exact"/>
        <w:rPr>
          <w:sz w:val="20"/>
          <w:szCs w:val="20"/>
          <w:color w:val="auto"/>
        </w:rPr>
      </w:pPr>
    </w:p>
    <w:p>
      <w:pPr>
        <w:sectPr>
          <w:pgSz w:w="11900" w:h="16838" w:orient="portrait"/>
          <w:cols w:equalWidth="0" w:num="2">
            <w:col w:w="4660" w:space="720"/>
            <w:col w:w="6020"/>
          </w:cols>
          <w:pgMar w:left="240" w:top="341" w:right="259" w:bottom="0" w:gutter="0" w:footer="0" w:header="0"/>
        </w:sectPr>
      </w:pPr>
    </w:p>
    <w:p>
      <w:pPr>
        <w:spacing w:after="0" w:line="11"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Fax Number: (408) 765-6038</w:t>
      </w:r>
    </w:p>
    <w:p>
      <w:pPr>
        <w:sectPr>
          <w:pgSz w:w="11900" w:h="16838" w:orient="portrait"/>
          <w:cols w:equalWidth="0" w:num="1">
            <w:col w:w="11400"/>
          </w:cols>
          <w:pgMar w:left="240" w:top="341" w:right="259" w:bottom="0" w:gutter="0" w:footer="0" w:header="0"/>
          <w:type w:val="continuous"/>
        </w:sectPr>
      </w:pPr>
    </w:p>
    <w:p>
      <w:pPr>
        <w:spacing w:after="0" w:line="248"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with copies by e-mail 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00" w:lineRule="exact"/>
        <w:rPr>
          <w:sz w:val="20"/>
          <w:szCs w:val="20"/>
          <w:color w:val="auto"/>
        </w:rPr>
      </w:pPr>
    </w:p>
    <w:p>
      <w:pPr>
        <w:sectPr>
          <w:pgSz w:w="11900" w:h="16838" w:orient="portrait"/>
          <w:cols w:equalWidth="0" w:num="2">
            <w:col w:w="4660" w:space="720"/>
            <w:col w:w="6020"/>
          </w:cols>
          <w:pgMar w:left="240" w:top="341" w:right="259" w:bottom="0" w:gutter="0" w:footer="0" w:header="0"/>
          <w:type w:val="continuous"/>
        </w:sectPr>
      </w:pPr>
    </w:p>
    <w:p>
      <w:pPr>
        <w:spacing w:after="0" w:line="48"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portfolio.manager@intel.com</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Wilson Sonsini Goodrich &amp;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Rosati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Palo Alto, California 94304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Attn: John A. Fore, Esq.</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Fax Number: (650) 493-6811</w:t>
      </w:r>
    </w:p>
    <w:p>
      <w:pPr>
        <w:spacing w:after="0" w:line="200" w:lineRule="exact"/>
        <w:rPr>
          <w:sz w:val="20"/>
          <w:szCs w:val="20"/>
          <w:color w:val="auto"/>
        </w:rPr>
      </w:pPr>
    </w:p>
    <w:p>
      <w:pPr>
        <w:sectPr>
          <w:pgSz w:w="11900" w:h="16838" w:orient="portrait"/>
          <w:cols w:equalWidth="0" w:num="2">
            <w:col w:w="4660" w:space="720"/>
            <w:col w:w="6020"/>
          </w:cols>
          <w:pgMar w:left="240" w:top="341" w:right="259" w:bottom="0" w:gutter="0" w:footer="0" w:header="0"/>
          <w:type w:val="continuous"/>
        </w:sectPr>
      </w:pPr>
    </w:p>
    <w:p>
      <w:pPr>
        <w:spacing w:after="0" w:line="3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 party may change or supplement the addresses given above, or designate additional addresses, for purposes of this Section 12 by giving the other party written notice of the new address in the manner set forth above.</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shall bind and inure to the benefit of its respective successors and assigns hereunder.</w:t>
      </w:r>
    </w:p>
    <w:p>
      <w:pPr>
        <w:spacing w:after="0" w:line="170" w:lineRule="exact"/>
        <w:rPr>
          <w:sz w:val="20"/>
          <w:szCs w:val="20"/>
          <w:color w:val="auto"/>
        </w:rPr>
      </w:pPr>
    </w:p>
    <w:p>
      <w:pPr>
        <w:ind w:right="640" w:firstLine="648"/>
        <w:spacing w:after="0" w:line="302"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shall terminate on the date on which no Rights remain outstanding;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notwithstanding any prior termination of this Agreement pursuant to this Section 14, if Additional Adjustment Rights are issued to Intel Capital or its Affiliates, this Agreement shall become effective as of the date of the issuance of such Additional Adjustment Rights with respect to such Additional Adjustment Rights, and this Agreement shall terminate on the date on which no Additional Adjustment Rights remain outstanding.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in all respects by and construed in accordance with the laws of the State of Delaware without regard to provisions regarding choice of laws.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Benefits of This Agreement; No Impairment</w:t>
      </w:r>
      <w:r>
        <w:rPr>
          <w:rFonts w:ascii="Arial" w:cs="Arial" w:eastAsia="Arial" w:hAnsi="Arial"/>
          <w:sz w:val="18"/>
          <w:szCs w:val="18"/>
          <w:color w:val="auto"/>
        </w:rPr>
        <w:t>. Nothing in this Agreement shall be construed to give to any person or corporation other than the Company and the holders any legal or equitable right, remedy or claim under this Agreement; but this Agreement shall be for the sole and exclusive benefit of the Company and the holders. The Company shall not take any action which would have the effect of materially impairing the rights, privileges and preferences of the holders of the Rights set forth herein.</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each of such counterparts shall for all purposes be deemed to be an original, and all such counterparts shall together constitute but one and the same instrument.</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No provision of this Agreement may be amended or waived except by an instrument in writing signed by the party sought to be bound;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amendment or waiver sought from the holders of any provision of this Agreement which affects holders generally shall be given by holders of at least a majority of the Rights outstanding (or, in the case of amendments or waivers affecting holders of Rights Shares generally, by holders of at least a majority of the Rights and Rights Shares, taken as one class, with each Right and each Rights Share representing the right to one vote). Any amendment or waiver so given shall be binding on all holders. No failure or delay by any party in exercising any right or remedy hereunder shall operate as a waiver thereof, and a waiver of a particular right or remedy on one occasion shall not be deemed a waiver of any other right or remedy or a waiver of the same right or remedy on any subsequent occasion.</w:t>
      </w:r>
    </w:p>
    <w:p>
      <w:pPr>
        <w:spacing w:after="0" w:line="17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Legal Fees</w:t>
      </w:r>
      <w:r>
        <w:rPr>
          <w:rFonts w:ascii="Arial" w:cs="Arial" w:eastAsia="Arial" w:hAnsi="Arial"/>
          <w:sz w:val="18"/>
          <w:szCs w:val="18"/>
          <w:color w:val="auto"/>
        </w:rPr>
        <w:t>. In the event of any action at law, suit in equity or arbitration proceeding in relation to this Agreement or any units or securities of the Company issued or to be issued, the prevailing party, shall be paid by the other party a reasonable sum for attorney’s fees and expenses for such prevailing party.</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Dispute Resolution</w:t>
      </w:r>
      <w:r>
        <w:rPr>
          <w:rFonts w:ascii="Arial" w:cs="Arial" w:eastAsia="Arial" w:hAnsi="Arial"/>
          <w:sz w:val="17"/>
          <w:szCs w:val="17"/>
          <w:color w:val="auto"/>
        </w:rPr>
        <w:t>. The parties agree to negotiate in good faith to resolve any dispute between them regarding this Agreement. If the negotiations do not resolve the dispute to the reasonable satisfaction of both parties, then each party shall nominate one senior officer of the rank of Vice President or higher as its representative. These representatives shall, within thirty (30) days of a written request by either party to call such a meeting, meet in person and alone (except for one assistant for each party) and shall attempt in good faith to resolve the dispute. If the disputes cannot be resolved by such senior managers in such meeting, the parties agree that they shall, if requested in writing by either party, meet within thirty (30) days after such written notification for one day with an impartial mediator and consider dispute resolution alternatives other than litigation. If an alternative method of dispute resolution is not agreed upon within thirty (30) days after the one day mediation, either party may begin litigation proceedings. This procedure shall be a prerequisite before taking any additional action hereunder.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Agreement the following terms shall have the meanings set forth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Qualified Subsidiary</w:t>
      </w:r>
      <w:r>
        <w:rPr>
          <w:rFonts w:ascii="Arial" w:cs="Arial" w:eastAsia="Arial" w:hAnsi="Arial"/>
          <w:sz w:val="18"/>
          <w:szCs w:val="18"/>
          <w:color w:val="auto"/>
        </w:rPr>
        <w:t>. Qualified Subsidiary shall have the meaning ascribed to such term in the Rights and Restrictions Agreement.</w:t>
      </w:r>
    </w:p>
    <w:p>
      <w:pPr>
        <w:sectPr>
          <w:pgSz w:w="11900" w:h="16838" w:orient="portrait"/>
          <w:cols w:equalWidth="0" w:num="1">
            <w:col w:w="11400"/>
          </w:cols>
          <w:pgMar w:left="240" w:top="341" w:right="259" w:bottom="0" w:gutter="0" w:footer="0" w:header="0"/>
          <w:type w:val="continuous"/>
        </w:sectPr>
      </w:pPr>
    </w:p>
    <w:bookmarkStart w:id="16" w:name="page17"/>
    <w:bookmarkEnd w:id="16"/>
    <w:p>
      <w:pPr>
        <w:ind w:right="180" w:firstLine="648"/>
        <w:spacing w:after="0" w:line="277" w:lineRule="auto"/>
        <w:rPr>
          <w:sz w:val="20"/>
          <w:szCs w:val="20"/>
          <w:color w:val="auto"/>
        </w:rPr>
      </w:pPr>
      <w:r>
        <w:rPr>
          <w:rFonts w:ascii="Arial" w:cs="Arial" w:eastAsia="Arial" w:hAnsi="Arial"/>
          <w:sz w:val="18"/>
          <w:szCs w:val="18"/>
          <w:u w:val="single" w:color="auto"/>
          <w:color w:val="auto"/>
        </w:rPr>
        <w:t>Securities Purchase Agreement</w:t>
      </w:r>
      <w:r>
        <w:rPr>
          <w:rFonts w:ascii="Arial" w:cs="Arial" w:eastAsia="Arial" w:hAnsi="Arial"/>
          <w:sz w:val="18"/>
          <w:szCs w:val="18"/>
          <w:color w:val="auto"/>
        </w:rPr>
        <w:t>. Securities Purchase Agreement shall mean that certain Securities Purchase Agreement, dated September 24, 2003, as amended from time to time, by and between the Company and Intel Capital.</w:t>
      </w:r>
    </w:p>
    <w:p>
      <w:pPr>
        <w:spacing w:after="0" w:line="170" w:lineRule="exact"/>
        <w:rPr>
          <w:sz w:val="20"/>
          <w:szCs w:val="20"/>
          <w:color w:val="auto"/>
        </w:rPr>
      </w:pPr>
    </w:p>
    <w:p>
      <w:pPr>
        <w:ind w:right="840" w:firstLine="648"/>
        <w:spacing w:after="0" w:line="342" w:lineRule="auto"/>
        <w:rPr>
          <w:sz w:val="20"/>
          <w:szCs w:val="20"/>
          <w:color w:val="auto"/>
        </w:rPr>
      </w:pPr>
      <w:r>
        <w:rPr>
          <w:rFonts w:ascii="Arial" w:cs="Arial" w:eastAsia="Arial" w:hAnsi="Arial"/>
          <w:sz w:val="16"/>
          <w:szCs w:val="16"/>
          <w:u w:val="single" w:color="auto"/>
          <w:color w:val="auto"/>
        </w:rPr>
        <w:t>Securities Rights and Restrictions Agreement</w:t>
      </w:r>
      <w:r>
        <w:rPr>
          <w:rFonts w:ascii="Arial" w:cs="Arial" w:eastAsia="Arial" w:hAnsi="Arial"/>
          <w:sz w:val="16"/>
          <w:szCs w:val="16"/>
          <w:color w:val="auto"/>
        </w:rPr>
        <w:t>. Securities Rights and Restrictions Agreement shall mean that certain Securities Rights and Restrictions Agreement, dated as of September 24, 2003, as amended from time to time, by and between the Company and Intel Capital.</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hereto have caused this Agreement to be duly executed as of the day and year first above written.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INTEL CAPITAL CORPORATION</w:t>
            </w:r>
          </w:p>
        </w:tc>
        <w:tc>
          <w:tcPr>
            <w:tcW w:w="2360" w:type="dxa"/>
            <w:vAlign w:val="bottom"/>
          </w:tcPr>
          <w:p>
            <w:pPr>
              <w:spacing w:after="0"/>
              <w:rPr>
                <w:sz w:val="20"/>
                <w:szCs w:val="20"/>
                <w:color w:val="auto"/>
              </w:rPr>
            </w:pPr>
          </w:p>
        </w:tc>
        <w:tc>
          <w:tcPr>
            <w:tcW w:w="5560" w:type="dxa"/>
            <w:vAlign w:val="bottom"/>
            <w:gridSpan w:val="2"/>
          </w:tcPr>
          <w:p>
            <w:pPr>
              <w:ind w:left="20"/>
              <w:spacing w:after="0"/>
              <w:rPr>
                <w:sz w:val="20"/>
                <w:szCs w:val="20"/>
                <w:color w:val="auto"/>
              </w:rPr>
            </w:pPr>
            <w:r>
              <w:rPr>
                <w:rFonts w:ascii="Arial" w:cs="Arial" w:eastAsia="Arial" w:hAnsi="Arial"/>
                <w:sz w:val="18"/>
                <w:szCs w:val="18"/>
                <w:b w:val="1"/>
                <w:bCs w:val="1"/>
                <w:color w:val="auto"/>
              </w:rPr>
              <w:t>MICRON TECHNOLOGY, INC.</w:t>
            </w:r>
          </w:p>
        </w:tc>
        <w:tc>
          <w:tcPr>
            <w:tcW w:w="20" w:type="dxa"/>
            <w:vAlign w:val="bottom"/>
          </w:tcPr>
          <w:p>
            <w:pPr>
              <w:spacing w:after="0"/>
              <w:rPr>
                <w:sz w:val="20"/>
                <w:szCs w:val="20"/>
                <w:color w:val="auto"/>
              </w:rPr>
            </w:pPr>
          </w:p>
        </w:tc>
      </w:tr>
      <w:tr>
        <w:trPr>
          <w:trHeight w:val="648"/>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By:    /s/ Arvind Sodhani</w:t>
            </w:r>
          </w:p>
        </w:tc>
        <w:tc>
          <w:tcPr>
            <w:tcW w:w="236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Arial" w:cs="Arial" w:eastAsia="Arial" w:hAnsi="Arial"/>
                <w:sz w:val="18"/>
                <w:szCs w:val="18"/>
                <w:color w:val="auto"/>
              </w:rPr>
              <w:t>By:    /s/ W.G. Stover, Jr.</w:t>
            </w:r>
          </w:p>
        </w:tc>
        <w:tc>
          <w:tcPr>
            <w:tcW w:w="20" w:type="dxa"/>
            <w:vAlign w:val="bottom"/>
          </w:tcPr>
          <w:p>
            <w:pPr>
              <w:spacing w:after="0"/>
              <w:rPr>
                <w:sz w:val="24"/>
                <w:szCs w:val="24"/>
                <w:color w:val="auto"/>
              </w:rPr>
            </w:pPr>
          </w:p>
        </w:tc>
      </w:tr>
      <w:tr>
        <w:trPr>
          <w:trHeight w:val="195"/>
        </w:trPr>
        <w:tc>
          <w:tcPr>
            <w:tcW w:w="42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Arvind Sodhani</w:t>
            </w:r>
          </w:p>
        </w:tc>
        <w:tc>
          <w:tcPr>
            <w:tcW w:w="236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W.G. Stover, Jr.</w:t>
            </w:r>
          </w:p>
        </w:tc>
        <w:tc>
          <w:tcPr>
            <w:tcW w:w="20" w:type="dxa"/>
            <w:vAlign w:val="bottom"/>
          </w:tcPr>
          <w:p>
            <w:pPr>
              <w:spacing w:after="0"/>
              <w:rPr>
                <w:sz w:val="16"/>
                <w:szCs w:val="16"/>
                <w:color w:val="auto"/>
              </w:rPr>
            </w:pPr>
          </w:p>
        </w:tc>
      </w:tr>
      <w:tr>
        <w:trPr>
          <w:trHeight w:val="216"/>
        </w:trPr>
        <w:tc>
          <w:tcPr>
            <w:tcW w:w="4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Title: Vice President and Treasurer</w:t>
            </w:r>
          </w:p>
        </w:tc>
        <w:tc>
          <w:tcPr>
            <w:tcW w:w="2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Vice President of Finance and</w:t>
            </w:r>
          </w:p>
        </w:tc>
        <w:tc>
          <w:tcPr>
            <w:tcW w:w="2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140" w:type="dxa"/>
            <w:vAlign w:val="bottom"/>
          </w:tcPr>
          <w:p>
            <w:pPr>
              <w:ind w:left="560"/>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648"/>
        </w:trPr>
        <w:tc>
          <w:tcPr>
            <w:tcW w:w="4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920" w:type="dxa"/>
            <w:vAlign w:val="bottom"/>
            <w:gridSpan w:val="3"/>
          </w:tcPr>
          <w:p>
            <w:pPr>
              <w:jc w:val="center"/>
              <w:ind w:right="3410"/>
              <w:spacing w:after="0"/>
              <w:rPr>
                <w:sz w:val="20"/>
                <w:szCs w:val="20"/>
                <w:color w:val="auto"/>
              </w:rPr>
            </w:pPr>
            <w:r>
              <w:rPr>
                <w:rFonts w:ascii="Arial" w:cs="Arial" w:eastAsia="Arial" w:hAnsi="Arial"/>
                <w:sz w:val="18"/>
                <w:szCs w:val="18"/>
                <w:color w:val="auto"/>
                <w:w w:val="91"/>
              </w:rPr>
              <w:t>{Signature Page to Stock Rights Agreement}</w:t>
            </w:r>
          </w:p>
        </w:tc>
        <w:tc>
          <w:tcPr>
            <w:tcW w:w="20" w:type="dxa"/>
            <w:vAlign w:val="bottom"/>
          </w:tcPr>
          <w:p>
            <w:pPr>
              <w:spacing w:after="0"/>
              <w:rPr>
                <w:sz w:val="24"/>
                <w:szCs w:val="24"/>
                <w:color w:val="auto"/>
              </w:rPr>
            </w:pPr>
          </w:p>
        </w:tc>
      </w:tr>
      <w:tr>
        <w:trPr>
          <w:trHeight w:val="432"/>
        </w:trPr>
        <w:tc>
          <w:tcPr>
            <w:tcW w:w="4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420" w:type="dxa"/>
            <w:vAlign w:val="bottom"/>
            <w:tcBorders>
              <w:bottom w:val="single" w:sz="8" w:color="808080"/>
            </w:tcBorders>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of Rights Certificate]</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SECURITIES REPRESENTED BY THIS CERTIFICATE HAVE BEEN ACQUIRED FOR INVESTMENT AND HAVE NOT BEEN REGISTERED UNDER THE SECURITIES ACT OF 1933. SUCH SECURITIES MAY NOT BE SOLD OR TRANSFERRED IN THE ABSENCE OF SUCH REGISTRATION OR AN OPINION OF COUNSEL SATISFACTORY TO THE ISSUER AS TO THE AVAILABILITY OF AN EXEMPTION FROM REGISTRATION. THE SECURITIES REPRESENTED BY THIS INSTRUMENT ARE SUBJECT TO RESTRICTIONS ON TRANSFER, INCLUDING ANY SALE, PLEDGE OR OTHER HYPOTHECATION, SET FORTH IN AN AGREEMENT BETWEEN THE ISSUER AND INTEL CORPORATION, A COPY OF WHICH AGREEMENT MAY BE OBTAINED AT NO COST BY WRITTEN REQUEST MADE BY THE HOLDER OF RECORD OF THIS INSTRUMENT TO THE SECRETARY OF THE COMPANY AT ITS PRINCIPAL EXECUTIVE OFFICES.</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10060" w:val="left"/>
        </w:tabs>
        <w:rPr>
          <w:sz w:val="20"/>
          <w:szCs w:val="20"/>
          <w:color w:val="auto"/>
        </w:rPr>
      </w:pPr>
      <w:r>
        <w:rPr>
          <w:rFonts w:ascii="Arial" w:cs="Arial" w:eastAsia="Arial" w:hAnsi="Arial"/>
          <w:sz w:val="18"/>
          <w:szCs w:val="18"/>
          <w:color w:val="auto"/>
        </w:rPr>
        <w:t>No. R1</w:t>
      </w:r>
      <w:r>
        <w:rPr>
          <w:sz w:val="20"/>
          <w:szCs w:val="20"/>
          <w:color w:val="auto"/>
        </w:rPr>
        <w:tab/>
      </w:r>
      <w:r>
        <w:rPr>
          <w:rFonts w:ascii="Arial" w:cs="Arial" w:eastAsia="Arial" w:hAnsi="Arial"/>
          <w:sz w:val="16"/>
          <w:szCs w:val="16"/>
          <w:color w:val="auto"/>
        </w:rPr>
        <w:t>33,860,045 Rights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RIGHTS CERTIFICATE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Rights Certificate certifies that Intel Capital Corporation, or registered assigns, is the registered holder of the number of Rights (the “</w:t>
      </w:r>
      <w:r>
        <w:rPr>
          <w:rFonts w:ascii="Arial" w:cs="Arial" w:eastAsia="Arial" w:hAnsi="Arial"/>
          <w:sz w:val="16"/>
          <w:szCs w:val="16"/>
          <w:u w:val="single" w:color="auto"/>
          <w:color w:val="auto"/>
        </w:rPr>
        <w:t>Rights</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set forth above to receive Common Stock, $.10 par value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of Micron Technology, Inc., a Delaware corporation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Each Right entitles the holder upon exercise or exchange to receive from the Company one fully paid and nonassessable share (subject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adjustment as provided in the Rights Agreement referred to below) of Common Stock (a </w:t>
      </w:r>
      <w:r>
        <w:rPr>
          <w:rFonts w:ascii="Arial" w:cs="Arial" w:eastAsia="Arial" w:hAnsi="Arial"/>
          <w:sz w:val="17"/>
          <w:szCs w:val="17"/>
          <w:u w:val="single" w:color="auto"/>
          <w:color w:val="auto"/>
        </w:rPr>
        <w:t>“Rights Share</w:t>
      </w:r>
      <w:r>
        <w:rPr>
          <w:rFonts w:ascii="Arial" w:cs="Arial" w:eastAsia="Arial" w:hAnsi="Arial"/>
          <w:sz w:val="17"/>
          <w:szCs w:val="17"/>
          <w:color w:val="auto"/>
        </w:rPr>
        <w:t>”), upon surrender of this Rights Certificate at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office of the Company designated for such purpose, but only subject to the conditions set forth herein and in the Rights Agreement referred to below.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number of Rights Shares issuable upon exercise or exchange of the Rights are subject to adjustment upon the occurrence of certain events, as set forth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Agreement. The Rights are exercisable or exchangeable at any time prior to 5:00 p.m., California time, on December 31, 2063.</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The Rights evidenced by this Rights Certificate are part of a duly authorized issue of Rights, and are issued or to be issued pursuant to a Rights Agreement dated as of September 24, 2003 (the </w:t>
      </w:r>
      <w:r>
        <w:rPr>
          <w:rFonts w:ascii="Arial" w:cs="Arial" w:eastAsia="Arial" w:hAnsi="Arial"/>
          <w:sz w:val="18"/>
          <w:szCs w:val="18"/>
          <w:u w:val="single" w:color="auto"/>
          <w:color w:val="auto"/>
        </w:rPr>
        <w:t>“Rights Agreement</w:t>
      </w:r>
      <w:r>
        <w:rPr>
          <w:rFonts w:ascii="Arial" w:cs="Arial" w:eastAsia="Arial" w:hAnsi="Arial"/>
          <w:sz w:val="18"/>
          <w:szCs w:val="18"/>
          <w:color w:val="auto"/>
        </w:rPr>
        <w:t>”), duly executed and delivered by the Company, which Rights Agreement is hereby incorporated by reference in and made a part of this instrument and is hereby referred to for a description of the rights, limitation of rights, obligations, duties and immunities thereunder of the Company and the holders (the words “</w:t>
      </w:r>
      <w:r>
        <w:rPr>
          <w:rFonts w:ascii="Arial" w:cs="Arial" w:eastAsia="Arial" w:hAnsi="Arial"/>
          <w:sz w:val="18"/>
          <w:szCs w:val="18"/>
          <w:u w:val="single" w:color="auto"/>
          <w:color w:val="auto"/>
        </w:rPr>
        <w:t>holders</w:t>
      </w:r>
      <w:r>
        <w:rPr>
          <w:rFonts w:ascii="Arial" w:cs="Arial" w:eastAsia="Arial" w:hAnsi="Arial"/>
          <w:sz w:val="18"/>
          <w:szCs w:val="18"/>
          <w:color w:val="auto"/>
        </w:rPr>
        <w:t>” or “</w:t>
      </w:r>
      <w:r>
        <w:rPr>
          <w:rFonts w:ascii="Arial" w:cs="Arial" w:eastAsia="Arial" w:hAnsi="Arial"/>
          <w:sz w:val="18"/>
          <w:szCs w:val="18"/>
          <w:u w:val="single" w:color="auto"/>
          <w:color w:val="auto"/>
        </w:rPr>
        <w:t>holder</w:t>
      </w:r>
      <w:r>
        <w:rPr>
          <w:rFonts w:ascii="Arial" w:cs="Arial" w:eastAsia="Arial" w:hAnsi="Arial"/>
          <w:sz w:val="18"/>
          <w:szCs w:val="18"/>
          <w:color w:val="auto"/>
        </w:rPr>
        <w:t>” meaning the registered holders or registered holder) of the Rights. Capitalized terms used herein and not defined shall have the meanings ascribed to them in the Rights Agreement. A copy of the Rights Agreement may be obtained by the holder hereof upon written request to the Company.</w:t>
      </w:r>
    </w:p>
    <w:p>
      <w:pPr>
        <w:spacing w:after="0" w:line="19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holder of Rights evidenced by this Rights Certificate may convert, exercise or exchange such Rights under and pursuant to the terms and conditions of the Rights Agreement by surrendering this Rights Certificate, with the form of notice of exercise properly completed and executed at the office of the Company designated for such purpose. Notwithstanding the above, Rights may not be converted, exercised or exchanged for Common Stock unless and until the holder shall submit to the Company either evidence of compliance with the filing requirements of the HSR Act or a certificate of an officer of the holder to the effect that the acquisition of Common Stock upon exercise of the Rights does not require any filing under the HSR Act.</w:t>
      </w:r>
    </w:p>
    <w:p>
      <w:pPr>
        <w:spacing w:after="0" w:line="173"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If upon any exercise of Rights evidenced hereby the number of Rights exercised shall be less than the total number of Rights evidenced hereby, the Company shall issue to the holder hereof or its registered assignee a new Rights Certificate evidencing the number of Rights not exercised.</w:t>
      </w:r>
    </w:p>
    <w:p>
      <w:pPr>
        <w:sectPr>
          <w:pgSz w:w="11900" w:h="16838" w:orient="portrait"/>
          <w:cols w:equalWidth="0" w:num="1">
            <w:col w:w="11440"/>
          </w:cols>
          <w:pgMar w:left="240" w:top="341" w:right="219" w:bottom="0" w:gutter="0" w:footer="0" w:header="0"/>
        </w:sectPr>
      </w:pPr>
    </w:p>
    <w:bookmarkStart w:id="17" w:name="page18"/>
    <w:bookmarkEnd w:id="17"/>
    <w:p>
      <w:pPr>
        <w:ind w:right="80" w:firstLine="648"/>
        <w:spacing w:after="0" w:line="277" w:lineRule="auto"/>
        <w:rPr>
          <w:sz w:val="20"/>
          <w:szCs w:val="20"/>
          <w:color w:val="auto"/>
        </w:rPr>
      </w:pPr>
      <w:r>
        <w:rPr>
          <w:rFonts w:ascii="Arial" w:cs="Arial" w:eastAsia="Arial" w:hAnsi="Arial"/>
          <w:sz w:val="18"/>
          <w:szCs w:val="18"/>
          <w:color w:val="auto"/>
        </w:rPr>
        <w:t>Upon the transfer by any holder of a Right to a person or entity who is not a Permitted Transferee, then such Right shall automatically be exchanged or converted for shares of Common Stock at the then effective Exchange Ratio.</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Rights Agreement provides that upon the occurrence of certain events the number of Rights Shares issuable upon exercise or exchange of the Rights set forth on the face hereof may, subject to certain conditions, be adjusted.</w:t>
      </w:r>
    </w:p>
    <w:p>
      <w:pPr>
        <w:spacing w:after="0" w:line="17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holder hereof will have certain registration rights and other rights and obligations with respect to the Rights Shares as provided in the Securities Rights and Restrictions Agreement, dated as of September 24, 2003, by and between the Company and the persons party thereto (the “</w:t>
      </w:r>
      <w:r>
        <w:rPr>
          <w:rFonts w:ascii="Arial" w:cs="Arial" w:eastAsia="Arial" w:hAnsi="Arial"/>
          <w:sz w:val="16"/>
          <w:szCs w:val="16"/>
          <w:u w:val="single" w:color="auto"/>
          <w:color w:val="auto"/>
        </w:rPr>
        <w:t>Rights and Restrictions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Copies of the Rights and Restrictions Agreement may be obtained by the holder hereof upon written request to the Company.</w:t>
      </w:r>
    </w:p>
    <w:p>
      <w:pPr>
        <w:spacing w:after="0" w:line="147"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Rights Certificates, when surrendered at the office of the Company by the registered holder thereof in person or by a legal representative or attorney duly authorized in writing, may be exchanged, in the manner and subject to the limitations provided in the Rights Agreement, but without payment of any service charge, for another Rights Certificate or Rights Certificates of like tenor and evidencing in the aggregate a like number of Rights.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Subject to the terms and conditions of the Rights Agreement, upon due presentation for registration of transfer of this Rights Certificate at the office of the Company, a new Rights Certificate or Rights Certificates of like tenor and evidencing in the aggregate a like number of Rights shall be issued to the transferee(s) in exchange for this Rights Certificate, subject to the limitations provided in the Agreement, without charge except for any tax or other governmental charge imposed in connection therewith.</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Company may deem and treat the registered holder(s) hereof as the absolute owner(s) of this Rights Certificate (notwithstanding any notation of ownership or other writing hereon made by anyone), for the purpose of any exercise hereof and of any distribution to the holder hereof, and for all other purposes, and the Company shall not be affected by any notice to the contrary. Neither the Rights nor this Rights Certificate entitles any holder hereof to any rights of a stockholder of the Company, except as specifically provided in the Rights Agreement with respect to dividends and distributions to stockholders.</w:t>
      </w:r>
    </w:p>
    <w:p>
      <w:pPr>
        <w:spacing w:after="0" w:line="15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WITNESS WHEREOF, Micron Technology, Inc. has caused this Rights Certificate to be signed by its Chairman of the Board, Chief Executive Officer, President or a Vice President and by its Secretary or an Assistant Secretary and has caused its corporate seal to be affixed hereunto or imprinted hereon.</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Dated: September 24, 2003</w:t>
            </w:r>
          </w:p>
        </w:tc>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432"/>
        </w:trPr>
        <w:tc>
          <w:tcPr>
            <w:tcW w:w="9940" w:type="dxa"/>
            <w:vAlign w:val="bottom"/>
            <w:gridSpan w:val="3"/>
          </w:tcPr>
          <w:p>
            <w:pPr>
              <w:ind w:left="5120"/>
              <w:spacing w:after="0"/>
              <w:rPr>
                <w:sz w:val="20"/>
                <w:szCs w:val="20"/>
                <w:color w:val="auto"/>
              </w:rPr>
            </w:pPr>
            <w:r>
              <w:rPr>
                <w:rFonts w:ascii="Arial" w:cs="Arial" w:eastAsia="Arial" w:hAnsi="Arial"/>
                <w:sz w:val="18"/>
                <w:szCs w:val="18"/>
                <w:color w:val="auto"/>
              </w:rPr>
              <w:t>MICRON TECHNOLOGY, INC.</w:t>
            </w:r>
          </w:p>
        </w:tc>
      </w:tr>
      <w:tr>
        <w:trPr>
          <w:trHeight w:val="432"/>
        </w:trPr>
        <w:tc>
          <w:tcPr>
            <w:tcW w:w="5860" w:type="dxa"/>
            <w:vAlign w:val="bottom"/>
          </w:tcPr>
          <w:p>
            <w:pPr>
              <w:ind w:left="512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r>
        <w:trPr>
          <w:trHeight w:val="210"/>
        </w:trPr>
        <w:tc>
          <w:tcPr>
            <w:tcW w:w="5860" w:type="dxa"/>
            <w:vAlign w:val="bottom"/>
          </w:tcPr>
          <w:p>
            <w:pPr>
              <w:ind w:left="5120"/>
              <w:spacing w:after="0"/>
              <w:rPr>
                <w:sz w:val="20"/>
                <w:szCs w:val="20"/>
                <w:color w:val="auto"/>
              </w:rPr>
            </w:pPr>
            <w:r>
              <w:rPr>
                <w:rFonts w:ascii="Arial" w:cs="Arial" w:eastAsia="Arial" w:hAnsi="Arial"/>
                <w:sz w:val="18"/>
                <w:szCs w:val="18"/>
                <w:color w:val="auto"/>
              </w:rPr>
              <w:t>Name:</w:t>
            </w:r>
          </w:p>
        </w:tc>
        <w:tc>
          <w:tcPr>
            <w:tcW w:w="2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Steven R. Appleton</w:t>
            </w:r>
          </w:p>
        </w:tc>
      </w:tr>
      <w:tr>
        <w:trPr>
          <w:trHeight w:val="210"/>
        </w:trPr>
        <w:tc>
          <w:tcPr>
            <w:tcW w:w="5860" w:type="dxa"/>
            <w:vAlign w:val="bottom"/>
          </w:tcPr>
          <w:p>
            <w:pPr>
              <w:ind w:left="5120"/>
              <w:spacing w:after="0"/>
              <w:rPr>
                <w:sz w:val="20"/>
                <w:szCs w:val="20"/>
                <w:color w:val="auto"/>
              </w:rPr>
            </w:pPr>
            <w:r>
              <w:rPr>
                <w:rFonts w:ascii="Arial" w:cs="Arial" w:eastAsia="Arial" w:hAnsi="Arial"/>
                <w:sz w:val="18"/>
                <w:szCs w:val="18"/>
                <w:color w:val="auto"/>
              </w:rPr>
              <w:t>Title:</w:t>
            </w:r>
          </w:p>
        </w:tc>
        <w:tc>
          <w:tcPr>
            <w:tcW w:w="4080" w:type="dxa"/>
            <w:vAlign w:val="bottom"/>
            <w:gridSpan w:val="2"/>
          </w:tcPr>
          <w:p>
            <w:pPr>
              <w:spacing w:after="0"/>
              <w:rPr>
                <w:sz w:val="20"/>
                <w:szCs w:val="20"/>
                <w:color w:val="auto"/>
              </w:rPr>
            </w:pPr>
            <w:r>
              <w:rPr>
                <w:rFonts w:ascii="Arial" w:cs="Arial" w:eastAsia="Arial" w:hAnsi="Arial"/>
                <w:sz w:val="18"/>
                <w:szCs w:val="18"/>
                <w:color w:val="auto"/>
              </w:rPr>
              <w:t>Chairman, Chief Executive Officer and President</w:t>
            </w:r>
          </w:p>
        </w:tc>
      </w:tr>
      <w:tr>
        <w:trPr>
          <w:trHeight w:val="642"/>
        </w:trPr>
        <w:tc>
          <w:tcPr>
            <w:tcW w:w="5860" w:type="dxa"/>
            <w:vAlign w:val="bottom"/>
          </w:tcPr>
          <w:p>
            <w:pPr>
              <w:ind w:left="512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4060" w:type="dxa"/>
            <w:vAlign w:val="bottom"/>
            <w:tcBorders>
              <w:top w:val="single" w:sz="8" w:color="auto"/>
              <w:bottom w:val="single" w:sz="8" w:color="auto"/>
            </w:tcBorders>
          </w:tcPr>
          <w:p>
            <w:pPr>
              <w:spacing w:after="0"/>
              <w:rPr>
                <w:sz w:val="24"/>
                <w:szCs w:val="24"/>
                <w:color w:val="auto"/>
              </w:rPr>
            </w:pPr>
          </w:p>
        </w:tc>
      </w:tr>
      <w:tr>
        <w:trPr>
          <w:trHeight w:val="210"/>
        </w:trPr>
        <w:tc>
          <w:tcPr>
            <w:tcW w:w="5860" w:type="dxa"/>
            <w:vAlign w:val="bottom"/>
          </w:tcPr>
          <w:p>
            <w:pPr>
              <w:ind w:left="5120"/>
              <w:spacing w:after="0"/>
              <w:rPr>
                <w:sz w:val="20"/>
                <w:szCs w:val="20"/>
                <w:color w:val="auto"/>
              </w:rPr>
            </w:pPr>
            <w:r>
              <w:rPr>
                <w:rFonts w:ascii="Arial" w:cs="Arial" w:eastAsia="Arial" w:hAnsi="Arial"/>
                <w:sz w:val="18"/>
                <w:szCs w:val="18"/>
                <w:color w:val="auto"/>
              </w:rPr>
              <w:t>Name:</w:t>
            </w:r>
          </w:p>
        </w:tc>
        <w:tc>
          <w:tcPr>
            <w:tcW w:w="2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Roderic W. Lewis</w:t>
            </w:r>
          </w:p>
        </w:tc>
      </w:tr>
      <w:tr>
        <w:trPr>
          <w:trHeight w:val="195"/>
        </w:trPr>
        <w:tc>
          <w:tcPr>
            <w:tcW w:w="5860" w:type="dxa"/>
            <w:vAlign w:val="bottom"/>
          </w:tcPr>
          <w:p>
            <w:pPr>
              <w:ind w:left="5120"/>
              <w:spacing w:after="0" w:line="195" w:lineRule="exact"/>
              <w:rPr>
                <w:sz w:val="20"/>
                <w:szCs w:val="20"/>
                <w:color w:val="auto"/>
              </w:rPr>
            </w:pPr>
            <w:r>
              <w:rPr>
                <w:rFonts w:ascii="Arial" w:cs="Arial" w:eastAsia="Arial" w:hAnsi="Arial"/>
                <w:sz w:val="18"/>
                <w:szCs w:val="18"/>
                <w:color w:val="auto"/>
              </w:rPr>
              <w:t>Title:</w:t>
            </w:r>
          </w:p>
        </w:tc>
        <w:tc>
          <w:tcPr>
            <w:tcW w:w="4080" w:type="dxa"/>
            <w:vAlign w:val="bottom"/>
            <w:gridSpan w:val="2"/>
          </w:tcPr>
          <w:p>
            <w:pPr>
              <w:spacing w:after="0" w:line="195" w:lineRule="exact"/>
              <w:rPr>
                <w:sz w:val="20"/>
                <w:szCs w:val="20"/>
                <w:color w:val="auto"/>
              </w:rPr>
            </w:pPr>
            <w:r>
              <w:rPr>
                <w:rFonts w:ascii="Arial" w:cs="Arial" w:eastAsia="Arial" w:hAnsi="Arial"/>
                <w:sz w:val="18"/>
                <w:szCs w:val="18"/>
                <w:color w:val="auto"/>
              </w:rPr>
              <w:t>Vice President of Legal Affairs</w:t>
            </w:r>
          </w:p>
        </w:tc>
      </w:tr>
      <w:tr>
        <w:trPr>
          <w:trHeight w:val="230"/>
        </w:trPr>
        <w:tc>
          <w:tcPr>
            <w:tcW w:w="5860" w:type="dxa"/>
            <w:vAlign w:val="bottom"/>
          </w:tcPr>
          <w:p>
            <w:pPr>
              <w:spacing w:after="0"/>
              <w:rPr>
                <w:sz w:val="20"/>
                <w:szCs w:val="20"/>
                <w:color w:val="auto"/>
              </w:rPr>
            </w:pPr>
          </w:p>
        </w:tc>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General Counsel and Corporate Secretary</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6700" w:type="dxa"/>
            <w:vAlign w:val="bottom"/>
            <w:gridSpan w:val="3"/>
          </w:tcPr>
          <w:p>
            <w:pPr>
              <w:ind w:left="1260"/>
              <w:spacing w:after="0"/>
              <w:rPr>
                <w:sz w:val="20"/>
                <w:szCs w:val="20"/>
                <w:color w:val="auto"/>
              </w:rPr>
            </w:pPr>
            <w:r>
              <w:rPr>
                <w:rFonts w:ascii="Arial" w:cs="Arial" w:eastAsia="Arial" w:hAnsi="Arial"/>
                <w:sz w:val="18"/>
                <w:szCs w:val="18"/>
                <w:color w:val="auto"/>
              </w:rPr>
              <w:t>FORM OF NOTICE OF EXERCISE OR EXCHANGE</w:t>
            </w: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2460" w:type="dxa"/>
            <w:vAlign w:val="bottom"/>
          </w:tcPr>
          <w:p>
            <w:pPr>
              <w:spacing w:after="0"/>
              <w:rPr>
                <w:sz w:val="24"/>
                <w:szCs w:val="24"/>
                <w:color w:val="auto"/>
              </w:rPr>
            </w:pPr>
          </w:p>
        </w:tc>
        <w:tc>
          <w:tcPr>
            <w:tcW w:w="6700" w:type="dxa"/>
            <w:vAlign w:val="bottom"/>
            <w:gridSpan w:val="3"/>
          </w:tcPr>
          <w:p>
            <w:pPr>
              <w:ind w:left="1240"/>
              <w:spacing w:after="0"/>
              <w:rPr>
                <w:sz w:val="20"/>
                <w:szCs w:val="20"/>
                <w:color w:val="auto"/>
              </w:rPr>
            </w:pPr>
            <w:r>
              <w:rPr>
                <w:rFonts w:ascii="Arial" w:cs="Arial" w:eastAsia="Arial" w:hAnsi="Arial"/>
                <w:sz w:val="18"/>
                <w:szCs w:val="18"/>
                <w:color w:val="auto"/>
              </w:rPr>
              <w:t>[To Be Executed Upon Exercise or Exchange of Rights]</w:t>
            </w: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8"/>
        </w:trPr>
        <w:tc>
          <w:tcPr>
            <w:tcW w:w="9160" w:type="dxa"/>
            <w:vAlign w:val="bottom"/>
            <w:gridSpan w:val="4"/>
          </w:tcPr>
          <w:p>
            <w:pPr>
              <w:ind w:left="660"/>
              <w:spacing w:after="0"/>
              <w:rPr>
                <w:sz w:val="20"/>
                <w:szCs w:val="20"/>
                <w:color w:val="auto"/>
              </w:rPr>
            </w:pPr>
            <w:r>
              <w:rPr>
                <w:rFonts w:ascii="Arial" w:cs="Arial" w:eastAsia="Arial" w:hAnsi="Arial"/>
                <w:sz w:val="18"/>
                <w:szCs w:val="18"/>
                <w:color w:val="auto"/>
                <w:w w:val="94"/>
              </w:rPr>
              <w:t>The undersigned hereby irrevocably elects to exercise the right, represented by this Rights Certificate, to receive</w:t>
            </w:r>
          </w:p>
        </w:tc>
        <w:tc>
          <w:tcPr>
            <w:tcW w:w="2240" w:type="dxa"/>
            <w:vAlign w:val="bottom"/>
            <w:gridSpan w:val="2"/>
          </w:tcPr>
          <w:p>
            <w:pPr>
              <w:ind w:left="400"/>
              <w:spacing w:after="0"/>
              <w:rPr>
                <w:sz w:val="20"/>
                <w:szCs w:val="20"/>
                <w:color w:val="auto"/>
              </w:rPr>
            </w:pPr>
            <w:r>
              <w:rPr>
                <w:rFonts w:ascii="Arial" w:cs="Arial" w:eastAsia="Arial" w:hAnsi="Arial"/>
                <w:sz w:val="18"/>
                <w:szCs w:val="18"/>
                <w:color w:val="auto"/>
                <w:w w:val="90"/>
              </w:rPr>
              <w:t>shares of Common Stock</w:t>
            </w:r>
          </w:p>
        </w:tc>
      </w:tr>
      <w:tr>
        <w:trPr>
          <w:trHeight w:val="230"/>
        </w:trPr>
        <w:tc>
          <w:tcPr>
            <w:tcW w:w="11400" w:type="dxa"/>
            <w:vAlign w:val="bottom"/>
            <w:gridSpan w:val="6"/>
          </w:tcPr>
          <w:p>
            <w:pPr>
              <w:spacing w:after="0"/>
              <w:rPr>
                <w:sz w:val="20"/>
                <w:szCs w:val="20"/>
                <w:color w:val="auto"/>
              </w:rPr>
            </w:pPr>
            <w:r>
              <w:rPr>
                <w:rFonts w:ascii="Arial" w:cs="Arial" w:eastAsia="Arial" w:hAnsi="Arial"/>
                <w:sz w:val="18"/>
                <w:szCs w:val="18"/>
                <w:color w:val="auto"/>
              </w:rPr>
              <w:t>in accordance with the terms hereof. Evidence of compliance with or exemption from the requirements of the HSR Act must be provided.</w:t>
            </w:r>
          </w:p>
        </w:tc>
      </w:tr>
      <w:tr>
        <w:trPr>
          <w:trHeight w:val="418"/>
        </w:trPr>
        <w:tc>
          <w:tcPr>
            <w:tcW w:w="6280" w:type="dxa"/>
            <w:vAlign w:val="bottom"/>
            <w:gridSpan w:val="2"/>
          </w:tcPr>
          <w:p>
            <w:pPr>
              <w:spacing w:after="0"/>
              <w:rPr>
                <w:sz w:val="20"/>
                <w:szCs w:val="20"/>
                <w:color w:val="auto"/>
              </w:rPr>
            </w:pPr>
            <w:r>
              <w:rPr>
                <w:rFonts w:ascii="Arial" w:cs="Arial" w:eastAsia="Arial" w:hAnsi="Arial"/>
                <w:sz w:val="18"/>
                <w:szCs w:val="18"/>
                <w:color w:val="auto"/>
                <w:w w:val="89"/>
              </w:rPr>
              <w:t>The undersigned requests that a certificate for such shares be registered in the name of</w:t>
            </w:r>
          </w:p>
        </w:tc>
        <w:tc>
          <w:tcPr>
            <w:tcW w:w="620" w:type="dxa"/>
            <w:vAlign w:val="bottom"/>
          </w:tcPr>
          <w:p>
            <w:pPr>
              <w:spacing w:after="0"/>
              <w:rPr>
                <w:sz w:val="24"/>
                <w:szCs w:val="24"/>
                <w:color w:val="auto"/>
              </w:rPr>
            </w:pPr>
          </w:p>
        </w:tc>
        <w:tc>
          <w:tcPr>
            <w:tcW w:w="2260" w:type="dxa"/>
            <w:vAlign w:val="bottom"/>
          </w:tcPr>
          <w:p>
            <w:pPr>
              <w:ind w:left="460"/>
              <w:spacing w:after="0"/>
              <w:rPr>
                <w:sz w:val="20"/>
                <w:szCs w:val="20"/>
                <w:color w:val="auto"/>
              </w:rPr>
            </w:pPr>
            <w:r>
              <w:rPr>
                <w:rFonts w:ascii="Arial" w:cs="Arial" w:eastAsia="Arial" w:hAnsi="Arial"/>
                <w:sz w:val="18"/>
                <w:szCs w:val="18"/>
                <w:color w:val="auto"/>
              </w:rPr>
              <w:t>, whose address is</w:t>
            </w:r>
          </w:p>
        </w:tc>
        <w:tc>
          <w:tcPr>
            <w:tcW w:w="2240" w:type="dxa"/>
            <w:vAlign w:val="bottom"/>
            <w:gridSpan w:val="2"/>
          </w:tcPr>
          <w:p>
            <w:pPr>
              <w:ind w:left="1300"/>
              <w:spacing w:after="0"/>
              <w:rPr>
                <w:sz w:val="20"/>
                <w:szCs w:val="20"/>
                <w:color w:val="auto"/>
              </w:rPr>
            </w:pPr>
            <w:r>
              <w:rPr>
                <w:rFonts w:ascii="Arial" w:cs="Arial" w:eastAsia="Arial" w:hAnsi="Arial"/>
                <w:sz w:val="18"/>
                <w:szCs w:val="18"/>
                <w:color w:val="auto"/>
                <w:w w:val="85"/>
              </w:rPr>
              <w:t>and that such</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shares be delivered to</w:t>
            </w:r>
          </w:p>
        </w:tc>
        <w:tc>
          <w:tcPr>
            <w:tcW w:w="3820" w:type="dxa"/>
            <w:vAlign w:val="bottom"/>
          </w:tcPr>
          <w:p>
            <w:pPr>
              <w:ind w:left="600"/>
              <w:spacing w:after="0"/>
              <w:rPr>
                <w:sz w:val="20"/>
                <w:szCs w:val="20"/>
                <w:color w:val="auto"/>
              </w:rPr>
            </w:pPr>
            <w:r>
              <w:rPr>
                <w:rFonts w:ascii="Arial" w:cs="Arial" w:eastAsia="Arial" w:hAnsi="Arial"/>
                <w:sz w:val="18"/>
                <w:szCs w:val="18"/>
                <w:color w:val="auto"/>
              </w:rPr>
              <w:t>, whose address is</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2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18"/>
        </w:trPr>
        <w:tc>
          <w:tcPr>
            <w:tcW w:w="11400" w:type="dxa"/>
            <w:vAlign w:val="bottom"/>
            <w:gridSpan w:val="6"/>
          </w:tcPr>
          <w:p>
            <w:pPr>
              <w:spacing w:after="0"/>
              <w:rPr>
                <w:sz w:val="20"/>
                <w:szCs w:val="20"/>
                <w:color w:val="auto"/>
              </w:rPr>
            </w:pPr>
            <w:r>
              <w:rPr>
                <w:rFonts w:ascii="Arial" w:cs="Arial" w:eastAsia="Arial" w:hAnsi="Arial"/>
                <w:sz w:val="18"/>
                <w:szCs w:val="18"/>
                <w:color w:val="auto"/>
                <w:w w:val="95"/>
              </w:rPr>
              <w:t>If said number of shares is less than all of the shares of Common Stock receivable hereunder, the undersigned requests that a new Rights Certificate</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w w:val="98"/>
              </w:rPr>
              <w:t>representing the remaining balance of such shares be registered in the name of</w:t>
            </w:r>
          </w:p>
        </w:tc>
        <w:tc>
          <w:tcPr>
            <w:tcW w:w="2880" w:type="dxa"/>
            <w:vAlign w:val="bottom"/>
            <w:gridSpan w:val="2"/>
          </w:tcPr>
          <w:p>
            <w:pPr>
              <w:ind w:left="440"/>
              <w:spacing w:after="0"/>
              <w:rPr>
                <w:sz w:val="20"/>
                <w:szCs w:val="20"/>
                <w:color w:val="auto"/>
              </w:rPr>
            </w:pPr>
            <w:r>
              <w:rPr>
                <w:rFonts w:ascii="Arial" w:cs="Arial" w:eastAsia="Arial" w:hAnsi="Arial"/>
                <w:sz w:val="18"/>
                <w:szCs w:val="18"/>
                <w:color w:val="auto"/>
              </w:rPr>
              <w:t>, whose address is</w:t>
            </w:r>
          </w:p>
        </w:tc>
        <w:tc>
          <w:tcPr>
            <w:tcW w:w="2240" w:type="dxa"/>
            <w:vAlign w:val="bottom"/>
            <w:gridSpan w:val="2"/>
          </w:tcPr>
          <w:p>
            <w:pPr>
              <w:ind w:left="440"/>
              <w:spacing w:after="0"/>
              <w:rPr>
                <w:sz w:val="20"/>
                <w:szCs w:val="20"/>
                <w:color w:val="auto"/>
              </w:rPr>
            </w:pPr>
            <w:r>
              <w:rPr>
                <w:rFonts w:ascii="Arial" w:cs="Arial" w:eastAsia="Arial" w:hAnsi="Arial"/>
                <w:sz w:val="18"/>
                <w:szCs w:val="18"/>
                <w:color w:val="auto"/>
              </w:rPr>
              <w:t>, and that such Rights</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Certificate be delivered to</w:t>
            </w:r>
          </w:p>
        </w:tc>
        <w:tc>
          <w:tcPr>
            <w:tcW w:w="3820" w:type="dxa"/>
            <w:vAlign w:val="bottom"/>
          </w:tcPr>
          <w:p>
            <w:pPr>
              <w:ind w:left="960"/>
              <w:spacing w:after="0"/>
              <w:rPr>
                <w:sz w:val="20"/>
                <w:szCs w:val="20"/>
                <w:color w:val="auto"/>
              </w:rPr>
            </w:pPr>
            <w:r>
              <w:rPr>
                <w:rFonts w:ascii="Arial" w:cs="Arial" w:eastAsia="Arial" w:hAnsi="Arial"/>
                <w:sz w:val="18"/>
                <w:szCs w:val="18"/>
                <w:color w:val="auto"/>
              </w:rPr>
              <w:t>, whose address is</w:t>
            </w:r>
          </w:p>
        </w:tc>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2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2460" w:type="dxa"/>
            <w:vAlign w:val="bottom"/>
          </w:tcPr>
          <w:p>
            <w:pPr>
              <w:spacing w:after="0"/>
              <w:rPr>
                <w:sz w:val="24"/>
                <w:szCs w:val="24"/>
                <w:color w:val="auto"/>
              </w:rPr>
            </w:pPr>
          </w:p>
        </w:tc>
        <w:tc>
          <w:tcPr>
            <w:tcW w:w="4440" w:type="dxa"/>
            <w:vAlign w:val="bottom"/>
            <w:gridSpan w:val="2"/>
          </w:tcPr>
          <w:p>
            <w:pPr>
              <w:ind w:left="3280"/>
              <w:spacing w:after="0"/>
              <w:rPr>
                <w:sz w:val="20"/>
                <w:szCs w:val="20"/>
                <w:color w:val="auto"/>
              </w:rPr>
            </w:pPr>
            <w:r>
              <w:rPr>
                <w:rFonts w:ascii="Arial" w:cs="Arial" w:eastAsia="Arial" w:hAnsi="Arial"/>
                <w:sz w:val="18"/>
                <w:szCs w:val="18"/>
                <w:color w:val="auto"/>
              </w:rPr>
              <w:t>Signature(s):</w:t>
            </w:r>
          </w:p>
        </w:tc>
        <w:tc>
          <w:tcPr>
            <w:tcW w:w="2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r>
      <w:tr>
        <w:trPr>
          <w:trHeight w:val="398"/>
        </w:trPr>
        <w:tc>
          <w:tcPr>
            <w:tcW w:w="2460" w:type="dxa"/>
            <w:vAlign w:val="bottom"/>
          </w:tcPr>
          <w:p>
            <w:pPr>
              <w:spacing w:after="0"/>
              <w:rPr>
                <w:sz w:val="24"/>
                <w:szCs w:val="24"/>
                <w:color w:val="auto"/>
              </w:rPr>
            </w:pPr>
          </w:p>
        </w:tc>
        <w:tc>
          <w:tcPr>
            <w:tcW w:w="3820" w:type="dxa"/>
            <w:vAlign w:val="bottom"/>
          </w:tcPr>
          <w:p>
            <w:pPr>
              <w:ind w:left="3280"/>
              <w:spacing w:after="0"/>
              <w:rPr>
                <w:sz w:val="20"/>
                <w:szCs w:val="20"/>
                <w:color w:val="auto"/>
              </w:rPr>
            </w:pPr>
            <w:r>
              <w:rPr>
                <w:rFonts w:ascii="Arial" w:cs="Arial" w:eastAsia="Arial" w:hAnsi="Arial"/>
                <w:sz w:val="18"/>
                <w:szCs w:val="18"/>
                <w:color w:val="auto"/>
                <w:w w:val="94"/>
              </w:rPr>
              <w:t>NOTE:</w:t>
            </w:r>
          </w:p>
        </w:tc>
        <w:tc>
          <w:tcPr>
            <w:tcW w:w="5120" w:type="dxa"/>
            <w:vAlign w:val="bottom"/>
            <w:gridSpan w:val="4"/>
          </w:tcPr>
          <w:p>
            <w:pPr>
              <w:ind w:left="380"/>
              <w:spacing w:after="0"/>
              <w:rPr>
                <w:sz w:val="20"/>
                <w:szCs w:val="20"/>
                <w:color w:val="auto"/>
              </w:rPr>
            </w:pPr>
            <w:r>
              <w:rPr>
                <w:rFonts w:ascii="Arial" w:cs="Arial" w:eastAsia="Arial" w:hAnsi="Arial"/>
                <w:sz w:val="18"/>
                <w:szCs w:val="18"/>
                <w:color w:val="auto"/>
                <w:w w:val="94"/>
              </w:rPr>
              <w:t>The above signature(s) must correspond with the name written</w:t>
            </w:r>
          </w:p>
        </w:tc>
      </w:tr>
      <w:tr>
        <w:trPr>
          <w:trHeight w:val="216"/>
        </w:trPr>
        <w:tc>
          <w:tcPr>
            <w:tcW w:w="2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120" w:type="dxa"/>
            <w:vAlign w:val="bottom"/>
            <w:gridSpan w:val="4"/>
          </w:tcPr>
          <w:p>
            <w:pPr>
              <w:ind w:left="380"/>
              <w:spacing w:after="0"/>
              <w:rPr>
                <w:sz w:val="20"/>
                <w:szCs w:val="20"/>
                <w:color w:val="auto"/>
              </w:rPr>
            </w:pPr>
            <w:r>
              <w:rPr>
                <w:rFonts w:ascii="Arial" w:cs="Arial" w:eastAsia="Arial" w:hAnsi="Arial"/>
                <w:sz w:val="18"/>
                <w:szCs w:val="18"/>
                <w:color w:val="auto"/>
              </w:rPr>
              <w:t>upon the face of this Rights Certificate in every particular,</w:t>
            </w:r>
          </w:p>
        </w:tc>
      </w:tr>
      <w:tr>
        <w:trPr>
          <w:trHeight w:val="216"/>
        </w:trPr>
        <w:tc>
          <w:tcPr>
            <w:tcW w:w="2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120" w:type="dxa"/>
            <w:vAlign w:val="bottom"/>
            <w:gridSpan w:val="4"/>
          </w:tcPr>
          <w:p>
            <w:pPr>
              <w:ind w:left="380"/>
              <w:spacing w:after="0"/>
              <w:rPr>
                <w:sz w:val="20"/>
                <w:szCs w:val="20"/>
                <w:color w:val="auto"/>
              </w:rPr>
            </w:pPr>
            <w:r>
              <w:rPr>
                <w:rFonts w:ascii="Arial" w:cs="Arial" w:eastAsia="Arial" w:hAnsi="Arial"/>
                <w:sz w:val="18"/>
                <w:szCs w:val="18"/>
                <w:color w:val="auto"/>
                <w:w w:val="92"/>
              </w:rPr>
              <w:t>without alteration or enlargement or any change whatever. If the</w:t>
            </w:r>
          </w:p>
        </w:tc>
      </w:tr>
      <w:tr>
        <w:trPr>
          <w:trHeight w:val="216"/>
        </w:trPr>
        <w:tc>
          <w:tcPr>
            <w:tcW w:w="2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120" w:type="dxa"/>
            <w:vAlign w:val="bottom"/>
            <w:gridSpan w:val="4"/>
          </w:tcPr>
          <w:p>
            <w:pPr>
              <w:ind w:left="380"/>
              <w:spacing w:after="0"/>
              <w:rPr>
                <w:sz w:val="20"/>
                <w:szCs w:val="20"/>
                <w:color w:val="auto"/>
              </w:rPr>
            </w:pPr>
            <w:r>
              <w:rPr>
                <w:rFonts w:ascii="Arial" w:cs="Arial" w:eastAsia="Arial" w:hAnsi="Arial"/>
                <w:sz w:val="18"/>
                <w:szCs w:val="18"/>
                <w:color w:val="auto"/>
                <w:w w:val="95"/>
              </w:rPr>
              <w:t>Rights are held of record by two or more joint owners, all such</w:t>
            </w:r>
          </w:p>
        </w:tc>
      </w:tr>
      <w:tr>
        <w:trPr>
          <w:trHeight w:val="230"/>
        </w:trPr>
        <w:tc>
          <w:tcPr>
            <w:tcW w:w="24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880" w:type="dxa"/>
            <w:vAlign w:val="bottom"/>
            <w:gridSpan w:val="2"/>
          </w:tcPr>
          <w:p>
            <w:pPr>
              <w:ind w:left="380"/>
              <w:spacing w:after="0"/>
              <w:rPr>
                <w:sz w:val="20"/>
                <w:szCs w:val="20"/>
                <w:color w:val="auto"/>
              </w:rPr>
            </w:pPr>
            <w:r>
              <w:rPr>
                <w:rFonts w:ascii="Arial" w:cs="Arial" w:eastAsia="Arial" w:hAnsi="Arial"/>
                <w:sz w:val="18"/>
                <w:szCs w:val="18"/>
                <w:color w:val="auto"/>
              </w:rPr>
              <w:t>owners must sign.</w:t>
            </w: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16205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4820" w:type="dxa"/>
            <w:vAlign w:val="bottom"/>
            <w:gridSpan w:val="3"/>
          </w:tcPr>
          <w:p>
            <w:pPr>
              <w:ind w:left="1060"/>
              <w:spacing w:after="0"/>
              <w:rPr>
                <w:sz w:val="20"/>
                <w:szCs w:val="20"/>
                <w:color w:val="auto"/>
              </w:rPr>
            </w:pPr>
            <w:r>
              <w:rPr>
                <w:rFonts w:ascii="Arial" w:cs="Arial" w:eastAsia="Arial" w:hAnsi="Arial"/>
                <w:sz w:val="18"/>
                <w:szCs w:val="18"/>
                <w:color w:val="auto"/>
              </w:rPr>
              <w:t>FORM OF ASSIGNMENT</w:t>
            </w:r>
          </w:p>
        </w:tc>
        <w:tc>
          <w:tcPr>
            <w:tcW w:w="19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648"/>
        </w:trPr>
        <w:tc>
          <w:tcPr>
            <w:tcW w:w="6380" w:type="dxa"/>
            <w:vAlign w:val="bottom"/>
            <w:gridSpan w:val="2"/>
          </w:tcPr>
          <w:p>
            <w:pPr>
              <w:ind w:left="660"/>
              <w:spacing w:after="0"/>
              <w:rPr>
                <w:sz w:val="20"/>
                <w:szCs w:val="20"/>
                <w:color w:val="auto"/>
              </w:rPr>
            </w:pPr>
            <w:r>
              <w:rPr>
                <w:rFonts w:ascii="Arial" w:cs="Arial" w:eastAsia="Arial" w:hAnsi="Arial"/>
                <w:sz w:val="18"/>
                <w:szCs w:val="18"/>
                <w:color w:val="auto"/>
              </w:rPr>
              <w:t>[To be signed only upon assignment of Rights Certificate]</w:t>
            </w: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8"/>
        </w:trPr>
        <w:tc>
          <w:tcPr>
            <w:tcW w:w="3660" w:type="dxa"/>
            <w:vAlign w:val="bottom"/>
          </w:tcPr>
          <w:p>
            <w:pPr>
              <w:ind w:left="660"/>
              <w:spacing w:after="0"/>
              <w:rPr>
                <w:sz w:val="20"/>
                <w:szCs w:val="20"/>
                <w:color w:val="auto"/>
              </w:rPr>
            </w:pPr>
            <w:r>
              <w:rPr>
                <w:rFonts w:ascii="Arial" w:cs="Arial" w:eastAsia="Arial" w:hAnsi="Arial"/>
                <w:sz w:val="18"/>
                <w:szCs w:val="18"/>
                <w:color w:val="auto"/>
              </w:rPr>
              <w:t>FOR VALUE RECEIVED,</w:t>
            </w:r>
          </w:p>
        </w:tc>
        <w:tc>
          <w:tcPr>
            <w:tcW w:w="4820" w:type="dxa"/>
            <w:vAlign w:val="bottom"/>
            <w:gridSpan w:val="3"/>
          </w:tcPr>
          <w:p>
            <w:pPr>
              <w:ind w:left="1080"/>
              <w:spacing w:after="0"/>
              <w:rPr>
                <w:sz w:val="20"/>
                <w:szCs w:val="20"/>
                <w:color w:val="auto"/>
              </w:rPr>
            </w:pPr>
            <w:r>
              <w:rPr>
                <w:rFonts w:ascii="Arial" w:cs="Arial" w:eastAsia="Arial" w:hAnsi="Arial"/>
                <w:sz w:val="18"/>
                <w:szCs w:val="18"/>
                <w:color w:val="auto"/>
              </w:rPr>
              <w:t>hereby sells, assigns and transfers unto</w:t>
            </w:r>
          </w:p>
        </w:tc>
        <w:tc>
          <w:tcPr>
            <w:tcW w:w="2880" w:type="dxa"/>
            <w:vAlign w:val="bottom"/>
            <w:gridSpan w:val="2"/>
          </w:tcPr>
          <w:p>
            <w:pPr>
              <w:ind w:left="1160"/>
              <w:spacing w:after="0"/>
              <w:rPr>
                <w:sz w:val="20"/>
                <w:szCs w:val="20"/>
                <w:color w:val="auto"/>
              </w:rPr>
            </w:pPr>
            <w:r>
              <w:rPr>
                <w:rFonts w:ascii="Arial" w:cs="Arial" w:eastAsia="Arial" w:hAnsi="Arial"/>
                <w:sz w:val="18"/>
                <w:szCs w:val="18"/>
                <w:color w:val="auto"/>
              </w:rPr>
              <w:t>whose address is</w:t>
            </w:r>
          </w:p>
        </w:tc>
      </w:tr>
      <w:tr>
        <w:trPr>
          <w:trHeight w:val="216"/>
        </w:trPr>
        <w:tc>
          <w:tcPr>
            <w:tcW w:w="8480" w:type="dxa"/>
            <w:vAlign w:val="bottom"/>
            <w:gridSpan w:val="4"/>
          </w:tcPr>
          <w:p>
            <w:pPr>
              <w:ind w:left="2220"/>
              <w:spacing w:after="0"/>
              <w:rPr>
                <w:sz w:val="20"/>
                <w:szCs w:val="20"/>
                <w:color w:val="auto"/>
              </w:rPr>
            </w:pPr>
            <w:r>
              <w:rPr>
                <w:rFonts w:ascii="Arial" w:cs="Arial" w:eastAsia="Arial" w:hAnsi="Arial"/>
                <w:sz w:val="18"/>
                <w:szCs w:val="18"/>
                <w:color w:val="auto"/>
              </w:rPr>
              <w:t>and whose social security number or other identifying number is</w:t>
            </w:r>
          </w:p>
        </w:tc>
        <w:tc>
          <w:tcPr>
            <w:tcW w:w="2880" w:type="dxa"/>
            <w:vAlign w:val="bottom"/>
            <w:gridSpan w:val="2"/>
          </w:tcPr>
          <w:p>
            <w:pPr>
              <w:ind w:left="940"/>
              <w:spacing w:after="0"/>
              <w:rPr>
                <w:sz w:val="20"/>
                <w:szCs w:val="20"/>
                <w:color w:val="auto"/>
              </w:rPr>
            </w:pPr>
            <w:r>
              <w:rPr>
                <w:rFonts w:ascii="Arial" w:cs="Arial" w:eastAsia="Arial" w:hAnsi="Arial"/>
                <w:sz w:val="18"/>
                <w:szCs w:val="18"/>
                <w:color w:val="auto"/>
              </w:rPr>
              <w:t>, the within Rights</w:t>
            </w:r>
          </w:p>
        </w:tc>
      </w:tr>
      <w:tr>
        <w:trPr>
          <w:trHeight w:val="216"/>
        </w:trPr>
        <w:tc>
          <w:tcPr>
            <w:tcW w:w="11360" w:type="dxa"/>
            <w:vAlign w:val="bottom"/>
            <w:gridSpan w:val="6"/>
          </w:tcPr>
          <w:p>
            <w:pPr>
              <w:spacing w:after="0"/>
              <w:rPr>
                <w:sz w:val="20"/>
                <w:szCs w:val="20"/>
                <w:color w:val="auto"/>
              </w:rPr>
            </w:pPr>
            <w:r>
              <w:rPr>
                <w:rFonts w:ascii="Arial" w:cs="Arial" w:eastAsia="Arial" w:hAnsi="Arial"/>
                <w:sz w:val="18"/>
                <w:szCs w:val="18"/>
                <w:color w:val="auto"/>
                <w:w w:val="95"/>
              </w:rPr>
              <w:t>Certificate, together with all right, title and interest therein and to the Rights represented thereby, and does hereby irrevocably constitute and appoint ,</w:t>
            </w:r>
          </w:p>
        </w:tc>
      </w:tr>
      <w:tr>
        <w:trPr>
          <w:trHeight w:val="230"/>
        </w:trPr>
        <w:tc>
          <w:tcPr>
            <w:tcW w:w="11360" w:type="dxa"/>
            <w:vAlign w:val="bottom"/>
            <w:gridSpan w:val="6"/>
          </w:tcPr>
          <w:p>
            <w:pPr>
              <w:spacing w:after="0"/>
              <w:rPr>
                <w:sz w:val="20"/>
                <w:szCs w:val="20"/>
                <w:color w:val="auto"/>
              </w:rPr>
            </w:pPr>
            <w:r>
              <w:rPr>
                <w:rFonts w:ascii="Arial" w:cs="Arial" w:eastAsia="Arial" w:hAnsi="Arial"/>
                <w:sz w:val="18"/>
                <w:szCs w:val="18"/>
                <w:color w:val="auto"/>
              </w:rPr>
              <w:t>attorney, to transfer said Rights Certificate on the books of the within-named Company, with full power of substitution in the premises.</w:t>
            </w:r>
          </w:p>
        </w:tc>
      </w:tr>
      <w:tr>
        <w:trPr>
          <w:trHeight w:val="432"/>
        </w:trPr>
        <w:tc>
          <w:tcPr>
            <w:tcW w:w="3660" w:type="dxa"/>
            <w:vAlign w:val="bottom"/>
          </w:tcPr>
          <w:p>
            <w:pPr>
              <w:spacing w:after="0"/>
              <w:rPr>
                <w:sz w:val="24"/>
                <w:szCs w:val="24"/>
                <w:color w:val="auto"/>
              </w:rPr>
            </w:pPr>
          </w:p>
        </w:tc>
        <w:tc>
          <w:tcPr>
            <w:tcW w:w="3160" w:type="dxa"/>
            <w:vAlign w:val="bottom"/>
            <w:gridSpan w:val="2"/>
          </w:tcPr>
          <w:p>
            <w:pPr>
              <w:ind w:left="2040"/>
              <w:spacing w:after="0"/>
              <w:rPr>
                <w:sz w:val="20"/>
                <w:szCs w:val="20"/>
                <w:color w:val="auto"/>
              </w:rPr>
            </w:pPr>
            <w:r>
              <w:rPr>
                <w:rFonts w:ascii="Arial" w:cs="Arial" w:eastAsia="Arial" w:hAnsi="Arial"/>
                <w:sz w:val="18"/>
                <w:szCs w:val="18"/>
                <w:color w:val="auto"/>
              </w:rPr>
              <w:t>Signature(s):</w:t>
            </w:r>
          </w:p>
        </w:tc>
        <w:tc>
          <w:tcPr>
            <w:tcW w:w="16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r>
      <w:tr>
        <w:trPr>
          <w:trHeight w:val="398"/>
        </w:trPr>
        <w:tc>
          <w:tcPr>
            <w:tcW w:w="3660" w:type="dxa"/>
            <w:vAlign w:val="bottom"/>
          </w:tcPr>
          <w:p>
            <w:pPr>
              <w:spacing w:after="0"/>
              <w:rPr>
                <w:sz w:val="24"/>
                <w:szCs w:val="24"/>
                <w:color w:val="auto"/>
              </w:rPr>
            </w:pPr>
          </w:p>
        </w:tc>
        <w:tc>
          <w:tcPr>
            <w:tcW w:w="2720" w:type="dxa"/>
            <w:vAlign w:val="bottom"/>
          </w:tcPr>
          <w:p>
            <w:pPr>
              <w:ind w:left="2040"/>
              <w:spacing w:after="0"/>
              <w:rPr>
                <w:sz w:val="20"/>
                <w:szCs w:val="20"/>
                <w:color w:val="auto"/>
              </w:rPr>
            </w:pPr>
            <w:r>
              <w:rPr>
                <w:rFonts w:ascii="Arial" w:cs="Arial" w:eastAsia="Arial" w:hAnsi="Arial"/>
                <w:sz w:val="18"/>
                <w:szCs w:val="18"/>
                <w:color w:val="auto"/>
              </w:rPr>
              <w:t>NOTE:</w:t>
            </w:r>
          </w:p>
        </w:tc>
        <w:tc>
          <w:tcPr>
            <w:tcW w:w="4980" w:type="dxa"/>
            <w:vAlign w:val="bottom"/>
            <w:gridSpan w:val="4"/>
          </w:tcPr>
          <w:p>
            <w:pPr>
              <w:ind w:left="180"/>
              <w:spacing w:after="0"/>
              <w:rPr>
                <w:sz w:val="20"/>
                <w:szCs w:val="20"/>
                <w:color w:val="auto"/>
              </w:rPr>
            </w:pPr>
            <w:r>
              <w:rPr>
                <w:rFonts w:ascii="Arial" w:cs="Arial" w:eastAsia="Arial" w:hAnsi="Arial"/>
                <w:sz w:val="18"/>
                <w:szCs w:val="18"/>
                <w:color w:val="auto"/>
                <w:w w:val="95"/>
              </w:rPr>
              <w:t>The above signature(s) must correspond with the name written</w:t>
            </w:r>
          </w:p>
        </w:tc>
      </w:tr>
      <w:tr>
        <w:trPr>
          <w:trHeight w:val="216"/>
        </w:trPr>
        <w:tc>
          <w:tcPr>
            <w:tcW w:w="36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980" w:type="dxa"/>
            <w:vAlign w:val="bottom"/>
            <w:gridSpan w:val="4"/>
          </w:tcPr>
          <w:p>
            <w:pPr>
              <w:ind w:left="180"/>
              <w:spacing w:after="0"/>
              <w:rPr>
                <w:sz w:val="20"/>
                <w:szCs w:val="20"/>
                <w:color w:val="auto"/>
              </w:rPr>
            </w:pPr>
            <w:r>
              <w:rPr>
                <w:rFonts w:ascii="Arial" w:cs="Arial" w:eastAsia="Arial" w:hAnsi="Arial"/>
                <w:sz w:val="18"/>
                <w:szCs w:val="18"/>
                <w:color w:val="auto"/>
                <w:w w:val="92"/>
              </w:rPr>
              <w:t>upon the face of this Rights Certificate in every particular, without</w:t>
            </w:r>
          </w:p>
        </w:tc>
      </w:tr>
      <w:tr>
        <w:trPr>
          <w:trHeight w:val="230"/>
        </w:trPr>
        <w:tc>
          <w:tcPr>
            <w:tcW w:w="36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980" w:type="dxa"/>
            <w:vAlign w:val="bottom"/>
            <w:gridSpan w:val="4"/>
          </w:tcPr>
          <w:p>
            <w:pPr>
              <w:ind w:left="180"/>
              <w:spacing w:after="0"/>
              <w:rPr>
                <w:sz w:val="20"/>
                <w:szCs w:val="20"/>
                <w:color w:val="auto"/>
              </w:rPr>
            </w:pPr>
            <w:r>
              <w:rPr>
                <w:rFonts w:ascii="Arial" w:cs="Arial" w:eastAsia="Arial" w:hAnsi="Arial"/>
                <w:sz w:val="18"/>
                <w:szCs w:val="18"/>
                <w:color w:val="auto"/>
                <w:w w:val="89"/>
              </w:rPr>
              <w:t>alteration or enlargement or any change whatever. If the Rights are</w:t>
            </w:r>
          </w:p>
        </w:tc>
      </w:tr>
    </w:tbl>
    <w:p>
      <w:pPr>
        <w:ind w:left="6560"/>
        <w:spacing w:after="0"/>
        <w:rPr>
          <w:sz w:val="20"/>
          <w:szCs w:val="20"/>
          <w:color w:val="auto"/>
        </w:rPr>
      </w:pPr>
      <w:r>
        <w:rPr>
          <w:rFonts w:ascii="Arial" w:cs="Arial" w:eastAsia="Arial" w:hAnsi="Arial"/>
          <w:sz w:val="16"/>
          <w:szCs w:val="16"/>
          <w:color w:val="auto"/>
        </w:rPr>
        <w:t>held of record by two or more joint owners, all such owners must</w:t>
      </w:r>
    </w:p>
    <w:p>
      <w:pPr>
        <w:spacing w:after="0" w:line="3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sign.</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15951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24 September,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IN THIS EXHIBIT HAS BEEN OMITTED AND FILED SEPARATELY WITH THE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TREATEMENT HAS BEEN REQUESTED WITH RESPECT TO THE OMITTED PORTIONS.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AGREEMENT</w:t>
      </w:r>
    </w:p>
    <w:p>
      <w:pPr>
        <w:spacing w:after="0" w:line="225"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NOTE: Information in this document marked with an “[*]” has been omitted and filed separately with the Commission. Confidential treatment has been requested with respect to the omitted portions.</w:t>
      </w:r>
    </w:p>
    <w:p>
      <w:pPr>
        <w:spacing w:after="0" w:line="166" w:lineRule="exact"/>
        <w:rPr>
          <w:sz w:val="20"/>
          <w:szCs w:val="20"/>
          <w:color w:val="auto"/>
        </w:rPr>
      </w:pPr>
    </w:p>
    <w:p>
      <w:pPr>
        <w:jc w:val="both"/>
        <w:ind w:right="240" w:firstLine="648"/>
        <w:spacing w:after="0" w:line="279" w:lineRule="auto"/>
        <w:rPr>
          <w:sz w:val="20"/>
          <w:szCs w:val="20"/>
          <w:color w:val="auto"/>
        </w:rPr>
      </w:pPr>
      <w:r>
        <w:rPr>
          <w:rFonts w:ascii="Arial" w:cs="Arial" w:eastAsia="Arial" w:hAnsi="Arial"/>
          <w:sz w:val="17"/>
          <w:szCs w:val="17"/>
          <w:color w:val="auto"/>
        </w:rPr>
        <w:t>This Agreement (the “Agreement” or the “Business Agreement”) is entered into as of the 24th day of September, 2003, by and between MICRON Technology, Inc., a Delaware corporation, having a place of business at 8000 S. Federal Way, Boise, ID 83716-9632 (hereinafter “MICRON”), and INTEL Corporation, a Delaware corporation, having its principal place of business at 2200 Mission College Blvd., Santa Clara, CA 95052 (hereinafter “INTEL”). MICRON and INTEL are sometimes referred to as a “Party” and collectively referred to as the “Parties”.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INTEL desires to make a significant investment in certain MICRON securities subject to the terms and conditions set forth in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agreements;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MICRON desires to use the proceeds from the INTEL investment for the purposes set forth in this Agreement;</w:t>
      </w:r>
    </w:p>
    <w:p>
      <w:pPr>
        <w:spacing w:after="0" w:line="225" w:lineRule="exact"/>
        <w:rPr>
          <w:sz w:val="20"/>
          <w:szCs w:val="20"/>
          <w:color w:val="auto"/>
        </w:rPr>
      </w:pPr>
    </w:p>
    <w:p>
      <w:pPr>
        <w:jc w:val="center"/>
        <w:ind w:left="2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good and valuable consideration, the receipt and sufficiency of which is acknowledged, the Parties agree as follows: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Agreement only, the following terms shall have the following meanings:</w:t>
      </w:r>
    </w:p>
    <w:p>
      <w:pPr>
        <w:spacing w:after="0" w:line="221"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with respect to a specified person, a person that directly or indirectly, through one or more intermediaries, controls, is 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by or is under common control with, such person.</w:t>
      </w:r>
    </w:p>
    <w:p>
      <w:pPr>
        <w:spacing w:after="0" w:line="16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“Call on Capacity” </w:t>
      </w:r>
      <w:r>
        <w:rPr>
          <w:rFonts w:ascii="Arial" w:cs="Arial" w:eastAsia="Arial" w:hAnsi="Arial"/>
          <w:sz w:val="18"/>
          <w:szCs w:val="18"/>
          <w:color w:val="auto"/>
        </w:rPr>
        <w:t>means INTEL’s right (or that of a permitted designee hereunder) to purchase a portion of MICRON’s Output of Products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6.1 of this Agreement.</w:t>
      </w:r>
    </w:p>
    <w:p>
      <w:pPr>
        <w:spacing w:after="0" w:line="162"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“Capacity” </w:t>
      </w:r>
      <w:r>
        <w:rPr>
          <w:rFonts w:ascii="Arial" w:cs="Arial" w:eastAsia="Arial" w:hAnsi="Arial"/>
          <w:sz w:val="18"/>
          <w:szCs w:val="18"/>
          <w:color w:val="auto"/>
        </w:rPr>
        <w:t>means MICRON’s capacity to manufacture, assemble and test discrete devices including such capacity of its Subsidiaries and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 of such capacity of TECH Semiconductor Singapore Pte. Ltd.</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means the amount paid for the acquisition of equipment and facilities computed from information presented in MICRON’s</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periodically filed with the U.S. Securities and Exchange Commission as the sum of 1) expenditures for property, plant and equipment and 2) payments on equipment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3" w:lineRule="exact"/>
        <w:rPr>
          <w:sz w:val="20"/>
          <w:szCs w:val="20"/>
          <w:color w:val="auto"/>
        </w:rPr>
      </w:pPr>
    </w:p>
    <w:p>
      <w:pPr>
        <w:ind w:right="120" w:firstLine="8"/>
        <w:spacing w:after="0" w:line="277" w:lineRule="auto"/>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treatement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means a Change in Control as defined in the Securities Rights Agreement.</w:t>
      </w:r>
    </w:p>
    <w:p>
      <w:pPr>
        <w:sectPr>
          <w:pgSz w:w="11900" w:h="16838" w:orient="portrait"/>
          <w:cols w:equalWidth="0" w:num="1">
            <w:col w:w="11420"/>
          </w:cols>
          <w:pgMar w:left="240" w:top="121" w:right="239" w:bottom="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b w:val="1"/>
          <w:bCs w:val="1"/>
          <w:color w:val="auto"/>
        </w:rPr>
        <w:t xml:space="preserve">“Closing” </w:t>
      </w:r>
      <w:r>
        <w:rPr>
          <w:rFonts w:ascii="Arial" w:cs="Arial" w:eastAsia="Arial" w:hAnsi="Arial"/>
          <w:sz w:val="18"/>
          <w:szCs w:val="18"/>
          <w:color w:val="auto"/>
        </w:rPr>
        <w:t>means the date and time specified in the Securities Purchase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“Commercialize” </w:t>
      </w:r>
      <w:r>
        <w:rPr>
          <w:rFonts w:ascii="Arial" w:cs="Arial" w:eastAsia="Arial" w:hAnsi="Arial"/>
          <w:sz w:val="18"/>
          <w:szCs w:val="18"/>
          <w:color w:val="auto"/>
        </w:rPr>
        <w:t>means Products available for sale by MICRON.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means the common stock, par value $0.10 per share, of MICRON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“Corporate Purchase Agreement” </w:t>
      </w:r>
      <w:r>
        <w:rPr>
          <w:rFonts w:ascii="Arial" w:cs="Arial" w:eastAsia="Arial" w:hAnsi="Arial"/>
          <w:sz w:val="16"/>
          <w:szCs w:val="16"/>
          <w:color w:val="auto"/>
        </w:rPr>
        <w:t>or</w:t>
      </w:r>
      <w:r>
        <w:rPr>
          <w:rFonts w:ascii="Arial" w:cs="Arial" w:eastAsia="Arial" w:hAnsi="Arial"/>
          <w:sz w:val="16"/>
          <w:szCs w:val="16"/>
          <w:b w:val="1"/>
          <w:bCs w:val="1"/>
          <w:color w:val="auto"/>
        </w:rPr>
        <w:t xml:space="preserve"> “CPA” </w:t>
      </w:r>
      <w:r>
        <w:rPr>
          <w:rFonts w:ascii="Arial" w:cs="Arial" w:eastAsia="Arial" w:hAnsi="Arial"/>
          <w:sz w:val="16"/>
          <w:szCs w:val="16"/>
          <w:color w:val="auto"/>
        </w:rPr>
        <w:t>means that agreement titled “</w:t>
      </w:r>
      <w:r>
        <w:rPr>
          <w:rFonts w:ascii="Arial" w:cs="Arial" w:eastAsia="Arial" w:hAnsi="Arial"/>
          <w:sz w:val="16"/>
          <w:szCs w:val="16"/>
          <w:i w:val="1"/>
          <w:iCs w:val="1"/>
          <w:color w:val="auto"/>
        </w:rPr>
        <w:t>Purchase Agreement – Goods</w:t>
      </w:r>
      <w:r>
        <w:rPr>
          <w:rFonts w:ascii="Arial" w:cs="Arial" w:eastAsia="Arial" w:hAnsi="Arial"/>
          <w:sz w:val="16"/>
          <w:szCs w:val="16"/>
          <w:color w:val="auto"/>
        </w:rPr>
        <w:t>” of even date herewith (or such other date</w:t>
      </w:r>
      <w:r>
        <w:rPr>
          <w:rFonts w:ascii="Arial" w:cs="Arial" w:eastAsia="Arial" w:hAnsi="Arial"/>
          <w:sz w:val="16"/>
          <w:szCs w:val="16"/>
          <w:b w:val="1"/>
          <w:bCs w:val="1"/>
          <w:color w:val="auto"/>
        </w:rPr>
        <w:t xml:space="preserve"> </w:t>
      </w:r>
      <w:r>
        <w:rPr>
          <w:rFonts w:ascii="Arial" w:cs="Arial" w:eastAsia="Arial" w:hAnsi="Arial"/>
          <w:sz w:val="16"/>
          <w:szCs w:val="16"/>
          <w:color w:val="auto"/>
        </w:rPr>
        <w:t>as may be set forth therein) entered into between MICRON Semiconductor Products, Inc. (“MSP”), a Subsidiary of MICRON, and INTEL, as such agreement may be amended from time to time, pursuant to which MSP will sell and INTEL will purchase Products. The CPA is designated by INTEL as # 52889.</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“DRAM” </w:t>
      </w:r>
      <w:r>
        <w:rPr>
          <w:rFonts w:ascii="Arial" w:cs="Arial" w:eastAsia="Arial" w:hAnsi="Arial"/>
          <w:sz w:val="18"/>
          <w:szCs w:val="18"/>
          <w:color w:val="auto"/>
        </w:rPr>
        <w:t>means a Product with a principle function of memory storage that is a dynamic random access memory.</w:t>
      </w:r>
    </w:p>
    <w:p>
      <w:pPr>
        <w:spacing w:after="0" w:line="225" w:lineRule="exact"/>
        <w:rPr>
          <w:sz w:val="20"/>
          <w:szCs w:val="20"/>
          <w:color w:val="auto"/>
        </w:rPr>
      </w:pPr>
    </w:p>
    <w:p>
      <w:pPr>
        <w:ind w:right="1100" w:firstLine="648"/>
        <w:spacing w:after="0" w:line="282" w:lineRule="auto"/>
        <w:rPr>
          <w:sz w:val="20"/>
          <w:szCs w:val="20"/>
          <w:color w:val="auto"/>
        </w:rPr>
      </w:pPr>
      <w:r>
        <w:rPr>
          <w:rFonts w:ascii="Arial" w:cs="Arial" w:eastAsia="Arial" w:hAnsi="Arial"/>
          <w:sz w:val="18"/>
          <w:szCs w:val="18"/>
          <w:b w:val="1"/>
          <w:bCs w:val="1"/>
          <w:color w:val="auto"/>
        </w:rPr>
        <w:t xml:space="preserve">“Derivative Products” </w:t>
      </w:r>
      <w:r>
        <w:rPr>
          <w:rFonts w:ascii="Arial" w:cs="Arial" w:eastAsia="Arial" w:hAnsi="Arial"/>
          <w:sz w:val="18"/>
          <w:szCs w:val="18"/>
          <w:color w:val="auto"/>
        </w:rPr>
        <w:t>means Products that have undergone a change with respect to module type, bus width, density, package types,</w:t>
      </w:r>
      <w:r>
        <w:rPr>
          <w:rFonts w:ascii="Arial" w:cs="Arial" w:eastAsia="Arial" w:hAnsi="Arial"/>
          <w:sz w:val="18"/>
          <w:szCs w:val="18"/>
          <w:b w:val="1"/>
          <w:bCs w:val="1"/>
          <w:color w:val="auto"/>
        </w:rPr>
        <w:t xml:space="preserve"> </w:t>
      </w:r>
      <w:r>
        <w:rPr>
          <w:rFonts w:ascii="Arial" w:cs="Arial" w:eastAsia="Arial" w:hAnsi="Arial"/>
          <w:sz w:val="18"/>
          <w:szCs w:val="18"/>
          <w:color w:val="auto"/>
        </w:rPr>
        <w:t>speed/frequency and other changes of similar scope.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“DDR2 Products” </w:t>
      </w:r>
      <w:r>
        <w:rPr>
          <w:rFonts w:ascii="Arial" w:cs="Arial" w:eastAsia="Arial" w:hAnsi="Arial"/>
          <w:sz w:val="16"/>
          <w:szCs w:val="16"/>
          <w:color w:val="auto"/>
        </w:rPr>
        <w:t>means DRAM Products that substantially comply with the memory device standards established for DDR2 products by JEDEC.</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first date set forth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“Finished Goods Inventory Measurement Date” </w:t>
      </w:r>
      <w:r>
        <w:rPr>
          <w:rFonts w:ascii="Arial" w:cs="Arial" w:eastAsia="Arial" w:hAnsi="Arial"/>
          <w:sz w:val="16"/>
          <w:szCs w:val="16"/>
          <w:color w:val="auto"/>
        </w:rPr>
        <w:t>means each date on which MICRON measures its finished goods inventory of DDR2 Product.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“Inventory Limitation” </w:t>
      </w:r>
      <w:r>
        <w:rPr>
          <w:rFonts w:ascii="Arial" w:cs="Arial" w:eastAsia="Arial" w:hAnsi="Arial"/>
          <w:sz w:val="18"/>
          <w:szCs w:val="18"/>
          <w:color w:val="auto"/>
        </w:rPr>
        <w:t>means the suspension or limitation of MICRON’s volume production of DDR2 pursuant to Section 2.3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“JEDEC” </w:t>
      </w:r>
      <w:r>
        <w:rPr>
          <w:rFonts w:ascii="Arial" w:cs="Arial" w:eastAsia="Arial" w:hAnsi="Arial"/>
          <w:sz w:val="18"/>
          <w:szCs w:val="18"/>
          <w:color w:val="auto"/>
        </w:rPr>
        <w:t>means the standards setting body known as Joint Electron Device Engineering Council or any successor thereof.</w:t>
      </w:r>
    </w:p>
    <w:p>
      <w:pPr>
        <w:spacing w:after="0" w:line="225"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 xml:space="preserve">“Major DRAM Supplier” </w:t>
      </w:r>
      <w:r>
        <w:rPr>
          <w:rFonts w:ascii="Arial" w:cs="Arial" w:eastAsia="Arial" w:hAnsi="Arial"/>
          <w:sz w:val="18"/>
          <w:szCs w:val="18"/>
          <w:color w:val="auto"/>
        </w:rPr>
        <w:t>means an entity having an average world-wide DRAM market segment share of greater than ten percent (10%),</w:t>
      </w:r>
      <w:r>
        <w:rPr>
          <w:rFonts w:ascii="Arial" w:cs="Arial" w:eastAsia="Arial" w:hAnsi="Arial"/>
          <w:sz w:val="18"/>
          <w:szCs w:val="18"/>
          <w:b w:val="1"/>
          <w:bCs w:val="1"/>
          <w:color w:val="auto"/>
        </w:rPr>
        <w:t xml:space="preserve"> </w:t>
      </w:r>
      <w:r>
        <w:rPr>
          <w:rFonts w:ascii="Arial" w:cs="Arial" w:eastAsia="Arial" w:hAnsi="Arial"/>
          <w:sz w:val="18"/>
          <w:szCs w:val="18"/>
          <w:color w:val="auto"/>
        </w:rPr>
        <w:t>measured in DRAM revenue, as determined and reported by International Data Corporation for the six (6) month period immediately preceding the month in which MICRON initiates a development project pursuant to Section 4.1 hereof.</w:t>
      </w:r>
    </w:p>
    <w:p>
      <w:pPr>
        <w:spacing w:after="0" w:line="176" w:lineRule="exact"/>
        <w:rPr>
          <w:sz w:val="20"/>
          <w:szCs w:val="20"/>
          <w:color w:val="auto"/>
        </w:rPr>
      </w:pPr>
    </w:p>
    <w:p>
      <w:pPr>
        <w:ind w:right="380" w:firstLine="648"/>
        <w:spacing w:after="0" w:line="313" w:lineRule="auto"/>
        <w:rPr>
          <w:sz w:val="20"/>
          <w:szCs w:val="20"/>
          <w:color w:val="auto"/>
        </w:rPr>
      </w:pPr>
      <w:r>
        <w:rPr>
          <w:rFonts w:ascii="Arial" w:cs="Arial" w:eastAsia="Arial" w:hAnsi="Arial"/>
          <w:sz w:val="17"/>
          <w:szCs w:val="17"/>
          <w:b w:val="1"/>
          <w:bCs w:val="1"/>
          <w:color w:val="auto"/>
        </w:rPr>
        <w:t xml:space="preserve">“Output” </w:t>
      </w:r>
      <w:r>
        <w:rPr>
          <w:rFonts w:ascii="Arial" w:cs="Arial" w:eastAsia="Arial" w:hAnsi="Arial"/>
          <w:sz w:val="17"/>
          <w:szCs w:val="17"/>
          <w:color w:val="auto"/>
        </w:rPr>
        <w:t>means MICRON’s total production of discrete components, other than CMOS imagers and NOR flash devices, received into finished</w:t>
      </w:r>
      <w:r>
        <w:rPr>
          <w:rFonts w:ascii="Arial" w:cs="Arial" w:eastAsia="Arial" w:hAnsi="Arial"/>
          <w:sz w:val="17"/>
          <w:szCs w:val="17"/>
          <w:b w:val="1"/>
          <w:bCs w:val="1"/>
          <w:color w:val="auto"/>
        </w:rPr>
        <w:t xml:space="preserve"> </w:t>
      </w:r>
      <w:r>
        <w:rPr>
          <w:rFonts w:ascii="Arial" w:cs="Arial" w:eastAsia="Arial" w:hAnsi="Arial"/>
          <w:sz w:val="17"/>
          <w:szCs w:val="17"/>
          <w:color w:val="auto"/>
        </w:rPr>
        <w:t>goods (excluding off-spec devices received into finished goods for MICRON’s SpecTek division) for a given month expressed in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terms of “equivalent units” of 256Mbit devices, and with respect to projections of Output as reasonably adjusted by MICRON to account for disruptions in production reasonably likely to occur. MICRON’s Output for a given month shall include [*] of the monthly production of discrete components from TECH Semiconductor Singapore Pte. Ltd.</w:t>
      </w:r>
    </w:p>
    <w:p>
      <w:pPr>
        <w:spacing w:after="0" w:line="185" w:lineRule="exact"/>
        <w:rPr>
          <w:sz w:val="20"/>
          <w:szCs w:val="20"/>
          <w:color w:val="auto"/>
        </w:rPr>
      </w:pPr>
    </w:p>
    <w:p>
      <w:pPr>
        <w:ind w:right="40" w:firstLine="648"/>
        <w:spacing w:after="0" w:line="221" w:lineRule="auto"/>
        <w:rPr>
          <w:sz w:val="20"/>
          <w:szCs w:val="20"/>
          <w:color w:val="auto"/>
        </w:rPr>
      </w:pPr>
      <w:r>
        <w:rPr>
          <w:rFonts w:ascii="Arial" w:cs="Arial" w:eastAsia="Arial" w:hAnsi="Arial"/>
          <w:sz w:val="18"/>
          <w:szCs w:val="18"/>
          <w:b w:val="1"/>
          <w:bCs w:val="1"/>
          <w:color w:val="auto"/>
        </w:rPr>
        <w:t xml:space="preserve">“Percentage Call on Capacity” </w:t>
      </w:r>
      <w:r>
        <w:rPr>
          <w:rFonts w:ascii="Arial" w:cs="Arial" w:eastAsia="Arial" w:hAnsi="Arial"/>
          <w:sz w:val="18"/>
          <w:szCs w:val="18"/>
          <w:color w:val="auto"/>
        </w:rPr>
        <w:t>means as of each March 1</w:t>
      </w:r>
      <w:r>
        <w:rPr>
          <w:rFonts w:ascii="Arial" w:cs="Arial" w:eastAsia="Arial" w:hAnsi="Arial"/>
          <w:sz w:val="30"/>
          <w:szCs w:val="30"/>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and September 1</w:t>
      </w:r>
      <w:r>
        <w:rPr>
          <w:rFonts w:ascii="Arial" w:cs="Arial" w:eastAsia="Arial" w:hAnsi="Arial"/>
          <w:sz w:val="30"/>
          <w:szCs w:val="30"/>
          <w:color w:val="auto"/>
          <w:vertAlign w:val="superscript"/>
        </w:rPr>
        <w:t>st</w:t>
      </w:r>
      <w:r>
        <w:rPr>
          <w:rFonts w:ascii="Arial" w:cs="Arial" w:eastAsia="Arial" w:hAnsi="Arial"/>
          <w:sz w:val="18"/>
          <w:szCs w:val="18"/>
          <w:color w:val="auto"/>
        </w:rPr>
        <w:t>, the percentage derived by dividing (A) by (B), where (A) equals the</w:t>
      </w:r>
      <w:r>
        <w:rPr>
          <w:rFonts w:ascii="Arial" w:cs="Arial" w:eastAsia="Arial" w:hAnsi="Arial"/>
          <w:sz w:val="18"/>
          <w:szCs w:val="18"/>
          <w:b w:val="1"/>
          <w:bCs w:val="1"/>
          <w:color w:val="auto"/>
        </w:rPr>
        <w:t xml:space="preserve"> </w:t>
      </w:r>
      <w:r>
        <w:rPr>
          <w:rFonts w:ascii="Arial" w:cs="Arial" w:eastAsia="Arial" w:hAnsi="Arial"/>
          <w:sz w:val="18"/>
          <w:szCs w:val="18"/>
          <w:color w:val="auto"/>
        </w:rPr>
        <w:t>total number of Rights owned by INTEL on such date and (B) equals the total number of shares of Common Stock of MICRON as measured on a “fully diluted” and “as converted” basis as of such date.</w:t>
      </w:r>
    </w:p>
    <w:p>
      <w:pPr>
        <w:spacing w:after="0" w:line="198"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b w:val="1"/>
          <w:bCs w:val="1"/>
          <w:color w:val="auto"/>
        </w:rPr>
        <w:t xml:space="preserve">“Product” </w:t>
      </w:r>
      <w:r>
        <w:rPr>
          <w:rFonts w:ascii="Arial" w:cs="Arial" w:eastAsia="Arial" w:hAnsi="Arial"/>
          <w:sz w:val="18"/>
          <w:szCs w:val="18"/>
          <w:color w:val="auto"/>
        </w:rPr>
        <w:t>means any product developed and/or manufactured by MICRON during the term of this Agreement other than (a) CMOS imagers, (b)</w:t>
      </w:r>
      <w:r>
        <w:rPr>
          <w:rFonts w:ascii="Arial" w:cs="Arial" w:eastAsia="Arial" w:hAnsi="Arial"/>
          <w:sz w:val="18"/>
          <w:szCs w:val="18"/>
          <w:b w:val="1"/>
          <w:bCs w:val="1"/>
          <w:color w:val="auto"/>
        </w:rPr>
        <w:t xml:space="preserve"> </w:t>
      </w:r>
      <w:r>
        <w:rPr>
          <w:rFonts w:ascii="Arial" w:cs="Arial" w:eastAsia="Arial" w:hAnsi="Arial"/>
          <w:sz w:val="18"/>
          <w:szCs w:val="18"/>
          <w:color w:val="auto"/>
        </w:rPr>
        <w:t>NOR flash, and (c) for the avoidance of doubt, any other product purchased from third parties by Crucial Technology for purposes of resale to retail customers</w:t>
      </w:r>
      <w:r>
        <w:rPr>
          <w:rFonts w:ascii="Arial" w:cs="Arial" w:eastAsia="Arial" w:hAnsi="Arial"/>
          <w:sz w:val="18"/>
          <w:szCs w:val="18"/>
          <w:b w:val="1"/>
          <w:bCs w:val="1"/>
          <w:color w:val="auto"/>
        </w:rPr>
        <w:t>.</w:t>
      </w:r>
    </w:p>
    <w:p>
      <w:pPr>
        <w:spacing w:after="0" w:line="176"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“Product Family” </w:t>
      </w:r>
      <w:r>
        <w:rPr>
          <w:rFonts w:ascii="Arial" w:cs="Arial" w:eastAsia="Arial" w:hAnsi="Arial"/>
          <w:sz w:val="18"/>
          <w:szCs w:val="18"/>
          <w:color w:val="auto"/>
        </w:rPr>
        <w:t>means Products defined by memory type and density. Examples of separate Product Families include: 256Mb SDRAM, 64Mb</w:t>
      </w:r>
      <w:r>
        <w:rPr>
          <w:rFonts w:ascii="Arial" w:cs="Arial" w:eastAsia="Arial" w:hAnsi="Arial"/>
          <w:sz w:val="18"/>
          <w:szCs w:val="18"/>
          <w:b w:val="1"/>
          <w:bCs w:val="1"/>
          <w:color w:val="auto"/>
        </w:rPr>
        <w:t xml:space="preserve"> </w:t>
      </w:r>
      <w:r>
        <w:rPr>
          <w:rFonts w:ascii="Arial" w:cs="Arial" w:eastAsia="Arial" w:hAnsi="Arial"/>
          <w:sz w:val="18"/>
          <w:szCs w:val="18"/>
          <w:color w:val="auto"/>
        </w:rPr>
        <w:t>PSDRAM and 128Mb DDR.</w:t>
      </w:r>
    </w:p>
    <w:p>
      <w:pPr>
        <w:spacing w:after="0" w:line="162"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b w:val="1"/>
          <w:bCs w:val="1"/>
          <w:color w:val="auto"/>
        </w:rPr>
        <w:t xml:space="preserve">“Reasonable Efforts” </w:t>
      </w:r>
      <w:r>
        <w:rPr>
          <w:rFonts w:ascii="Arial" w:cs="Arial" w:eastAsia="Arial" w:hAnsi="Arial"/>
          <w:sz w:val="18"/>
          <w:szCs w:val="18"/>
          <w:color w:val="auto"/>
        </w:rPr>
        <w:t>means, in regard to Sections 4.2., 4.3 and 4.4 of this Agreement, the allocation of resources consistent with the level of</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allocated by MICRON for similar high-priority projects of like complexity.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“Rights” </w:t>
      </w:r>
      <w:r>
        <w:rPr>
          <w:rFonts w:ascii="Arial" w:cs="Arial" w:eastAsia="Arial" w:hAnsi="Arial"/>
          <w:sz w:val="16"/>
          <w:szCs w:val="16"/>
          <w:color w:val="auto"/>
        </w:rPr>
        <w:t>means the securities issuable pursuant to the Stock Rights Agreement having the rights, preferences, privileges and restrictions defined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therein.</w:t>
      </w:r>
    </w:p>
    <w:p>
      <w:pPr>
        <w:spacing w:after="0" w:line="207"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“Sample” </w:t>
      </w:r>
      <w:r>
        <w:rPr>
          <w:rFonts w:ascii="Arial" w:cs="Arial" w:eastAsia="Arial" w:hAnsi="Arial"/>
          <w:sz w:val="18"/>
          <w:szCs w:val="18"/>
          <w:color w:val="auto"/>
        </w:rPr>
        <w:t>means, as to any specific part type, a device having no known material deviations from the datasheet specifications and which is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for sending to a third party but which carries no representation or warranty of any kind, including any representation or warranty, express or implied, of merchantability or fitness for a particular purpose. The Parties acknowledge and agree that Samples have not been subjected to MICRON’s quality assurance or qualification processes.</w:t>
      </w:r>
    </w:p>
    <w:p>
      <w:pPr>
        <w:spacing w:after="0" w:line="180" w:lineRule="exact"/>
        <w:rPr>
          <w:sz w:val="20"/>
          <w:szCs w:val="20"/>
          <w:color w:val="auto"/>
        </w:rPr>
      </w:pPr>
    </w:p>
    <w:p>
      <w:pPr>
        <w:ind w:right="720" w:firstLine="648"/>
        <w:spacing w:after="0" w:line="347" w:lineRule="auto"/>
        <w:rPr>
          <w:sz w:val="20"/>
          <w:szCs w:val="20"/>
          <w:color w:val="auto"/>
        </w:rPr>
      </w:pPr>
      <w:r>
        <w:rPr>
          <w:rFonts w:ascii="Arial" w:cs="Arial" w:eastAsia="Arial" w:hAnsi="Arial"/>
          <w:sz w:val="16"/>
          <w:szCs w:val="16"/>
          <w:b w:val="1"/>
          <w:bCs w:val="1"/>
          <w:color w:val="auto"/>
        </w:rPr>
        <w:t xml:space="preserve">“Securities Purchase Agreement” </w:t>
      </w:r>
      <w:r>
        <w:rPr>
          <w:rFonts w:ascii="Arial" w:cs="Arial" w:eastAsia="Arial" w:hAnsi="Arial"/>
          <w:sz w:val="16"/>
          <w:szCs w:val="16"/>
          <w:color w:val="auto"/>
        </w:rPr>
        <w:t>means that agreement titled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Securities Purchase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of even date herewith entered into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MICRON and INTEL Capital Corporation, a subsidiary of INTEL (“INTEL CAPITAL”), as such agreement may be amended from time to time.</w:t>
      </w:r>
    </w:p>
    <w:p>
      <w:pPr>
        <w:spacing w:after="0" w:line="116"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b w:val="1"/>
          <w:bCs w:val="1"/>
          <w:color w:val="auto"/>
        </w:rPr>
        <w:t xml:space="preserve">“Securities Rights Agreement” </w:t>
      </w:r>
      <w:r>
        <w:rPr>
          <w:rFonts w:ascii="Arial" w:cs="Arial" w:eastAsia="Arial" w:hAnsi="Arial"/>
          <w:sz w:val="18"/>
          <w:szCs w:val="18"/>
          <w:color w:val="auto"/>
        </w:rPr>
        <w:t>means that agreement titled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Securities Rights and Restrictions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of even date herewith entered into</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MICRON and INTEL CAPITAL, as such agreement may be amended from time to time.</w:t>
      </w:r>
    </w:p>
    <w:p>
      <w:pPr>
        <w:spacing w:after="0" w:line="16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“Stock Rights Agreement” </w:t>
      </w:r>
      <w:r>
        <w:rPr>
          <w:rFonts w:ascii="Arial" w:cs="Arial" w:eastAsia="Arial" w:hAnsi="Arial"/>
          <w:sz w:val="18"/>
          <w:szCs w:val="18"/>
          <w:color w:val="auto"/>
        </w:rPr>
        <w:t>means that agreement titled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Stock Rights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of even date herewith entered into between MICRON and INTEL</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as such agreement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8" w:lineRule="exact"/>
        <w:rPr>
          <w:sz w:val="20"/>
          <w:szCs w:val="20"/>
          <w:color w:val="auto"/>
        </w:rPr>
      </w:pPr>
    </w:p>
    <w:p>
      <w:pPr>
        <w:ind w:right="120" w:firstLine="8"/>
        <w:spacing w:after="0" w:line="277"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treatement has been requested with respect to the omitted portions.</w:t>
      </w:r>
    </w:p>
    <w:p>
      <w:pPr>
        <w:sectPr>
          <w:pgSz w:w="11900" w:h="16838" w:orient="portrait"/>
          <w:cols w:equalWidth="0" w:num="1">
            <w:col w:w="11420"/>
          </w:cols>
          <w:pgMar w:left="240" w:top="121"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21" w:name="page22"/>
    <w:bookmarkEnd w:id="21"/>
    <w:p>
      <w:pPr>
        <w:spacing w:after="0" w:line="100" w:lineRule="exact"/>
        <w:rPr>
          <w:sz w:val="20"/>
          <w:szCs w:val="20"/>
          <w:color w:val="auto"/>
        </w:rPr>
      </w:pPr>
    </w:p>
    <w:p>
      <w:pPr>
        <w:ind w:right="120" w:firstLine="648"/>
        <w:spacing w:after="0" w:line="313" w:lineRule="auto"/>
        <w:rPr>
          <w:sz w:val="20"/>
          <w:szCs w:val="20"/>
          <w:color w:val="auto"/>
        </w:rPr>
      </w:pPr>
      <w:r>
        <w:rPr>
          <w:rFonts w:ascii="Arial" w:cs="Arial" w:eastAsia="Arial" w:hAnsi="Arial"/>
          <w:sz w:val="17"/>
          <w:szCs w:val="17"/>
          <w:b w:val="1"/>
          <w:bCs w:val="1"/>
          <w:color w:val="auto"/>
        </w:rPr>
        <w:t xml:space="preserve">“Subsidiary” </w:t>
      </w:r>
      <w:r>
        <w:rPr>
          <w:rFonts w:ascii="Arial" w:cs="Arial" w:eastAsia="Arial" w:hAnsi="Arial"/>
          <w:sz w:val="17"/>
          <w:szCs w:val="17"/>
          <w:color w:val="auto"/>
        </w:rPr>
        <w:t>of a person means any corporation or other entity of which the securities or other ownership interest having ordinary voting power to</w:t>
      </w:r>
      <w:r>
        <w:rPr>
          <w:rFonts w:ascii="Arial" w:cs="Arial" w:eastAsia="Arial" w:hAnsi="Arial"/>
          <w:sz w:val="17"/>
          <w:szCs w:val="17"/>
          <w:b w:val="1"/>
          <w:bCs w:val="1"/>
          <w:color w:val="auto"/>
        </w:rPr>
        <w:t xml:space="preserve"> </w:t>
      </w:r>
      <w:r>
        <w:rPr>
          <w:rFonts w:ascii="Arial" w:cs="Arial" w:eastAsia="Arial" w:hAnsi="Arial"/>
          <w:sz w:val="17"/>
          <w:szCs w:val="17"/>
          <w:color w:val="auto"/>
        </w:rPr>
        <w:t>elect a majority of the board of directors or other persons performing similar functions are owned directly or indirectly by such person.</w:t>
      </w:r>
    </w:p>
    <w:p>
      <w:pPr>
        <w:spacing w:after="0" w:line="14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Unless otherwise explicitly noted, any time period expressed in terms of year or quarter in this Agreement means the calendar year or calendar quarter, respectively.</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300mm WAFER CAPACITY</w:t>
      </w:r>
    </w:p>
    <w:p>
      <w:pPr>
        <w:spacing w:after="0" w:line="225"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MICRON shall incur Capital Expenditures as provided in Schedule 1.1 hereto.</w:t>
      </w:r>
    </w:p>
    <w:p>
      <w:pPr>
        <w:spacing w:after="0" w:line="225"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color w:val="auto"/>
        </w:rPr>
        <w:t>MICRON shall achieve Capacity on its 300mm DRAM wafer production lines as provided in Schedule 1.2 hereto.</w:t>
      </w:r>
    </w:p>
    <w:p>
      <w:pPr>
        <w:spacing w:after="0" w:line="200" w:lineRule="exact"/>
        <w:rPr>
          <w:sz w:val="20"/>
          <w:szCs w:val="20"/>
          <w:color w:val="auto"/>
        </w:rPr>
      </w:pPr>
    </w:p>
    <w:p>
      <w:pPr>
        <w:spacing w:after="0" w:line="24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DDR2 REQUIREMENTS</w:t>
      </w:r>
    </w:p>
    <w:p>
      <w:pPr>
        <w:spacing w:after="0" w:line="229"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MICRON shall provide Samples to INTEL and achieve volume production of DDR2 pursuant to the schedules referenced in Sections 2.1 and 2.2 below:</w:t>
      </w:r>
    </w:p>
    <w:p>
      <w:pPr>
        <w:spacing w:after="0" w:line="166"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DDR2 Product Samples: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Schedule 2.1 hereto.</w:t>
      </w:r>
    </w:p>
    <w:p>
      <w:pPr>
        <w:spacing w:after="0" w:line="22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DDR2 Volume Production</w:t>
      </w:r>
      <w:r>
        <w:rPr>
          <w:rFonts w:ascii="Arial" w:cs="Arial" w:eastAsia="Arial" w:hAnsi="Arial"/>
          <w:sz w:val="16"/>
          <w:szCs w:val="16"/>
          <w:color w:val="auto"/>
        </w:rPr>
        <w:t>:</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Schedule 2.2 hereto.</w:t>
      </w:r>
    </w:p>
    <w:p>
      <w:pPr>
        <w:spacing w:after="0" w:line="221" w:lineRule="exact"/>
        <w:rPr>
          <w:sz w:val="20"/>
          <w:szCs w:val="20"/>
          <w:color w:val="auto"/>
        </w:rPr>
      </w:pPr>
    </w:p>
    <w:p>
      <w:pPr>
        <w:ind w:left="1620" w:right="60" w:hanging="647"/>
        <w:spacing w:after="0" w:line="272" w:lineRule="auto"/>
        <w:tabs>
          <w:tab w:leader="none" w:pos="16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 xml:space="preserve">Inventory Cut Off – Forward Looking. </w:t>
      </w:r>
      <w:r>
        <w:rPr>
          <w:rFonts w:ascii="Arial" w:cs="Arial" w:eastAsia="Arial" w:hAnsi="Arial"/>
          <w:sz w:val="17"/>
          <w:szCs w:val="17"/>
          <w:color w:val="auto"/>
        </w:rPr>
        <w:t>Notwithstanding the production requirements specified in Section 2.2 above and subsequent</w:t>
      </w:r>
      <w:r>
        <w:rPr>
          <w:rFonts w:ascii="Arial" w:cs="Arial" w:eastAsia="Arial" w:hAnsi="Arial"/>
          <w:sz w:val="17"/>
          <w:szCs w:val="17"/>
          <w:b w:val="1"/>
          <w:bCs w:val="1"/>
          <w:color w:val="auto"/>
        </w:rPr>
        <w:t xml:space="preserve"> </w:t>
      </w:r>
      <w:r>
        <w:rPr>
          <w:rFonts w:ascii="Arial" w:cs="Arial" w:eastAsia="Arial" w:hAnsi="Arial"/>
          <w:sz w:val="17"/>
          <w:szCs w:val="17"/>
          <w:color w:val="auto"/>
        </w:rPr>
        <w:t>to [*], following consultation with and notice to INTEL, MICRON shall not be required to produce DDR2 at a rate that may result in finished goods inventory of such devices exceeding sixty (60) days projected sales thereof (measured from the Finished Goods Inventory Measurement Date and based upon the average of MICRON’s DDR2 demand forecast for the ninety (90) day period commencing with the Finished Goods Inventory Measurement Date and INTEL’s projections (worldwide demand forecast adjusted for an assumed MICRON [*] market segment share for DDR2 products) for the same ninety (90) day period). In the event an Inventory Limitation is implemented, MICRON will review customer forecasts and INTEL’S projections on a weekly basis until such time as MICRON determines that an Inventory Limitation is no longer applicable.</w:t>
      </w:r>
    </w:p>
    <w:p>
      <w:pPr>
        <w:spacing w:after="0" w:line="176" w:lineRule="exact"/>
        <w:rPr>
          <w:sz w:val="20"/>
          <w:szCs w:val="20"/>
          <w:color w:val="auto"/>
        </w:rPr>
      </w:pPr>
    </w:p>
    <w:p>
      <w:pPr>
        <w:ind w:left="1620" w:right="360"/>
        <w:spacing w:after="0" w:line="277" w:lineRule="auto"/>
        <w:rPr>
          <w:sz w:val="20"/>
          <w:szCs w:val="20"/>
          <w:color w:val="auto"/>
        </w:rPr>
      </w:pPr>
      <w:r>
        <w:rPr>
          <w:rFonts w:ascii="Arial" w:cs="Arial" w:eastAsia="Arial" w:hAnsi="Arial"/>
          <w:sz w:val="18"/>
          <w:szCs w:val="18"/>
          <w:color w:val="auto"/>
        </w:rPr>
        <w:t>In the event an Inventory Limitation is implemented for one hundred eighty (180) consecutive days or less, MICRON shall, within ninety (90) days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0" w:lineRule="exact"/>
        <w:rPr>
          <w:sz w:val="20"/>
          <w:szCs w:val="20"/>
          <w:color w:val="auto"/>
        </w:rPr>
      </w:pPr>
    </w:p>
    <w:p>
      <w:pPr>
        <w:ind w:right="100" w:firstLine="8"/>
        <w:spacing w:after="0" w:line="277" w:lineRule="auto"/>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treatement has been requested with respect to the omitted portions.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right="20"/>
        <w:spacing w:after="0" w:line="291" w:lineRule="auto"/>
        <w:rPr>
          <w:sz w:val="20"/>
          <w:szCs w:val="20"/>
          <w:color w:val="auto"/>
        </w:rPr>
      </w:pPr>
      <w:r>
        <w:rPr>
          <w:rFonts w:ascii="Arial" w:cs="Arial" w:eastAsia="Arial" w:hAnsi="Arial"/>
          <w:sz w:val="16"/>
          <w:szCs w:val="16"/>
          <w:color w:val="auto"/>
        </w:rPr>
        <w:t>the date that the Inventory Limitation no longer applies (assuming no intervening Inventory Limitation has occurred during such ninety (90) day period), return to the minimum volume production set forth in Section 2.2 above applicable to the quarter in which such</w:t>
      </w:r>
    </w:p>
    <w:p>
      <w:pPr>
        <w:ind w:left="1620"/>
        <w:spacing w:after="0" w:line="247" w:lineRule="auto"/>
        <w:rPr>
          <w:sz w:val="20"/>
          <w:szCs w:val="20"/>
          <w:color w:val="auto"/>
        </w:rPr>
      </w:pPr>
      <w:r>
        <w:rPr>
          <w:rFonts w:ascii="Arial" w:cs="Arial" w:eastAsia="Arial" w:hAnsi="Arial"/>
          <w:sz w:val="16"/>
          <w:szCs w:val="16"/>
          <w:color w:val="auto"/>
        </w:rPr>
        <w:t>ninetieth (90</w:t>
      </w:r>
      <w:r>
        <w:rPr>
          <w:rFonts w:ascii="Arial" w:cs="Arial" w:eastAsia="Arial" w:hAnsi="Arial"/>
          <w:sz w:val="26"/>
          <w:szCs w:val="26"/>
          <w:color w:val="auto"/>
          <w:vertAlign w:val="superscript"/>
        </w:rPr>
        <w:t>th</w:t>
      </w:r>
      <w:r>
        <w:rPr>
          <w:rFonts w:ascii="Arial" w:cs="Arial" w:eastAsia="Arial" w:hAnsi="Arial"/>
          <w:sz w:val="16"/>
          <w:szCs w:val="16"/>
          <w:color w:val="auto"/>
        </w:rPr>
        <w:t>) day falls. If, however, an Inventory Limitation is implemented for more than one hundred and eighty (180) consecutive days, MICRON shall, within ninety (90) days from the date that the Inventory Limitation no longer applies (assuming no intervening Inventory Limitation has occurred during such ninety (90) day period), return to the minimum volume production set forth in Section</w:t>
      </w:r>
    </w:p>
    <w:p>
      <w:pPr>
        <w:spacing w:after="0" w:line="2" w:lineRule="exact"/>
        <w:rPr>
          <w:sz w:val="20"/>
          <w:szCs w:val="20"/>
          <w:color w:val="auto"/>
        </w:rPr>
      </w:pPr>
    </w:p>
    <w:p>
      <w:pPr>
        <w:ind w:left="1620" w:right="80"/>
        <w:spacing w:after="0" w:line="234" w:lineRule="auto"/>
        <w:rPr>
          <w:sz w:val="20"/>
          <w:szCs w:val="20"/>
          <w:color w:val="auto"/>
        </w:rPr>
      </w:pPr>
      <w:r>
        <w:rPr>
          <w:rFonts w:ascii="Arial" w:cs="Arial" w:eastAsia="Arial" w:hAnsi="Arial"/>
          <w:sz w:val="16"/>
          <w:szCs w:val="16"/>
          <w:color w:val="auto"/>
        </w:rPr>
        <w:t>2.2 above applicable to the quarter in which such ninetieth (90</w:t>
      </w:r>
      <w:r>
        <w:rPr>
          <w:rFonts w:ascii="Arial" w:cs="Arial" w:eastAsia="Arial" w:hAnsi="Arial"/>
          <w:sz w:val="26"/>
          <w:szCs w:val="26"/>
          <w:color w:val="auto"/>
          <w:vertAlign w:val="superscript"/>
        </w:rPr>
        <w:t>th</w:t>
      </w:r>
      <w:r>
        <w:rPr>
          <w:rFonts w:ascii="Arial" w:cs="Arial" w:eastAsia="Arial" w:hAnsi="Arial"/>
          <w:sz w:val="16"/>
          <w:szCs w:val="16"/>
          <w:color w:val="auto"/>
        </w:rPr>
        <w:t>) day falls; provided, however, notwithstanding the foregoing, MICRON shall not be liable for any damages under this Agreement for failure to meet the production volumes of Section 2.2 above if,</w:t>
      </w:r>
    </w:p>
    <w:p>
      <w:pPr>
        <w:spacing w:after="0" w:line="2" w:lineRule="exact"/>
        <w:rPr>
          <w:sz w:val="20"/>
          <w:szCs w:val="20"/>
          <w:color w:val="auto"/>
        </w:rPr>
      </w:pPr>
    </w:p>
    <w:p>
      <w:pPr>
        <w:ind w:left="1620" w:right="60"/>
        <w:spacing w:after="0" w:line="232" w:lineRule="auto"/>
        <w:rPr>
          <w:sz w:val="20"/>
          <w:szCs w:val="20"/>
          <w:color w:val="auto"/>
        </w:rPr>
      </w:pPr>
      <w:r>
        <w:rPr>
          <w:rFonts w:ascii="Arial" w:cs="Arial" w:eastAsia="Arial" w:hAnsi="Arial"/>
          <w:sz w:val="18"/>
          <w:szCs w:val="18"/>
          <w:color w:val="auto"/>
        </w:rPr>
        <w:t>in order to achieve the quarterly production of DDR2 Product for the quarter in which the ninetieth (90</w:t>
      </w:r>
      <w:r>
        <w:rPr>
          <w:rFonts w:ascii="Arial" w:cs="Arial" w:eastAsia="Arial" w:hAnsi="Arial"/>
          <w:sz w:val="30"/>
          <w:szCs w:val="30"/>
          <w:color w:val="auto"/>
          <w:vertAlign w:val="superscript"/>
        </w:rPr>
        <w:t>th</w:t>
      </w:r>
      <w:r>
        <w:rPr>
          <w:rFonts w:ascii="Arial" w:cs="Arial" w:eastAsia="Arial" w:hAnsi="Arial"/>
          <w:sz w:val="18"/>
          <w:szCs w:val="18"/>
          <w:color w:val="auto"/>
        </w:rPr>
        <w:t>) day falls (with respect to an Inventory Limitation in excess of one hundred and eighty (180) days), MICRON would have to increase production volume of DDR2 Product (measured in 256 Mb equivalents) greater than [*] based on the number of DDR2 256 Mb equivalents being produced by MICRON on the last day of MICRON’s fiscal month immediately preceding the day on which such Inventory Limitation is lifted. In such event, MICRON and INTEL shall adjust each of the relevant remaining quarterly DDR2 volume production milestones to equal a production ramp rate of no greater than [*].</w:t>
      </w:r>
    </w:p>
    <w:p>
      <w:pPr>
        <w:spacing w:after="0" w:line="201"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8"/>
          <w:szCs w:val="18"/>
          <w:b w:val="1"/>
          <w:bCs w:val="1"/>
          <w:color w:val="auto"/>
        </w:rPr>
        <w:t>MANAGEMENT MEETINGS AND ROADMAP ALIGNMENT</w:t>
      </w:r>
    </w:p>
    <w:p>
      <w:pPr>
        <w:spacing w:after="0" w:line="225" w:lineRule="exact"/>
        <w:rPr>
          <w:sz w:val="20"/>
          <w:szCs w:val="20"/>
          <w:color w:val="auto"/>
        </w:rPr>
      </w:pPr>
    </w:p>
    <w:p>
      <w:pPr>
        <w:ind w:left="1620" w:right="160" w:hanging="647"/>
        <w:spacing w:after="0" w:line="266" w:lineRule="auto"/>
        <w:tabs>
          <w:tab w:leader="none" w:pos="16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 xml:space="preserve">Management Review Meetings. </w:t>
      </w:r>
      <w:r>
        <w:rPr>
          <w:rFonts w:ascii="Arial" w:cs="Arial" w:eastAsia="Arial" w:hAnsi="Arial"/>
          <w:sz w:val="18"/>
          <w:szCs w:val="18"/>
          <w:color w:val="auto"/>
        </w:rPr>
        <w:t>INTEL and MICRON shall hold periodic executive level review meetings,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but in no event less frequently than semi-annually, to discuss matters strategic to each of the Parties, including but not limited to, the implementation of this Agreement.</w:t>
      </w:r>
    </w:p>
    <w:p>
      <w:pPr>
        <w:spacing w:after="0" w:line="176"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 xml:space="preserve">Technology Review Meetings. </w:t>
      </w:r>
      <w:r>
        <w:rPr>
          <w:rFonts w:ascii="Arial" w:cs="Arial" w:eastAsia="Arial" w:hAnsi="Arial"/>
          <w:sz w:val="16"/>
          <w:szCs w:val="16"/>
          <w:color w:val="auto"/>
        </w:rPr>
        <w:t>INTEL and MICRON shall hold a quarterly technology alignment and review meeting.</w:t>
      </w:r>
    </w:p>
    <w:p>
      <w:pPr>
        <w:spacing w:after="0" w:line="225" w:lineRule="exact"/>
        <w:rPr>
          <w:sz w:val="20"/>
          <w:szCs w:val="20"/>
          <w:color w:val="auto"/>
        </w:rPr>
      </w:pPr>
    </w:p>
    <w:p>
      <w:pPr>
        <w:jc w:val="both"/>
        <w:ind w:left="1620" w:right="200" w:hanging="647"/>
        <w:spacing w:after="0" w:line="266" w:lineRule="auto"/>
        <w:tabs>
          <w:tab w:leader="none" w:pos="16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 xml:space="preserve">Information Exchanged. </w:t>
      </w:r>
      <w:r>
        <w:rPr>
          <w:rFonts w:ascii="Arial" w:cs="Arial" w:eastAsia="Arial" w:hAnsi="Arial"/>
          <w:sz w:val="18"/>
          <w:szCs w:val="18"/>
          <w:color w:val="auto"/>
        </w:rPr>
        <w:t>All information exchanged or discussed pursuant to the meetings called for in Sections 3.1 and 3.2 hereof</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on a confidential basis, subject to the provisions of an applicable corporate non-disclosure agreement, and in accordance with applicable law.</w:t>
      </w:r>
    </w:p>
    <w:p>
      <w:pPr>
        <w:spacing w:after="0" w:line="176" w:lineRule="exact"/>
        <w:rPr>
          <w:sz w:val="20"/>
          <w:szCs w:val="20"/>
          <w:color w:val="auto"/>
        </w:rPr>
      </w:pPr>
    </w:p>
    <w:p>
      <w:pPr>
        <w:ind w:left="1620" w:right="180" w:hanging="647"/>
        <w:spacing w:after="0" w:line="347" w:lineRule="auto"/>
        <w:tabs>
          <w:tab w:leader="none" w:pos="16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 xml:space="preserve">Milestone Communication. – </w:t>
      </w:r>
      <w:r>
        <w:rPr>
          <w:rFonts w:ascii="Arial" w:cs="Arial" w:eastAsia="Arial" w:hAnsi="Arial"/>
          <w:sz w:val="16"/>
          <w:szCs w:val="16"/>
          <w:color w:val="auto"/>
        </w:rPr>
        <w:t>MICRON shall communicate no less often than each calendar quarter, to INTEL’s identified manager,</w:t>
      </w:r>
      <w:r>
        <w:rPr>
          <w:rFonts w:ascii="Arial" w:cs="Arial" w:eastAsia="Arial" w:hAnsi="Arial"/>
          <w:sz w:val="16"/>
          <w:szCs w:val="16"/>
          <w:b w:val="1"/>
          <w:bCs w:val="1"/>
          <w:color w:val="auto"/>
        </w:rPr>
        <w:t xml:space="preserve"> </w:t>
      </w:r>
      <w:r>
        <w:rPr>
          <w:rFonts w:ascii="Arial" w:cs="Arial" w:eastAsia="Arial" w:hAnsi="Arial"/>
          <w:sz w:val="16"/>
          <w:szCs w:val="16"/>
          <w:color w:val="auto"/>
        </w:rPr>
        <w:t>MICRON’s progress in achieving the milestones set forth in Sections 1.0 and 2.0 of this Agreement. Additionally, commencing</w:t>
      </w:r>
    </w:p>
    <w:p>
      <w:pPr>
        <w:sectPr>
          <w:pgSz w:w="11900" w:h="16938" w:orient="portrait"/>
          <w:cols w:equalWidth="0" w:num="1">
            <w:col w:w="11400"/>
          </w:cols>
          <w:pgMar w:left="240" w:top="553" w:right="259" w:bottom="0" w:gutter="0" w:footer="0" w:header="0"/>
        </w:sectPr>
      </w:pPr>
    </w:p>
    <w:bookmarkStart w:id="22" w:name="page23"/>
    <w:bookmarkEnd w:id="22"/>
    <w:p>
      <w:pPr>
        <w:ind w:left="1612" w:right="360"/>
        <w:spacing w:after="0" w:line="264" w:lineRule="auto"/>
        <w:rPr>
          <w:sz w:val="20"/>
          <w:szCs w:val="20"/>
          <w:color w:val="auto"/>
        </w:rPr>
      </w:pPr>
      <w:r>
        <w:rPr>
          <w:rFonts w:ascii="Arial" w:cs="Arial" w:eastAsia="Arial" w:hAnsi="Arial"/>
          <w:sz w:val="18"/>
          <w:szCs w:val="18"/>
          <w:color w:val="auto"/>
        </w:rPr>
        <w:t>October 31, 2003 MICRON shall provide monthly to INTEL, via email, in a mutually acceptable form, a report of progress toward completion of the milestones set forth in Section 2.1, including any significant problems incurred and any failures to meet such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184150</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0" w:lineRule="exact"/>
        <w:rPr>
          <w:sz w:val="20"/>
          <w:szCs w:val="20"/>
          <w:color w:val="auto"/>
        </w:rPr>
      </w:pPr>
    </w:p>
    <w:p>
      <w:pPr>
        <w:ind w:left="-8" w:right="120" w:firstLine="8"/>
        <w:spacing w:after="0" w:line="277" w:lineRule="auto"/>
        <w:tabs>
          <w:tab w:leader="none" w:pos="2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treatement has been requested with respect to the omitted portions.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32"/>
        <w:spacing w:after="0"/>
        <w:tabs>
          <w:tab w:leader="none" w:pos="952"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7"/>
          <w:szCs w:val="17"/>
          <w:b w:val="1"/>
          <w:bCs w:val="1"/>
          <w:color w:val="auto"/>
        </w:rPr>
        <w:t>DRAM PRODUCTS</w:t>
      </w:r>
    </w:p>
    <w:p>
      <w:pPr>
        <w:spacing w:after="0" w:line="225" w:lineRule="exact"/>
        <w:rPr>
          <w:sz w:val="20"/>
          <w:szCs w:val="20"/>
          <w:color w:val="auto"/>
        </w:rPr>
      </w:pPr>
    </w:p>
    <w:p>
      <w:pPr>
        <w:ind w:left="1612" w:right="220" w:hanging="647"/>
        <w:spacing w:after="0" w:line="258" w:lineRule="auto"/>
        <w:tabs>
          <w:tab w:leader="none" w:pos="1592"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b w:val="1"/>
          <w:bCs w:val="1"/>
          <w:color w:val="auto"/>
        </w:rPr>
        <w:t xml:space="preserve">General. </w:t>
      </w:r>
      <w:r>
        <w:rPr>
          <w:rFonts w:ascii="Arial" w:cs="Arial" w:eastAsia="Arial" w:hAnsi="Arial"/>
          <w:sz w:val="18"/>
          <w:szCs w:val="18"/>
          <w:color w:val="auto"/>
        </w:rPr>
        <w:t>MICRON agrees to develop products to support any DRAM architecture to which at least two Major DRAM Suppliers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at the time of MICRON’s initiation of the development) first allocate development resources commensurate with development projects of a similar scope which are ultimately intended for Commercialization after the Effective Date. Development projects related to such DRAM architecture by MICRON will not count against INTEL’s right to direct certain derivative projects under Section 4.2 below.</w:t>
      </w:r>
    </w:p>
    <w:p>
      <w:pPr>
        <w:spacing w:after="0" w:line="184" w:lineRule="exact"/>
        <w:rPr>
          <w:sz w:val="20"/>
          <w:szCs w:val="20"/>
          <w:color w:val="auto"/>
        </w:rPr>
      </w:pPr>
    </w:p>
    <w:p>
      <w:pPr>
        <w:ind w:left="1612" w:right="40" w:hanging="647"/>
        <w:spacing w:after="0" w:line="258" w:lineRule="auto"/>
        <w:tabs>
          <w:tab w:leader="none" w:pos="1592"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b w:val="1"/>
          <w:bCs w:val="1"/>
          <w:color w:val="auto"/>
        </w:rPr>
        <w:t xml:space="preserve">Derivatives of Micron DRAM Products. </w:t>
      </w:r>
      <w:r>
        <w:rPr>
          <w:rFonts w:ascii="Arial" w:cs="Arial" w:eastAsia="Arial" w:hAnsi="Arial"/>
          <w:sz w:val="18"/>
          <w:szCs w:val="18"/>
          <w:color w:val="auto"/>
        </w:rPr>
        <w:t>Upon INTEL’s request, which request may be made [*] (measured from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and each [*] thereafter), MICRON shall use Reasonable Efforts, at its own expense, to develop and Commercialize a Derivative Product according to specifications delivered by INTEL to MICRON from a DRAM Product that is currently being manufactured, marketed and sold by MICRON. MICRON shall not be obligated to undertake more than [*] to develop a Derivative Product at any given time.</w:t>
      </w:r>
    </w:p>
    <w:p>
      <w:pPr>
        <w:spacing w:after="0" w:line="184" w:lineRule="exact"/>
        <w:rPr>
          <w:sz w:val="20"/>
          <w:szCs w:val="20"/>
          <w:color w:val="auto"/>
        </w:rPr>
      </w:pPr>
    </w:p>
    <w:p>
      <w:pPr>
        <w:ind w:left="1612" w:hanging="647"/>
        <w:spacing w:after="0" w:line="258" w:lineRule="auto"/>
        <w:tabs>
          <w:tab w:leader="none" w:pos="1592"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 xml:space="preserve">Custom-Designed DRAM Products for INTEL. </w:t>
      </w:r>
      <w:r>
        <w:rPr>
          <w:rFonts w:ascii="Arial" w:cs="Arial" w:eastAsia="Arial" w:hAnsi="Arial"/>
          <w:sz w:val="18"/>
          <w:szCs w:val="18"/>
          <w:color w:val="auto"/>
        </w:rPr>
        <w:t>Upon INTEL’s request, which request may be made [*], MICRON shall use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Efforts, at its own expense, to develop and Commercialize a custom-designed DRAM Product specified by INTEL that will support specified INTEL products. MICRON shall commit one team of design engineers to the custom design project. INTEL shall provide MICRON with the INTEL product designs, specifications and other information necessary for the development of the custom-designed DRAM Product.</w:t>
      </w:r>
    </w:p>
    <w:p>
      <w:pPr>
        <w:spacing w:after="0" w:line="184" w:lineRule="exact"/>
        <w:rPr>
          <w:sz w:val="20"/>
          <w:szCs w:val="20"/>
          <w:color w:val="auto"/>
        </w:rPr>
      </w:pPr>
    </w:p>
    <w:p>
      <w:pPr>
        <w:jc w:val="both"/>
        <w:ind w:left="1612" w:right="100" w:hanging="647"/>
        <w:spacing w:after="0" w:line="261" w:lineRule="auto"/>
        <w:tabs>
          <w:tab w:leader="none" w:pos="1592"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b w:val="1"/>
          <w:bCs w:val="1"/>
          <w:color w:val="auto"/>
        </w:rPr>
        <w:t xml:space="preserve">Next Generation DRAM Products. </w:t>
      </w:r>
      <w:r>
        <w:rPr>
          <w:rFonts w:ascii="Arial" w:cs="Arial" w:eastAsia="Arial" w:hAnsi="Arial"/>
          <w:sz w:val="18"/>
          <w:szCs w:val="18"/>
          <w:color w:val="auto"/>
        </w:rPr>
        <w:t>MICRON and INTEL shall work together using Reasonable Efforts to develop next-generation</w:t>
      </w:r>
      <w:r>
        <w:rPr>
          <w:rFonts w:ascii="Arial" w:cs="Arial" w:eastAsia="Arial" w:hAnsi="Arial"/>
          <w:sz w:val="18"/>
          <w:szCs w:val="18"/>
          <w:b w:val="1"/>
          <w:bCs w:val="1"/>
          <w:color w:val="auto"/>
        </w:rPr>
        <w:t xml:space="preserve"> </w:t>
      </w:r>
      <w:r>
        <w:rPr>
          <w:rFonts w:ascii="Arial" w:cs="Arial" w:eastAsia="Arial" w:hAnsi="Arial"/>
          <w:sz w:val="18"/>
          <w:szCs w:val="18"/>
          <w:color w:val="auto"/>
        </w:rPr>
        <w:t>DRAM products that will incorporate advanced DRAM technology. The parties will work in good faith to (a) identify and agree upon specific projects for development, (b) allocate resources consistent with the scope, timeline and expected deliverables of such projects, and (c) periodically meet and review the status of such projects.</w:t>
      </w:r>
    </w:p>
    <w:p>
      <w:pPr>
        <w:spacing w:after="0" w:line="180" w:lineRule="exact"/>
        <w:rPr>
          <w:sz w:val="20"/>
          <w:szCs w:val="20"/>
          <w:color w:val="auto"/>
        </w:rPr>
      </w:pPr>
    </w:p>
    <w:p>
      <w:pPr>
        <w:ind w:left="1612" w:right="140" w:hanging="647"/>
        <w:spacing w:after="0" w:line="256" w:lineRule="auto"/>
        <w:tabs>
          <w:tab w:leader="none" w:pos="1592"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8"/>
          <w:szCs w:val="18"/>
          <w:b w:val="1"/>
          <w:bCs w:val="1"/>
          <w:color w:val="auto"/>
        </w:rPr>
        <w:t xml:space="preserve">Additional Provisions. </w:t>
      </w:r>
      <w:r>
        <w:rPr>
          <w:rFonts w:ascii="Arial" w:cs="Arial" w:eastAsia="Arial" w:hAnsi="Arial"/>
          <w:sz w:val="18"/>
          <w:szCs w:val="18"/>
          <w:color w:val="auto"/>
        </w:rPr>
        <w:t>Each Party shall own all intellectual property that is developed solely by such Party as a result of the projects</w:t>
      </w:r>
      <w:r>
        <w:rPr>
          <w:rFonts w:ascii="Arial" w:cs="Arial" w:eastAsia="Arial" w:hAnsi="Arial"/>
          <w:sz w:val="18"/>
          <w:szCs w:val="18"/>
          <w:b w:val="1"/>
          <w:bCs w:val="1"/>
          <w:color w:val="auto"/>
        </w:rPr>
        <w:t xml:space="preserve"> </w:t>
      </w:r>
      <w:r>
        <w:rPr>
          <w:rFonts w:ascii="Arial" w:cs="Arial" w:eastAsia="Arial" w:hAnsi="Arial"/>
          <w:sz w:val="18"/>
          <w:szCs w:val="18"/>
          <w:color w:val="auto"/>
        </w:rPr>
        <w:t>undertaken pursuant to Sections 4.1, 4.2, 4.3 and 4.4 above, respectively. The ownership rights governing intellectual property provided by one Party to the other in support of such projects or intellectual property that results from joint collaboration shall be defined on a project by project basis pursuant to a mutually agreed collaboration agreement. At the initiation of any development project outlined in Sections 4.1, 4.2, 4.3 and 4.4 above, the Parties shall review any identified third party royalty obligations or claims of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1" w:lineRule="exact"/>
        <w:rPr>
          <w:sz w:val="20"/>
          <w:szCs w:val="20"/>
          <w:color w:val="auto"/>
        </w:rPr>
      </w:pPr>
    </w:p>
    <w:p>
      <w:pPr>
        <w:ind w:left="-8" w:right="120" w:firstLine="8"/>
        <w:spacing w:after="0" w:line="277" w:lineRule="auto"/>
        <w:tabs>
          <w:tab w:leader="none" w:pos="292"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treatement has been requested with respect to the omitted portions.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12" w:right="40"/>
        <w:spacing w:after="0" w:line="312" w:lineRule="auto"/>
        <w:rPr>
          <w:sz w:val="20"/>
          <w:szCs w:val="20"/>
          <w:color w:val="auto"/>
        </w:rPr>
      </w:pPr>
      <w:r>
        <w:rPr>
          <w:rFonts w:ascii="Arial" w:cs="Arial" w:eastAsia="Arial" w:hAnsi="Arial"/>
          <w:sz w:val="16"/>
          <w:szCs w:val="16"/>
          <w:color w:val="auto"/>
        </w:rPr>
        <w:t>infringement that may be applicable to products resulting from such development. If applicable third party royalties or claims of intellectual property infringement are identified, MICRON will be obligated to perform and complete the development but may decline to manufacture any product that would subject MICRON to a claim for such royalty payments or intellectual property infringement.</w:t>
      </w:r>
    </w:p>
    <w:p>
      <w:pPr>
        <w:spacing w:after="0" w:line="143" w:lineRule="exact"/>
        <w:rPr>
          <w:sz w:val="20"/>
          <w:szCs w:val="20"/>
          <w:color w:val="auto"/>
        </w:rPr>
      </w:pPr>
    </w:p>
    <w:p>
      <w:pPr>
        <w:ind w:left="332"/>
        <w:spacing w:after="0"/>
        <w:tabs>
          <w:tab w:leader="none" w:pos="952"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8"/>
          <w:szCs w:val="18"/>
          <w:b w:val="1"/>
          <w:bCs w:val="1"/>
          <w:color w:val="auto"/>
        </w:rPr>
        <w:t>PRODUCT VALIDATION</w:t>
      </w:r>
    </w:p>
    <w:p>
      <w:pPr>
        <w:spacing w:after="0" w:line="225" w:lineRule="exact"/>
        <w:rPr>
          <w:sz w:val="20"/>
          <w:szCs w:val="20"/>
          <w:color w:val="auto"/>
        </w:rPr>
      </w:pPr>
    </w:p>
    <w:p>
      <w:pPr>
        <w:ind w:left="972"/>
        <w:spacing w:after="0"/>
        <w:tabs>
          <w:tab w:leader="none" w:pos="1592"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 xml:space="preserve">Product Validation Priority. </w:t>
      </w:r>
      <w:r>
        <w:rPr>
          <w:rFonts w:ascii="Arial" w:cs="Arial" w:eastAsia="Arial" w:hAnsi="Arial"/>
          <w:sz w:val="16"/>
          <w:szCs w:val="16"/>
          <w:color w:val="auto"/>
        </w:rPr>
        <w:t>INTEL shall give MICRON DRAM Products priority in the scheduling of validation services.</w:t>
      </w:r>
    </w:p>
    <w:p>
      <w:pPr>
        <w:spacing w:after="0" w:line="225" w:lineRule="exact"/>
        <w:rPr>
          <w:sz w:val="20"/>
          <w:szCs w:val="20"/>
          <w:color w:val="auto"/>
        </w:rPr>
      </w:pPr>
    </w:p>
    <w:p>
      <w:pPr>
        <w:ind w:left="1612" w:right="160" w:hanging="647"/>
        <w:spacing w:after="0" w:line="266" w:lineRule="auto"/>
        <w:tabs>
          <w:tab w:leader="none" w:pos="1592"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b w:val="1"/>
          <w:bCs w:val="1"/>
          <w:color w:val="auto"/>
        </w:rPr>
        <w:t xml:space="preserve">Joint Validation of Micron Products. </w:t>
      </w:r>
      <w:r>
        <w:rPr>
          <w:rFonts w:ascii="Arial" w:cs="Arial" w:eastAsia="Arial" w:hAnsi="Arial"/>
          <w:sz w:val="18"/>
          <w:szCs w:val="18"/>
          <w:color w:val="auto"/>
        </w:rPr>
        <w:t>MICRON and INTEL will each allocate [*] or more engineers reasonably acceptable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to create a joint product validation team. This joint product validation team will focus on validating MICRON memory on INTEL platforms.</w:t>
      </w:r>
    </w:p>
    <w:p>
      <w:pPr>
        <w:spacing w:after="0" w:line="176" w:lineRule="exact"/>
        <w:rPr>
          <w:sz w:val="20"/>
          <w:szCs w:val="20"/>
          <w:color w:val="auto"/>
        </w:rPr>
      </w:pPr>
    </w:p>
    <w:p>
      <w:pPr>
        <w:ind w:left="332"/>
        <w:spacing w:after="0"/>
        <w:tabs>
          <w:tab w:leader="none" w:pos="952"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rFonts w:ascii="Arial" w:cs="Arial" w:eastAsia="Arial" w:hAnsi="Arial"/>
          <w:sz w:val="18"/>
          <w:szCs w:val="18"/>
          <w:b w:val="1"/>
          <w:bCs w:val="1"/>
          <w:color w:val="auto"/>
        </w:rPr>
        <w:t>CALL ON CAPACITY</w:t>
      </w:r>
    </w:p>
    <w:p>
      <w:pPr>
        <w:spacing w:after="0" w:line="225" w:lineRule="exact"/>
        <w:rPr>
          <w:sz w:val="20"/>
          <w:szCs w:val="20"/>
          <w:color w:val="auto"/>
        </w:rPr>
      </w:pPr>
    </w:p>
    <w:p>
      <w:pPr>
        <w:ind w:left="1612" w:right="60" w:hanging="647"/>
        <w:spacing w:after="0" w:line="272" w:lineRule="auto"/>
        <w:tabs>
          <w:tab w:leader="none" w:pos="1592"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color w:val="auto"/>
        </w:rPr>
        <w:t xml:space="preserve">Purchase of Product. </w:t>
      </w:r>
      <w:r>
        <w:rPr>
          <w:rFonts w:ascii="Arial" w:cs="Arial" w:eastAsia="Arial" w:hAnsi="Arial"/>
          <w:sz w:val="17"/>
          <w:szCs w:val="17"/>
          <w:color w:val="auto"/>
        </w:rPr>
        <w:t>Each month during the term of this Agreement, commencing ninety (90) days after the Effective date, INTEL</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a right to purchase a percent, up to its Percentage Call on Capacity, of MICRON’s Output of Products for such month. Such purchases may be made in discrete component or module form. For avoidance of doubt, the Parties acknowledge and agree that all Products sold by MICRON to INTEL in any given month shall count against INTEL’s Call on Capacity for such month, including without limitation Products sold pursuant to Section 5 of Addendum D to the CPA. Subject to the limitations set forth in this Section 6 below, INTEL’s right to purchase MICRON’s Output can be 100% applied to any single MICRON Product by Product Family. Notwithstanding anything herein to the contrary, the portion of the Percentage Call on Capacity not utilized by INTEL or its designee in any calendar month may not be carried forward to any subsequent month.</w:t>
      </w:r>
    </w:p>
    <w:p>
      <w:pPr>
        <w:sectPr>
          <w:pgSz w:w="11900" w:h="16838" w:orient="portrait"/>
          <w:cols w:equalWidth="0" w:num="1">
            <w:col w:w="11412"/>
          </w:cols>
          <w:pgMar w:left="248" w:top="125" w:right="239" w:bottom="186" w:gutter="0" w:footer="0" w:header="0"/>
        </w:sectPr>
      </w:pPr>
    </w:p>
    <w:bookmarkStart w:id="23" w:name="page24"/>
    <w:bookmarkEnd w:id="23"/>
    <w:p>
      <w:pPr>
        <w:ind w:left="1620" w:right="80" w:hanging="647"/>
        <w:spacing w:after="0" w:line="273" w:lineRule="auto"/>
        <w:tabs>
          <w:tab w:leader="none" w:pos="16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 xml:space="preserve">Purchase of Product Under the Call on Capacity. </w:t>
      </w:r>
      <w:r>
        <w:rPr>
          <w:rFonts w:ascii="Arial" w:cs="Arial" w:eastAsia="Arial" w:hAnsi="Arial"/>
          <w:sz w:val="17"/>
          <w:szCs w:val="17"/>
          <w:color w:val="auto"/>
        </w:rPr>
        <w:t>Products sold by MICRON to INTEL pursuant to INTEL’s Call on Capacity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sold pursuant to the terms and conditions of the Corporate Purchase Agreement, including Products developed and Commercialized pursuant to Sections 4.2 and 4.3; provided that notwithstanding anything to the contrary in the Corporate Purchase Agreement, INTEL may not, within two weeks of the scheduled delivery date, cancel scheduled Product deliveries under any purchase orders to the extent such purchase orders provide for deliveries in any month of [*] or more of MICRON’s anticipated Output for such month. For avoidance of doubt, quantities of Products that constitute less than [*] of the anticipated monthly Output shall remain subject to the standard cancellation terms of the Corporate Purchase Agreement. Products sold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5" w:lineRule="exact"/>
        <w:rPr>
          <w:sz w:val="20"/>
          <w:szCs w:val="20"/>
          <w:color w:val="auto"/>
        </w:rPr>
      </w:pPr>
    </w:p>
    <w:p>
      <w:pPr>
        <w:ind w:right="120" w:firstLine="8"/>
        <w:spacing w:after="0" w:line="277" w:lineRule="auto"/>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treatement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MICRON to INTEL’s designees pursuant to Sections 6.4 and 6.5, respectively, shall be governed by the terms thereof.</w:t>
      </w:r>
    </w:p>
    <w:p>
      <w:pPr>
        <w:spacing w:after="0" w:line="221" w:lineRule="exact"/>
        <w:rPr>
          <w:sz w:val="20"/>
          <w:szCs w:val="20"/>
          <w:color w:val="auto"/>
        </w:rPr>
      </w:pPr>
    </w:p>
    <w:p>
      <w:pPr>
        <w:ind w:left="1620" w:right="60" w:hanging="647"/>
        <w:spacing w:after="0" w:line="295" w:lineRule="auto"/>
        <w:tabs>
          <w:tab w:leader="none" w:pos="16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 xml:space="preserve">Forecasts. </w:t>
      </w:r>
      <w:r>
        <w:rPr>
          <w:rFonts w:ascii="Arial" w:cs="Arial" w:eastAsia="Arial" w:hAnsi="Arial"/>
          <w:sz w:val="16"/>
          <w:szCs w:val="16"/>
          <w:color w:val="auto"/>
        </w:rPr>
        <w:t>For INTEL purchases of Products, the Parties shall utilize the forecasting methodology set forth in the Corporate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For purchases of Products by designee pursuant to the Call on Capacity, the following forecasting methodology shall be utilized: Each month during the term of this Agreement: (i) MICRON will provide INTEL with a six (6) month rolling forecast of its anticipated Output by Product Family; and (ii) INTEL or its designee will provide MICRON with a six (6) month rolling forecast of its Products purchases from MICRON out of MICRON’s then current active Product list and any anticipated allocations of those purchase rights to third parties as permitted by Section 6.4 below. These forecasts are provided for planning purposes only.</w:t>
      </w:r>
    </w:p>
    <w:p>
      <w:pPr>
        <w:spacing w:after="0" w:line="156" w:lineRule="exact"/>
        <w:rPr>
          <w:sz w:val="20"/>
          <w:szCs w:val="20"/>
          <w:color w:val="auto"/>
        </w:rPr>
      </w:pPr>
    </w:p>
    <w:p>
      <w:pPr>
        <w:ind w:left="1620" w:right="20" w:hanging="647"/>
        <w:spacing w:after="0" w:line="285" w:lineRule="auto"/>
        <w:tabs>
          <w:tab w:leader="none" w:pos="160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 xml:space="preserve">Allocation of Capacity. </w:t>
      </w:r>
      <w:r>
        <w:rPr>
          <w:rFonts w:ascii="Arial" w:cs="Arial" w:eastAsia="Arial" w:hAnsi="Arial"/>
          <w:sz w:val="16"/>
          <w:szCs w:val="16"/>
          <w:color w:val="auto"/>
        </w:rPr>
        <w:t>INTEL may allocate its Call on Capacity in any given month, in whole or in part, to one or more third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(not including competitors of MICRON) pursuant to the terms of this Section 6.4 and subject to Sections 6.7 and 6.8. Any such allocation shall be for a period of not less than one (1) month, and only in full month increments. INTEL shall provide MICRON with written notice of any such allocation, and MICRON shall not be required to accept any purchase order from a third party without receipt of such notice. MICRON shall not be required to sell any Products to a third party except upon the receipt of a purchase order from such party. Purchase orders from such third parties shall set forth, at a minimum, Product quantity, desired delivery dates and destination, and MICRON part number. The terms and conditions of a sale to any such third party shall be (i) in the case of a third party with which MICRON has a contractual relationship governing the purchase and sale of MICRON’s products, consistent with the terms and conditions applicable to such relationship, including pricing terms, or (ii) in the case of a third party with which MICRON does not have a contractual relationship governing the purchase and sale of MICRON’s products, such terms and conditions as shall be negotiated in good faith between MICRON and such third party, with lead times of one month or then applicable lead times, whichever is longer. MICRON shall have no more than sixty (60) days to successfully conclude such negotiations. In the case of (ii) above, the material terms and conditions shall be substantially similar to the material terms and conditions between MICRON and its other similarly situated customers and shall be consistent with MICRON’s customary sales practices, including, without limitation, credit review. In no event shall the recipient of any allocation have any rights, including without limitation, rights as a third party beneficiary, under this Agreement. Subject to Section 6.1 above, if MICRON notifies INTEL that it cannot agree upon terms and conditions in the case of (ii) above, INTEL may reallocate, provided such reallocation occurs at least ninety (90) days prior to the scheduled delivery date, the applicable Product to another third party or purchase such Product itself by so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620" w:right="20"/>
        <w:spacing w:after="0" w:line="264" w:lineRule="auto"/>
        <w:rPr>
          <w:sz w:val="20"/>
          <w:szCs w:val="20"/>
          <w:color w:val="auto"/>
        </w:rPr>
      </w:pPr>
      <w:r>
        <w:rPr>
          <w:rFonts w:ascii="Arial" w:cs="Arial" w:eastAsia="Arial" w:hAnsi="Arial"/>
          <w:sz w:val="18"/>
          <w:szCs w:val="18"/>
          <w:color w:val="auto"/>
        </w:rPr>
        <w:t>notifying MICRON within five (5) business days of MICRON’s notification to INTEL that it cannot agree to such terms and conditions with the third party. Failure by INTEL to so notify MICRON within such five (5) day period shall cause the forfeiture of INTEL’s right to allocate or purchase such Product.</w:t>
      </w:r>
    </w:p>
    <w:p>
      <w:pPr>
        <w:spacing w:after="0" w:line="177" w:lineRule="exact"/>
        <w:rPr>
          <w:sz w:val="20"/>
          <w:szCs w:val="20"/>
          <w:color w:val="auto"/>
        </w:rPr>
      </w:pPr>
    </w:p>
    <w:p>
      <w:pPr>
        <w:ind w:left="1620" w:hanging="647"/>
        <w:spacing w:after="0" w:line="295" w:lineRule="auto"/>
        <w:tabs>
          <w:tab w:leader="none" w:pos="160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 xml:space="preserve">Allocation of DDR2 Call on Capacity to Crucial Technology. </w:t>
      </w:r>
      <w:r>
        <w:rPr>
          <w:rFonts w:ascii="Arial" w:cs="Arial" w:eastAsia="Arial" w:hAnsi="Arial"/>
          <w:sz w:val="16"/>
          <w:szCs w:val="16"/>
          <w:color w:val="auto"/>
        </w:rPr>
        <w:t>With respect to INTEL’s Call on Capacity regarding DDR2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given month, INTEL may allocate, until the later of [*], or the last day of the first calendar quarter in which MICRON achieves production of [*] units (or equivalents) of DDR2, up to [*] of its Call on Capacity for such month to Crucial Technology pursuant to the terms of this Section 6.5. Any such allocation shall be for a period of not less than one (1) month, and only in full month increments. Any such allocation for a given month shall reduce correspondingly INTEL’s right to allocate its Call on Capacity to third parties pursuant to Section 6.4 above for such month. INTEL shall provide MICRON with written notice of any such allocation.</w:t>
      </w:r>
    </w:p>
    <w:p>
      <w:pPr>
        <w:spacing w:after="0" w:line="156" w:lineRule="exact"/>
        <w:rPr>
          <w:sz w:val="20"/>
          <w:szCs w:val="20"/>
          <w:color w:val="auto"/>
        </w:rPr>
      </w:pPr>
    </w:p>
    <w:p>
      <w:pPr>
        <w:ind w:left="1620" w:right="120" w:hanging="647"/>
        <w:spacing w:after="0" w:line="256" w:lineRule="auto"/>
        <w:tabs>
          <w:tab w:leader="none" w:pos="160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8"/>
          <w:szCs w:val="18"/>
          <w:b w:val="1"/>
          <w:bCs w:val="1"/>
          <w:color w:val="auto"/>
        </w:rPr>
        <w:t xml:space="preserve">Resale of Product. </w:t>
      </w:r>
      <w:r>
        <w:rPr>
          <w:rFonts w:ascii="Arial" w:cs="Arial" w:eastAsia="Arial" w:hAnsi="Arial"/>
          <w:sz w:val="18"/>
          <w:szCs w:val="18"/>
          <w:color w:val="auto"/>
        </w:rPr>
        <w:t>INTEL may resell Product purchased hereunder to third parties in its discretion. Notwithstanding the forgoing,</w:t>
      </w:r>
      <w:r>
        <w:rPr>
          <w:rFonts w:ascii="Arial" w:cs="Arial" w:eastAsia="Arial" w:hAnsi="Arial"/>
          <w:sz w:val="18"/>
          <w:szCs w:val="18"/>
          <w:b w:val="1"/>
          <w:bCs w:val="1"/>
          <w:color w:val="auto"/>
        </w:rPr>
        <w:t xml:space="preserve"> </w:t>
      </w:r>
      <w:r>
        <w:rPr>
          <w:rFonts w:ascii="Arial" w:cs="Arial" w:eastAsia="Arial" w:hAnsi="Arial"/>
          <w:sz w:val="18"/>
          <w:szCs w:val="18"/>
          <w:color w:val="auto"/>
        </w:rPr>
        <w:t>INTEL shall provide MICRON with prior written notice of its intent to resell such Products, and shall offer to sell such Products, whether still in discrete form or assembled onto modules, to MICRON on identical terms and conditions as such Products were originally purchased by INTEL from MICRON, provided that if such Products were assembled into module form by INTEL, the price for such Products shall be equal to INTEL’s actual cost of components plus its actual cost incurred to assemble such Products into module form.</w:t>
      </w:r>
    </w:p>
    <w:p>
      <w:pPr>
        <w:spacing w:after="0" w:line="188" w:lineRule="exact"/>
        <w:rPr>
          <w:sz w:val="20"/>
          <w:szCs w:val="20"/>
          <w:color w:val="auto"/>
        </w:rPr>
      </w:pPr>
    </w:p>
    <w:p>
      <w:pPr>
        <w:ind w:left="1620" w:right="40" w:hanging="647"/>
        <w:spacing w:after="0" w:line="255" w:lineRule="auto"/>
        <w:tabs>
          <w:tab w:leader="none" w:pos="160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8"/>
          <w:szCs w:val="18"/>
          <w:b w:val="1"/>
          <w:bCs w:val="1"/>
          <w:color w:val="auto"/>
        </w:rPr>
        <w:t xml:space="preserve">Product Mix and Purchasing Limitations. </w:t>
      </w:r>
      <w:r>
        <w:rPr>
          <w:rFonts w:ascii="Arial" w:cs="Arial" w:eastAsia="Arial" w:hAnsi="Arial"/>
          <w:sz w:val="18"/>
          <w:szCs w:val="18"/>
          <w:color w:val="auto"/>
        </w:rPr>
        <w:t>INTEL’s Call on Capacity each month will be subject to the following limitations, unless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agreed by MICRON: (i) with respect to any Product (determined by Product Family) that constitutes less than [*] of MICRON’s anticipated Output for such month, and if INTEL and its designees’ demand exceeds [*] of MICRON’s anticipated Output (such excess referred to herein as “Excess”) of such Product for such month, then INTEL or its designee will issue a purchase order for a quantity of Products equal to the difference between INTEL and its designees’ demand and the [*] of MICRON’s anticipated Output. If such purchase order is from INTEL, the Excess shall be deemed a “custom Item” for purposes of determining cancellation liability under the CPA; provided that the foregoing limitation in this Section 6.7 shall not limit INTEL’s purchase right pursuant to Section 5 of Addendum D to the CPA.</w:t>
      </w:r>
    </w:p>
    <w:p>
      <w:pPr>
        <w:sectPr>
          <w:pgSz w:w="11900" w:h="16838" w:orient="portrait"/>
          <w:cols w:equalWidth="0" w:num="1">
            <w:col w:w="11420"/>
          </w:cols>
          <w:pgMar w:left="240" w:top="121" w:right="239" w:bottom="172" w:gutter="0" w:footer="0" w:header="0"/>
        </w:sectPr>
      </w:pPr>
    </w:p>
    <w:bookmarkStart w:id="24" w:name="page25"/>
    <w:bookmarkEnd w:id="24"/>
    <w:p>
      <w:pPr>
        <w:jc w:val="both"/>
        <w:ind w:left="1612" w:right="180" w:hanging="647"/>
        <w:spacing w:after="0" w:line="314" w:lineRule="auto"/>
        <w:tabs>
          <w:tab w:leader="none" w:pos="1592"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b w:val="1"/>
          <w:bCs w:val="1"/>
          <w:color w:val="auto"/>
        </w:rPr>
        <w:t xml:space="preserve">No Guarantee to Purchase Production Output. </w:t>
      </w:r>
      <w:r>
        <w:rPr>
          <w:rFonts w:ascii="Arial" w:cs="Arial" w:eastAsia="Arial" w:hAnsi="Arial"/>
          <w:sz w:val="16"/>
          <w:szCs w:val="16"/>
          <w:color w:val="auto"/>
        </w:rPr>
        <w:t>Both Parties understand and acknowledge that market conditions and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change at a rapid pace and that nothing in this Agreement (except with respect to purchase orders arising out of Section 6.7) constitutes any representation, guaranty, promise or a commitment that any particular number of devices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5" w:lineRule="exact"/>
        <w:rPr>
          <w:sz w:val="20"/>
          <w:szCs w:val="20"/>
          <w:color w:val="auto"/>
        </w:rPr>
      </w:pPr>
    </w:p>
    <w:p>
      <w:pPr>
        <w:ind w:left="-8" w:right="100" w:firstLine="8"/>
        <w:spacing w:after="0" w:line="277" w:lineRule="auto"/>
        <w:tabs>
          <w:tab w:leader="none" w:pos="2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treatement has been requested with respect to the omitted portions.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12" w:right="140"/>
        <w:spacing w:after="0" w:line="264" w:lineRule="auto"/>
        <w:rPr>
          <w:sz w:val="20"/>
          <w:szCs w:val="20"/>
          <w:color w:val="auto"/>
        </w:rPr>
      </w:pPr>
      <w:r>
        <w:rPr>
          <w:rFonts w:ascii="Arial" w:cs="Arial" w:eastAsia="Arial" w:hAnsi="Arial"/>
          <w:sz w:val="18"/>
          <w:szCs w:val="18"/>
          <w:color w:val="auto"/>
        </w:rPr>
        <w:t>be ordered by INTEL (or its permitted designees under Sections 6.4 and 6.5, respectively). Except with respect to purchase orders arising out of Sections 6.7, MICRON agrees not to assert any claims based upon detrimental reliance or equitable estoppel arising out of INTEL’s failure to purchase any particular level of Output.</w:t>
      </w:r>
    </w:p>
    <w:p>
      <w:pPr>
        <w:spacing w:after="0" w:line="177" w:lineRule="exact"/>
        <w:rPr>
          <w:sz w:val="20"/>
          <w:szCs w:val="20"/>
          <w:color w:val="auto"/>
        </w:rPr>
      </w:pPr>
    </w:p>
    <w:p>
      <w:pPr>
        <w:ind w:left="332"/>
        <w:spacing w:after="0"/>
        <w:tabs>
          <w:tab w:leader="none" w:pos="952" w:val="left"/>
        </w:tabs>
        <w:rPr>
          <w:sz w:val="20"/>
          <w:szCs w:val="20"/>
          <w:color w:val="auto"/>
        </w:rPr>
      </w:pPr>
      <w:r>
        <w:rPr>
          <w:rFonts w:ascii="Arial" w:cs="Arial" w:eastAsia="Arial" w:hAnsi="Arial"/>
          <w:sz w:val="18"/>
          <w:szCs w:val="18"/>
          <w:b w:val="1"/>
          <w:bCs w:val="1"/>
          <w:color w:val="auto"/>
        </w:rPr>
        <w:t>7.0</w:t>
      </w:r>
      <w:r>
        <w:rPr>
          <w:sz w:val="20"/>
          <w:szCs w:val="20"/>
          <w:color w:val="auto"/>
        </w:rPr>
        <w:tab/>
      </w:r>
      <w:r>
        <w:rPr>
          <w:rFonts w:ascii="Arial" w:cs="Arial" w:eastAsia="Arial" w:hAnsi="Arial"/>
          <w:sz w:val="18"/>
          <w:szCs w:val="18"/>
          <w:b w:val="1"/>
          <w:bCs w:val="1"/>
          <w:color w:val="auto"/>
        </w:rPr>
        <w:t>REMEDIES AND LIMITATIONS</w:t>
      </w:r>
    </w:p>
    <w:p>
      <w:pPr>
        <w:spacing w:after="0" w:line="225" w:lineRule="exact"/>
        <w:rPr>
          <w:sz w:val="20"/>
          <w:szCs w:val="20"/>
          <w:color w:val="auto"/>
        </w:rPr>
      </w:pPr>
    </w:p>
    <w:p>
      <w:pPr>
        <w:ind w:left="1612" w:right="260" w:hanging="647"/>
        <w:spacing w:after="0" w:line="261" w:lineRule="auto"/>
        <w:tabs>
          <w:tab w:leader="none" w:pos="1592"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b w:val="1"/>
          <w:bCs w:val="1"/>
          <w:color w:val="auto"/>
        </w:rPr>
        <w:t xml:space="preserve">Commercially Reasonable Efforts. </w:t>
      </w:r>
      <w:r>
        <w:rPr>
          <w:rFonts w:ascii="Arial" w:cs="Arial" w:eastAsia="Arial" w:hAnsi="Arial"/>
          <w:sz w:val="18"/>
          <w:szCs w:val="18"/>
          <w:color w:val="auto"/>
        </w:rPr>
        <w:t>Except with respect to MICRON’s obligations set forth in Sections 1.1, 1.2, 2.1 (limited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 Samples only), 2.2 (limited to [*] DDR2 volume production milestones and aggregate DDR2 volume production through [*], only), and 4.2 through 4.4, the Parties respective obligations herein shall be to use commercially reasonable efforts to fulfill each of their respective covenants and obligations undertaken herein.</w:t>
      </w:r>
    </w:p>
    <w:p>
      <w:pPr>
        <w:spacing w:after="0" w:line="180" w:lineRule="exact"/>
        <w:rPr>
          <w:sz w:val="20"/>
          <w:szCs w:val="20"/>
          <w:color w:val="auto"/>
        </w:rPr>
      </w:pPr>
    </w:p>
    <w:p>
      <w:pPr>
        <w:ind w:left="1612" w:right="100" w:hanging="647"/>
        <w:spacing w:after="0" w:line="261" w:lineRule="auto"/>
        <w:tabs>
          <w:tab w:leader="none" w:pos="1592"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b w:val="1"/>
          <w:bCs w:val="1"/>
          <w:color w:val="auto"/>
        </w:rPr>
        <w:t xml:space="preserve">Liquidated Damages Remedy. </w:t>
      </w:r>
      <w:r>
        <w:rPr>
          <w:rFonts w:ascii="Arial" w:cs="Arial" w:eastAsia="Arial" w:hAnsi="Arial"/>
          <w:sz w:val="18"/>
          <w:szCs w:val="18"/>
          <w:color w:val="auto"/>
        </w:rPr>
        <w:t>INTEL’s sole remedy, and MICRON’s complete liability to INTEL, for any failure by MICRON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its commitments or obligations with respect Sections 1.1, 1.2, 2.1 (limited to the provision of [*] Samples, respectively, only), and 2.2 (limited to [*] DDR2 volume production milestones, respectively, and aggregate DDR2 volume production through [*], only) hereof, shall be as set forth immediately below:</w:t>
      </w:r>
    </w:p>
    <w:p>
      <w:pPr>
        <w:spacing w:after="0" w:line="180" w:lineRule="exact"/>
        <w:rPr>
          <w:sz w:val="20"/>
          <w:szCs w:val="20"/>
          <w:color w:val="auto"/>
        </w:rPr>
      </w:pPr>
    </w:p>
    <w:p>
      <w:pPr>
        <w:ind w:left="1612"/>
        <w:spacing w:after="0"/>
        <w:tabs>
          <w:tab w:leader="none" w:pos="2572" w:val="left"/>
        </w:tabs>
        <w:rPr>
          <w:sz w:val="20"/>
          <w:szCs w:val="20"/>
          <w:color w:val="auto"/>
        </w:rPr>
      </w:pPr>
      <w:r>
        <w:rPr>
          <w:rFonts w:ascii="Arial" w:cs="Arial" w:eastAsia="Arial" w:hAnsi="Arial"/>
          <w:sz w:val="18"/>
          <w:szCs w:val="18"/>
          <w:b w:val="1"/>
          <w:bCs w:val="1"/>
          <w:color w:val="auto"/>
        </w:rPr>
        <w:t>7.2.1</w:t>
      </w:r>
      <w:r>
        <w:rPr>
          <w:sz w:val="20"/>
          <w:szCs w:val="20"/>
          <w:color w:val="auto"/>
        </w:rPr>
        <w:tab/>
      </w:r>
      <w:r>
        <w:rPr>
          <w:rFonts w:ascii="Arial" w:cs="Arial" w:eastAsia="Arial" w:hAnsi="Arial"/>
          <w:sz w:val="16"/>
          <w:szCs w:val="16"/>
          <w:b w:val="1"/>
          <w:bCs w:val="1"/>
          <w:color w:val="auto"/>
        </w:rPr>
        <w:t>300mm Ramp</w:t>
      </w:r>
    </w:p>
    <w:p>
      <w:pPr>
        <w:spacing w:after="0" w:line="225" w:lineRule="exact"/>
        <w:rPr>
          <w:sz w:val="20"/>
          <w:szCs w:val="20"/>
          <w:color w:val="auto"/>
        </w:rPr>
      </w:pPr>
    </w:p>
    <w:p>
      <w:pPr>
        <w:ind w:left="3392" w:right="20" w:hanging="971"/>
        <w:spacing w:after="0" w:line="255" w:lineRule="auto"/>
        <w:tabs>
          <w:tab w:leader="none" w:pos="3372" w:val="left"/>
        </w:tabs>
        <w:rPr>
          <w:sz w:val="20"/>
          <w:szCs w:val="20"/>
          <w:color w:val="auto"/>
        </w:rPr>
      </w:pPr>
      <w:r>
        <w:rPr>
          <w:rFonts w:ascii="Arial" w:cs="Arial" w:eastAsia="Arial" w:hAnsi="Arial"/>
          <w:sz w:val="18"/>
          <w:szCs w:val="18"/>
          <w:b w:val="1"/>
          <w:bCs w:val="1"/>
          <w:color w:val="auto"/>
        </w:rPr>
        <w:t>7.2.1.1</w:t>
      </w:r>
      <w:r>
        <w:rPr>
          <w:sz w:val="20"/>
          <w:szCs w:val="20"/>
          <w:color w:val="auto"/>
        </w:rPr>
        <w:tab/>
      </w:r>
      <w:r>
        <w:rPr>
          <w:rFonts w:ascii="Arial" w:cs="Arial" w:eastAsia="Arial" w:hAnsi="Arial"/>
          <w:sz w:val="18"/>
          <w:szCs w:val="18"/>
          <w:b w:val="1"/>
          <w:bCs w:val="1"/>
          <w:color w:val="auto"/>
        </w:rPr>
        <w:t xml:space="preserve">Capital Expenditure. </w:t>
      </w:r>
      <w:r>
        <w:rPr>
          <w:rFonts w:ascii="Arial" w:cs="Arial" w:eastAsia="Arial" w:hAnsi="Arial"/>
          <w:sz w:val="18"/>
          <w:szCs w:val="18"/>
          <w:color w:val="auto"/>
        </w:rPr>
        <w:t>In the event (a) MICRON fails to satisfy Section 1.1 hereof (i.e., incurrence of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in the amounts referenced in Schedule 1.1 hereto during the period set forth therein) (b) INTEL provides written notice of such failure to MICRON, and (c) sixty (60) days elapse without MICRON curing such failure (i.e., MICRON fails to incur Capital Expenditures in the amounts referenced in Schedule 1.1 hereto during the period set forth therein plus such cure period), then INTEL shall notify MICRON in writing that it is in default of Section 1.1 hereof and within thirty (30) days of MICRON’s receipt of such default notification, MICRON shall pay INTEL an amount equal to the applicable Base Amount set forth on column 2 of Schedule A hereto.</w:t>
      </w:r>
    </w:p>
    <w:p>
      <w:pPr>
        <w:spacing w:after="0" w:line="185" w:lineRule="exact"/>
        <w:rPr>
          <w:sz w:val="20"/>
          <w:szCs w:val="20"/>
          <w:color w:val="auto"/>
        </w:rPr>
      </w:pPr>
    </w:p>
    <w:p>
      <w:pPr>
        <w:ind w:left="3392" w:right="140" w:hanging="971"/>
        <w:spacing w:after="0" w:line="314" w:lineRule="auto"/>
        <w:tabs>
          <w:tab w:leader="none" w:pos="3372" w:val="left"/>
        </w:tabs>
        <w:rPr>
          <w:sz w:val="20"/>
          <w:szCs w:val="20"/>
          <w:color w:val="auto"/>
        </w:rPr>
      </w:pPr>
      <w:r>
        <w:rPr>
          <w:rFonts w:ascii="Arial" w:cs="Arial" w:eastAsia="Arial" w:hAnsi="Arial"/>
          <w:sz w:val="18"/>
          <w:szCs w:val="18"/>
          <w:b w:val="1"/>
          <w:bCs w:val="1"/>
          <w:color w:val="auto"/>
        </w:rPr>
        <w:t>7.2.1.2</w:t>
      </w:r>
      <w:r>
        <w:rPr>
          <w:sz w:val="20"/>
          <w:szCs w:val="20"/>
          <w:color w:val="auto"/>
        </w:rPr>
        <w:tab/>
      </w:r>
      <w:r>
        <w:rPr>
          <w:rFonts w:ascii="Arial" w:cs="Arial" w:eastAsia="Arial" w:hAnsi="Arial"/>
          <w:sz w:val="16"/>
          <w:szCs w:val="16"/>
          <w:b w:val="1"/>
          <w:bCs w:val="1"/>
          <w:color w:val="auto"/>
        </w:rPr>
        <w:t xml:space="preserve">Wafer Start Capacity. </w:t>
      </w:r>
      <w:r>
        <w:rPr>
          <w:rFonts w:ascii="Arial" w:cs="Arial" w:eastAsia="Arial" w:hAnsi="Arial"/>
          <w:sz w:val="16"/>
          <w:szCs w:val="16"/>
          <w:color w:val="auto"/>
        </w:rPr>
        <w:t>(i) In the event (a) MICRON fails to satisfy Section 1.2 hereof (i.e., Capacity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amounts set forth in Schedule 1.2 hereto by the date set forth therein) and (b) INTEL provides written notice of such default to MICRON, then within thirty (30) days of MICRON’s receipt of such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5" w:lineRule="exact"/>
        <w:rPr>
          <w:sz w:val="20"/>
          <w:szCs w:val="20"/>
          <w:color w:val="auto"/>
        </w:rPr>
      </w:pPr>
    </w:p>
    <w:p>
      <w:pPr>
        <w:ind w:left="-8" w:right="100" w:firstLine="8"/>
        <w:spacing w:after="0" w:line="277" w:lineRule="auto"/>
        <w:tabs>
          <w:tab w:leader="none" w:pos="2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treatement has been requested with respect to the omitted portions.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32" w:right="20"/>
        <w:spacing w:after="0" w:line="286" w:lineRule="auto"/>
        <w:rPr>
          <w:sz w:val="20"/>
          <w:szCs w:val="20"/>
          <w:color w:val="auto"/>
        </w:rPr>
      </w:pPr>
      <w:r>
        <w:rPr>
          <w:rFonts w:ascii="Arial" w:cs="Arial" w:eastAsia="Arial" w:hAnsi="Arial"/>
          <w:sz w:val="16"/>
          <w:szCs w:val="16"/>
          <w:color w:val="auto"/>
        </w:rPr>
        <w:t>notification, MICRON shall pay INTEL an amount equal to the applicable Base Amount set forth in column 3 of Schedule A hereto; and (ii) to the extent applicable, in the event (A) MICRON fails to achieve the Capacity referenced in column 4 of Schedule A hereto by the date set forth therein (i.e., Capacity with respect to the number of WSPW set forth in column 4 of Schedule A by the date set forth therein) and (b) INTEL provides</w:t>
      </w:r>
    </w:p>
    <w:p>
      <w:pPr>
        <w:spacing w:after="0" w:line="2" w:lineRule="exact"/>
        <w:rPr>
          <w:sz w:val="20"/>
          <w:szCs w:val="20"/>
          <w:color w:val="auto"/>
        </w:rPr>
      </w:pPr>
    </w:p>
    <w:p>
      <w:pPr>
        <w:jc w:val="both"/>
        <w:ind w:left="3432" w:right="80"/>
        <w:spacing w:after="0" w:line="250" w:lineRule="auto"/>
        <w:rPr>
          <w:sz w:val="20"/>
          <w:szCs w:val="20"/>
          <w:color w:val="auto"/>
        </w:rPr>
      </w:pPr>
      <w:r>
        <w:rPr>
          <w:rFonts w:ascii="Arial" w:cs="Arial" w:eastAsia="Arial" w:hAnsi="Arial"/>
          <w:sz w:val="16"/>
          <w:szCs w:val="16"/>
          <w:color w:val="auto"/>
        </w:rPr>
        <w:t>written notice of such default to MICRON, then within three (3) business days of the close of the 40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trading day following such breach, including the date on which such breach occurred, MICRON shall pay INTEL an amount equal to the applicable Additional Amount determined as set forth on Schedule A hereto.</w:t>
      </w:r>
    </w:p>
    <w:p>
      <w:pPr>
        <w:spacing w:after="0" w:line="192" w:lineRule="exact"/>
        <w:rPr>
          <w:sz w:val="20"/>
          <w:szCs w:val="20"/>
          <w:color w:val="auto"/>
        </w:rPr>
      </w:pPr>
    </w:p>
    <w:p>
      <w:pPr>
        <w:ind w:left="1612"/>
        <w:spacing w:after="0"/>
        <w:tabs>
          <w:tab w:leader="none" w:pos="2252" w:val="left"/>
        </w:tabs>
        <w:rPr>
          <w:sz w:val="20"/>
          <w:szCs w:val="20"/>
          <w:color w:val="auto"/>
        </w:rPr>
      </w:pPr>
      <w:r>
        <w:rPr>
          <w:rFonts w:ascii="Arial" w:cs="Arial" w:eastAsia="Arial" w:hAnsi="Arial"/>
          <w:sz w:val="18"/>
          <w:szCs w:val="18"/>
          <w:b w:val="1"/>
          <w:bCs w:val="1"/>
          <w:color w:val="auto"/>
        </w:rPr>
        <w:t>7.2.2</w:t>
      </w:r>
      <w:r>
        <w:rPr>
          <w:sz w:val="20"/>
          <w:szCs w:val="20"/>
          <w:color w:val="auto"/>
        </w:rPr>
        <w:tab/>
      </w:r>
      <w:r>
        <w:rPr>
          <w:rFonts w:ascii="Arial" w:cs="Arial" w:eastAsia="Arial" w:hAnsi="Arial"/>
          <w:sz w:val="16"/>
          <w:szCs w:val="16"/>
          <w:b w:val="1"/>
          <w:bCs w:val="1"/>
          <w:color w:val="auto"/>
        </w:rPr>
        <w:t>DDR2 Production</w:t>
      </w:r>
    </w:p>
    <w:p>
      <w:pPr>
        <w:spacing w:after="0" w:line="225" w:lineRule="exact"/>
        <w:rPr>
          <w:sz w:val="20"/>
          <w:szCs w:val="20"/>
          <w:color w:val="auto"/>
        </w:rPr>
      </w:pPr>
    </w:p>
    <w:p>
      <w:pPr>
        <w:ind w:left="3072" w:hanging="647"/>
        <w:spacing w:after="0" w:line="256" w:lineRule="auto"/>
        <w:tabs>
          <w:tab w:leader="none" w:pos="3052" w:val="left"/>
        </w:tabs>
        <w:rPr>
          <w:sz w:val="20"/>
          <w:szCs w:val="20"/>
          <w:color w:val="auto"/>
        </w:rPr>
      </w:pPr>
      <w:r>
        <w:rPr>
          <w:rFonts w:ascii="Arial" w:cs="Arial" w:eastAsia="Arial" w:hAnsi="Arial"/>
          <w:sz w:val="18"/>
          <w:szCs w:val="18"/>
          <w:b w:val="1"/>
          <w:bCs w:val="1"/>
          <w:color w:val="auto"/>
        </w:rPr>
        <w:t>7.2.2.1</w:t>
        <w:tab/>
        <w:t xml:space="preserve">[*] Samples. </w:t>
      </w:r>
      <w:r>
        <w:rPr>
          <w:rFonts w:ascii="Arial" w:cs="Arial" w:eastAsia="Arial" w:hAnsi="Arial"/>
          <w:sz w:val="18"/>
          <w:szCs w:val="18"/>
          <w:color w:val="auto"/>
        </w:rPr>
        <w:t>In the event (a) MICRON fails to satisfy Section 2.1 hereof with respect to providing [*] Samples to</w:t>
      </w:r>
      <w:r>
        <w:rPr>
          <w:rFonts w:ascii="Arial" w:cs="Arial" w:eastAsia="Arial" w:hAnsi="Arial"/>
          <w:sz w:val="18"/>
          <w:szCs w:val="18"/>
          <w:b w:val="1"/>
          <w:bCs w:val="1"/>
          <w:color w:val="auto"/>
        </w:rPr>
        <w:t xml:space="preserve"> </w:t>
      </w:r>
      <w:r>
        <w:rPr>
          <w:rFonts w:ascii="Arial" w:cs="Arial" w:eastAsia="Arial" w:hAnsi="Arial"/>
          <w:sz w:val="18"/>
          <w:szCs w:val="18"/>
          <w:color w:val="auto"/>
        </w:rPr>
        <w:t>INTEL by [*], (b) INTEL provides written notice of such failure, and (c) ninety (90) days elapse without MICRON curing such failure (i.e., MICRON fails to provide such Samples by the end of such cure period), then INTEL shall notify MICRON in writing that it is in default of Section 2.1 hereof and within thirty (30) days of MICRON’s receipt of such default notification, MICRON shall pay INTEL an amount equal to the applicable Base Amount set forth in column 5 of Schedule A hereto.</w:t>
      </w:r>
    </w:p>
    <w:p>
      <w:pPr>
        <w:spacing w:after="0" w:line="188" w:lineRule="exact"/>
        <w:rPr>
          <w:sz w:val="20"/>
          <w:szCs w:val="20"/>
          <w:color w:val="auto"/>
        </w:rPr>
      </w:pPr>
    </w:p>
    <w:p>
      <w:pPr>
        <w:ind w:left="3072" w:hanging="647"/>
        <w:spacing w:after="0" w:line="256" w:lineRule="auto"/>
        <w:tabs>
          <w:tab w:leader="none" w:pos="3052" w:val="left"/>
        </w:tabs>
        <w:rPr>
          <w:sz w:val="20"/>
          <w:szCs w:val="20"/>
          <w:color w:val="auto"/>
        </w:rPr>
      </w:pPr>
      <w:r>
        <w:rPr>
          <w:rFonts w:ascii="Arial" w:cs="Arial" w:eastAsia="Arial" w:hAnsi="Arial"/>
          <w:sz w:val="18"/>
          <w:szCs w:val="18"/>
          <w:b w:val="1"/>
          <w:bCs w:val="1"/>
          <w:color w:val="auto"/>
        </w:rPr>
        <w:t>7.2.2.2</w:t>
        <w:tab/>
        <w:t xml:space="preserve">[*] Samples. </w:t>
      </w:r>
      <w:r>
        <w:rPr>
          <w:rFonts w:ascii="Arial" w:cs="Arial" w:eastAsia="Arial" w:hAnsi="Arial"/>
          <w:sz w:val="18"/>
          <w:szCs w:val="18"/>
          <w:color w:val="auto"/>
        </w:rPr>
        <w:t>In the event (a) MICRON fails to satisfy Section 2.1 hereof with respect to providing [*] Samples to</w:t>
      </w:r>
      <w:r>
        <w:rPr>
          <w:rFonts w:ascii="Arial" w:cs="Arial" w:eastAsia="Arial" w:hAnsi="Arial"/>
          <w:sz w:val="18"/>
          <w:szCs w:val="18"/>
          <w:b w:val="1"/>
          <w:bCs w:val="1"/>
          <w:color w:val="auto"/>
        </w:rPr>
        <w:t xml:space="preserve"> </w:t>
      </w:r>
      <w:r>
        <w:rPr>
          <w:rFonts w:ascii="Arial" w:cs="Arial" w:eastAsia="Arial" w:hAnsi="Arial"/>
          <w:sz w:val="18"/>
          <w:szCs w:val="18"/>
          <w:color w:val="auto"/>
        </w:rPr>
        <w:t>INTEL by [*], (b) INTEL provides written notice of such failure, and (c) ninety (90) days elapse without MICRON curing such failure (i.e., MICRON fails to provide such Samples by the end of such cure period), then INTEL shall notify MICRON in writing that it is in default of Section 2.1 hereof and within thirty (30) days of MICRON’s receipt of such default notification, MICRON shall pay INTEL an amount equal to the applicable Base Amount set forth in column 6 of Schedule A hereto.</w:t>
      </w:r>
    </w:p>
    <w:p>
      <w:pPr>
        <w:sectPr>
          <w:pgSz w:w="11900" w:h="16838" w:orient="portrait"/>
          <w:cols w:equalWidth="0" w:num="1">
            <w:col w:w="11392"/>
          </w:cols>
          <w:pgMar w:left="248" w:top="121" w:right="259" w:bottom="161" w:gutter="0" w:footer="0" w:header="0"/>
        </w:sectPr>
      </w:pPr>
    </w:p>
    <w:bookmarkStart w:id="25" w:name="page26"/>
    <w:bookmarkEnd w:id="25"/>
    <w:p>
      <w:pPr>
        <w:ind w:left="3072" w:right="40" w:hanging="647"/>
        <w:spacing w:after="0" w:line="261" w:lineRule="auto"/>
        <w:tabs>
          <w:tab w:leader="none" w:pos="3052" w:val="left"/>
        </w:tabs>
        <w:rPr>
          <w:sz w:val="20"/>
          <w:szCs w:val="20"/>
          <w:color w:val="auto"/>
        </w:rPr>
      </w:pPr>
      <w:r>
        <w:rPr>
          <w:rFonts w:ascii="Arial" w:cs="Arial" w:eastAsia="Arial" w:hAnsi="Arial"/>
          <w:sz w:val="18"/>
          <w:szCs w:val="18"/>
          <w:b w:val="1"/>
          <w:bCs w:val="1"/>
          <w:color w:val="auto"/>
        </w:rPr>
        <w:t>7.2.2.3</w:t>
        <w:tab/>
        <w:t xml:space="preserve">[*] Volume. </w:t>
      </w:r>
      <w:r>
        <w:rPr>
          <w:rFonts w:ascii="Arial" w:cs="Arial" w:eastAsia="Arial" w:hAnsi="Arial"/>
          <w:sz w:val="18"/>
          <w:szCs w:val="18"/>
          <w:color w:val="auto"/>
        </w:rPr>
        <w:t>In the event (a) MICRON fails to achieve the volume production milestone for [*] by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in Section 2.2 (but subject to Sections 2.3 and 7.2.2.6), (b) INTEL provides written notice of such failure, and (c) ninety (90) days elapse without MICRON curing such failure (i.e., MICRON fails to achieve such level of volume production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3" w:lineRule="exact"/>
        <w:rPr>
          <w:sz w:val="20"/>
          <w:szCs w:val="20"/>
          <w:color w:val="auto"/>
        </w:rPr>
      </w:pPr>
    </w:p>
    <w:p>
      <w:pPr>
        <w:ind w:left="-8" w:right="120" w:firstLine="8"/>
        <w:spacing w:after="0" w:line="277" w:lineRule="auto"/>
        <w:tabs>
          <w:tab w:leader="none" w:pos="292"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treatement has been requested with respect to the omitted portions.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3092" w:right="40"/>
        <w:spacing w:after="0" w:line="264" w:lineRule="auto"/>
        <w:rPr>
          <w:sz w:val="20"/>
          <w:szCs w:val="20"/>
          <w:color w:val="auto"/>
        </w:rPr>
      </w:pPr>
      <w:r>
        <w:rPr>
          <w:rFonts w:ascii="Arial" w:cs="Arial" w:eastAsia="Arial" w:hAnsi="Arial"/>
          <w:sz w:val="18"/>
          <w:szCs w:val="18"/>
          <w:color w:val="auto"/>
        </w:rPr>
        <w:t>the end of such cure period), then INTEL shall notify MICRON in writing that it is in default of Section 2.2 hereof and within thirty (30) days of MICRON’s receipt of such notification, MICRON shall pay INTEL an amount equal to the applicable Base Amount set forth in column 7 of Schedule A hereto.</w:t>
      </w:r>
    </w:p>
    <w:p>
      <w:pPr>
        <w:spacing w:after="0" w:line="177" w:lineRule="exact"/>
        <w:rPr>
          <w:sz w:val="20"/>
          <w:szCs w:val="20"/>
          <w:color w:val="auto"/>
        </w:rPr>
      </w:pPr>
    </w:p>
    <w:p>
      <w:pPr>
        <w:ind w:left="3072" w:right="40" w:hanging="647"/>
        <w:spacing w:after="0" w:line="295" w:lineRule="auto"/>
        <w:tabs>
          <w:tab w:leader="none" w:pos="3052" w:val="left"/>
        </w:tabs>
        <w:rPr>
          <w:sz w:val="20"/>
          <w:szCs w:val="20"/>
          <w:color w:val="auto"/>
        </w:rPr>
      </w:pPr>
      <w:r>
        <w:rPr>
          <w:rFonts w:ascii="Arial" w:cs="Arial" w:eastAsia="Arial" w:hAnsi="Arial"/>
          <w:sz w:val="18"/>
          <w:szCs w:val="18"/>
          <w:b w:val="1"/>
          <w:bCs w:val="1"/>
          <w:color w:val="auto"/>
        </w:rPr>
        <w:t>7.2.2.4</w:t>
      </w:r>
      <w:r>
        <w:rPr>
          <w:sz w:val="20"/>
          <w:szCs w:val="20"/>
          <w:color w:val="auto"/>
        </w:rPr>
        <w:tab/>
      </w:r>
      <w:r>
        <w:rPr>
          <w:rFonts w:ascii="Arial" w:cs="Arial" w:eastAsia="Arial" w:hAnsi="Arial"/>
          <w:sz w:val="16"/>
          <w:szCs w:val="16"/>
          <w:b w:val="1"/>
          <w:bCs w:val="1"/>
          <w:color w:val="auto"/>
        </w:rPr>
        <w:t xml:space="preserve">[*] Volume. </w:t>
      </w:r>
      <w:r>
        <w:rPr>
          <w:rFonts w:ascii="Arial" w:cs="Arial" w:eastAsia="Arial" w:hAnsi="Arial"/>
          <w:sz w:val="16"/>
          <w:szCs w:val="16"/>
          <w:color w:val="auto"/>
        </w:rPr>
        <w:t>In the event (a) MICRON fails to achieve the volume production milestone for [*] by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specified in Section 2.2 (but subject to Sections 2.3 and 7.2.2.6), (b) INTEL provides written notice of such failure, and (c) ninety (90) days elapse without MICRON curing such failure (i.e., MICRON fails to achieve such level of volume production by the end of such cure period), then INTEL shall notify MICRON in writing that it is in default of Section 2.2 hereof and within thirty (30) days of MICRON’s receipt of such notification, MICRON shall pay INTEL an amount equal to the applicable Base Amount set forth in column 8 of Schedule A hereto.</w:t>
      </w:r>
    </w:p>
    <w:p>
      <w:pPr>
        <w:spacing w:after="0" w:line="156" w:lineRule="exact"/>
        <w:rPr>
          <w:sz w:val="20"/>
          <w:szCs w:val="20"/>
          <w:color w:val="auto"/>
        </w:rPr>
      </w:pPr>
    </w:p>
    <w:p>
      <w:pPr>
        <w:ind w:left="3072" w:hanging="647"/>
        <w:spacing w:after="0" w:line="293" w:lineRule="auto"/>
        <w:tabs>
          <w:tab w:leader="none" w:pos="3052" w:val="left"/>
        </w:tabs>
        <w:rPr>
          <w:sz w:val="20"/>
          <w:szCs w:val="20"/>
          <w:color w:val="auto"/>
        </w:rPr>
      </w:pPr>
      <w:r>
        <w:rPr>
          <w:rFonts w:ascii="Arial" w:cs="Arial" w:eastAsia="Arial" w:hAnsi="Arial"/>
          <w:sz w:val="18"/>
          <w:szCs w:val="18"/>
          <w:b w:val="1"/>
          <w:bCs w:val="1"/>
          <w:color w:val="auto"/>
        </w:rPr>
        <w:t>7.2.2.5</w:t>
      </w:r>
      <w:r>
        <w:rPr>
          <w:sz w:val="20"/>
          <w:szCs w:val="20"/>
          <w:color w:val="auto"/>
        </w:rPr>
        <w:tab/>
      </w:r>
      <w:r>
        <w:rPr>
          <w:rFonts w:ascii="Arial" w:cs="Arial" w:eastAsia="Arial" w:hAnsi="Arial"/>
          <w:sz w:val="16"/>
          <w:szCs w:val="16"/>
          <w:b w:val="1"/>
          <w:bCs w:val="1"/>
          <w:color w:val="auto"/>
        </w:rPr>
        <w:t>Aggregated Volume.</w:t>
      </w:r>
      <w:r>
        <w:rPr>
          <w:rFonts w:ascii="Arial" w:cs="Arial" w:eastAsia="Arial" w:hAnsi="Arial"/>
          <w:sz w:val="16"/>
          <w:szCs w:val="16"/>
          <w:color w:val="auto"/>
        </w:rPr>
        <w:t>In the event (a) MICRON fails to achieve aggregated volume production in the amount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in column 9 of Schedule A through the date set forth in such column (but subject to Sections 2.3 and 7.2.2.6),</w:t>
      </w:r>
    </w:p>
    <w:p>
      <w:pPr>
        <w:spacing w:after="0" w:line="1" w:lineRule="exact"/>
        <w:rPr>
          <w:sz w:val="20"/>
          <w:szCs w:val="20"/>
          <w:color w:val="auto"/>
        </w:rPr>
      </w:pPr>
    </w:p>
    <w:p>
      <w:pPr>
        <w:ind w:left="3072" w:right="40" w:firstLine="7"/>
        <w:spacing w:after="0" w:line="281" w:lineRule="auto"/>
        <w:tabs>
          <w:tab w:leader="none" w:pos="3327"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INTEL provides written notice of such failure and (c) ninety (90) days elapse without MICRON curing such failure (i.e., MICRON fails to achieve such aggregated level of volume production by the end of such cure period), then INTEL shall notify MICRON in writing that it is in default of Section 2.2 hereof and within three (3) business</w:t>
      </w:r>
    </w:p>
    <w:p>
      <w:pPr>
        <w:spacing w:after="0" w:line="2" w:lineRule="exact"/>
        <w:rPr>
          <w:sz w:val="20"/>
          <w:szCs w:val="20"/>
          <w:color w:val="auto"/>
        </w:rPr>
      </w:pPr>
    </w:p>
    <w:p>
      <w:pPr>
        <w:ind w:left="3072" w:right="20"/>
        <w:spacing w:after="0" w:line="231" w:lineRule="auto"/>
        <w:rPr>
          <w:sz w:val="20"/>
          <w:szCs w:val="20"/>
          <w:color w:val="auto"/>
        </w:rPr>
      </w:pPr>
      <w:r>
        <w:rPr>
          <w:rFonts w:ascii="Arial" w:cs="Arial" w:eastAsia="Arial" w:hAnsi="Arial"/>
          <w:sz w:val="17"/>
          <w:szCs w:val="17"/>
          <w:color w:val="auto"/>
        </w:rPr>
        <w:t>days of the close of the 40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trading day following such breach (taking into account the applicable cure period and including the date on which such breach occurred), MICRON shall pay INTEL, to the extent applicable, an amount equal to the applicable Additional Amount determined as set forth on Schedule A hereto.</w:t>
      </w:r>
    </w:p>
    <w:p>
      <w:pPr>
        <w:spacing w:after="0" w:line="200" w:lineRule="exact"/>
        <w:rPr>
          <w:sz w:val="20"/>
          <w:szCs w:val="20"/>
          <w:color w:val="auto"/>
        </w:rPr>
      </w:pPr>
    </w:p>
    <w:p>
      <w:pPr>
        <w:ind w:left="3072" w:right="80" w:hanging="647"/>
        <w:spacing w:after="0" w:line="289" w:lineRule="auto"/>
        <w:tabs>
          <w:tab w:leader="none" w:pos="3052" w:val="left"/>
        </w:tabs>
        <w:rPr>
          <w:sz w:val="20"/>
          <w:szCs w:val="20"/>
          <w:color w:val="auto"/>
        </w:rPr>
      </w:pPr>
      <w:r>
        <w:rPr>
          <w:rFonts w:ascii="Arial" w:cs="Arial" w:eastAsia="Arial" w:hAnsi="Arial"/>
          <w:sz w:val="18"/>
          <w:szCs w:val="18"/>
          <w:b w:val="1"/>
          <w:bCs w:val="1"/>
          <w:color w:val="auto"/>
        </w:rPr>
        <w:t>7.2.2.6</w:t>
      </w:r>
      <w:r>
        <w:rPr>
          <w:sz w:val="20"/>
          <w:szCs w:val="20"/>
          <w:color w:val="auto"/>
        </w:rPr>
        <w:tab/>
      </w:r>
      <w:r>
        <w:rPr>
          <w:rFonts w:ascii="Arial" w:cs="Arial" w:eastAsia="Arial" w:hAnsi="Arial"/>
          <w:sz w:val="17"/>
          <w:szCs w:val="17"/>
          <w:b w:val="1"/>
          <w:bCs w:val="1"/>
          <w:color w:val="auto"/>
        </w:rPr>
        <w:t xml:space="preserve">Inventory Limitation. </w:t>
      </w:r>
      <w:r>
        <w:rPr>
          <w:rFonts w:ascii="Arial" w:cs="Arial" w:eastAsia="Arial" w:hAnsi="Arial"/>
          <w:sz w:val="17"/>
          <w:szCs w:val="17"/>
          <w:color w:val="auto"/>
        </w:rPr>
        <w:t>For avoidance of doubt, the Parties acknowledge and agree that if an Inventory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is implemented, the remedies provided in Sections 7.2.2.3 through 7.2.2.5 shall not be applicable if MICRON complies with the provisions of Section 2.3 above with respect to the applicable period.</w:t>
      </w:r>
    </w:p>
    <w:p>
      <w:pPr>
        <w:spacing w:after="0" w:line="158" w:lineRule="exact"/>
        <w:rPr>
          <w:sz w:val="20"/>
          <w:szCs w:val="20"/>
          <w:color w:val="auto"/>
        </w:rPr>
      </w:pPr>
    </w:p>
    <w:p>
      <w:pPr>
        <w:ind w:left="1612" w:right="280" w:hanging="647"/>
        <w:spacing w:after="0" w:line="282" w:lineRule="auto"/>
        <w:tabs>
          <w:tab w:leader="none" w:pos="1592"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b w:val="1"/>
          <w:bCs w:val="1"/>
          <w:color w:val="auto"/>
        </w:rPr>
        <w:t xml:space="preserve">Dollar Cap on Liquidated Damages Remedies. </w:t>
      </w:r>
      <w:r>
        <w:rPr>
          <w:rFonts w:ascii="Arial" w:cs="Arial" w:eastAsia="Arial" w:hAnsi="Arial"/>
          <w:sz w:val="18"/>
          <w:szCs w:val="18"/>
          <w:color w:val="auto"/>
        </w:rPr>
        <w:t>In no event shall MICRON’s aggregate liability to INTEL for liquidated damages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5" w:lineRule="exact"/>
        <w:rPr>
          <w:sz w:val="20"/>
          <w:szCs w:val="20"/>
          <w:color w:val="auto"/>
        </w:rPr>
      </w:pPr>
    </w:p>
    <w:p>
      <w:pPr>
        <w:ind w:left="-8" w:right="120" w:firstLine="8"/>
        <w:spacing w:after="0" w:line="277" w:lineRule="auto"/>
        <w:tabs>
          <w:tab w:leader="none" w:pos="2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treatement has been requested with respect to the omitted portions.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612"/>
        <w:spacing w:after="0" w:line="279" w:lineRule="auto"/>
        <w:rPr>
          <w:sz w:val="20"/>
          <w:szCs w:val="20"/>
          <w:color w:val="auto"/>
        </w:rPr>
      </w:pPr>
      <w:r>
        <w:rPr>
          <w:rFonts w:ascii="Arial" w:cs="Arial" w:eastAsia="Arial" w:hAnsi="Arial"/>
          <w:sz w:val="17"/>
          <w:szCs w:val="17"/>
          <w:color w:val="auto"/>
        </w:rPr>
        <w:t>Section 7.2 hereof (i) exceed in the aggregate (including Base Amounts and Additional Amounts) that amount set forth in the first row of the table on Schedule A hereto, (ii) in the case of Base Amounts, exceed in the aggregate the Maximum Aggregate Base Amount set forth in column 1 of the table on Schedule A hereto, and (iii) in the case of Additional Amounts, exceed in the aggregate the Maximum Aggregate Additional Amount set forth in column 1 of the table on Schedule A hereto.</w:t>
      </w:r>
    </w:p>
    <w:p>
      <w:pPr>
        <w:spacing w:after="0" w:line="167" w:lineRule="exact"/>
        <w:rPr>
          <w:sz w:val="20"/>
          <w:szCs w:val="20"/>
          <w:color w:val="auto"/>
        </w:rPr>
      </w:pPr>
    </w:p>
    <w:p>
      <w:pPr>
        <w:ind w:left="1612" w:right="460" w:hanging="647"/>
        <w:spacing w:after="0" w:line="258" w:lineRule="auto"/>
        <w:tabs>
          <w:tab w:leader="none" w:pos="1592"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8"/>
          <w:szCs w:val="18"/>
          <w:b w:val="1"/>
          <w:bCs w:val="1"/>
          <w:color w:val="auto"/>
        </w:rPr>
        <w:t>IN NO EVENT SHALL EITHER PARTY HAVE ANY LIABILITY TO THE OTHER PARTY OR ANY OTHER THIRD PARTY, FOR ANY INDIRECT, SPECIAL OR CONSEQUENTIAL DAMAGES ARISING OUT OF FAILURE TO PERFORM IN ACCORDANCE WITH THIS AGREEMENT, UNDER ANY CAUSE OF ACTION OR THEORY OF LIABILITY, AND IRRESPECTIVE OF WHETHER THE DEFAULTING PARTY HAS ADVANCE NOTICE OF THE POSSIBILITY OF SUCH FAILURE TO PERFORM.</w:t>
      </w:r>
    </w:p>
    <w:p>
      <w:pPr>
        <w:spacing w:after="0" w:line="184" w:lineRule="exact"/>
        <w:rPr>
          <w:sz w:val="20"/>
          <w:szCs w:val="20"/>
          <w:color w:val="auto"/>
        </w:rPr>
      </w:pPr>
    </w:p>
    <w:p>
      <w:pPr>
        <w:ind w:left="1612" w:right="260" w:hanging="647"/>
        <w:spacing w:after="0" w:line="261" w:lineRule="auto"/>
        <w:tabs>
          <w:tab w:leader="none" w:pos="1592"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8"/>
          <w:szCs w:val="18"/>
          <w:b w:val="1"/>
          <w:bCs w:val="1"/>
          <w:color w:val="auto"/>
        </w:rPr>
        <w:t xml:space="preserve">Legal Rights and Remedies Unaffected. </w:t>
      </w:r>
      <w:r>
        <w:rPr>
          <w:rFonts w:ascii="Arial" w:cs="Arial" w:eastAsia="Arial" w:hAnsi="Arial"/>
          <w:sz w:val="18"/>
          <w:szCs w:val="18"/>
          <w:color w:val="auto"/>
        </w:rPr>
        <w:t>Except with respect to liability for MICRON’s failures to satisfy its obligations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1.1, 1.2, 2.1 (limited to the provision of [*] Samples only) and 2.2 (limited to [*] DDR2 volume production milestones and aggregate DDR2 volume production through [*], only), for which the Parties have agreed to specific liquidated damages, the Parties retain all other legal rights and remedies available to them at law or in equity.</w:t>
      </w:r>
    </w:p>
    <w:p>
      <w:pPr>
        <w:spacing w:after="0" w:line="180" w:lineRule="exact"/>
        <w:rPr>
          <w:sz w:val="20"/>
          <w:szCs w:val="20"/>
          <w:color w:val="auto"/>
        </w:rPr>
      </w:pPr>
    </w:p>
    <w:p>
      <w:pPr>
        <w:ind w:left="1612" w:right="60" w:hanging="647"/>
        <w:spacing w:after="0" w:line="269" w:lineRule="auto"/>
        <w:tabs>
          <w:tab w:leader="none" w:pos="1592"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7"/>
          <w:szCs w:val="17"/>
          <w:b w:val="1"/>
          <w:bCs w:val="1"/>
          <w:color w:val="auto"/>
        </w:rPr>
        <w:t>Form of Payment</w:t>
      </w:r>
      <w:r>
        <w:rPr>
          <w:rFonts w:ascii="Arial" w:cs="Arial" w:eastAsia="Arial" w:hAnsi="Arial"/>
          <w:sz w:val="17"/>
          <w:szCs w:val="17"/>
          <w:color w:val="auto"/>
        </w:rPr>
        <w:t>. Any Base Amounts required to be paid by MICRON to INTEL pursuant to Section 7.2 hereof shall be paid in</w:t>
      </w:r>
      <w:r>
        <w:rPr>
          <w:rFonts w:ascii="Arial" w:cs="Arial" w:eastAsia="Arial" w:hAnsi="Arial"/>
          <w:sz w:val="17"/>
          <w:szCs w:val="17"/>
          <w:b w:val="1"/>
          <w:bCs w:val="1"/>
          <w:color w:val="auto"/>
        </w:rPr>
        <w:t xml:space="preserve"> </w:t>
      </w:r>
      <w:r>
        <w:rPr>
          <w:rFonts w:ascii="Arial" w:cs="Arial" w:eastAsia="Arial" w:hAnsi="Arial"/>
          <w:sz w:val="17"/>
          <w:szCs w:val="17"/>
          <w:color w:val="auto"/>
        </w:rPr>
        <w:t>immediately available funds. Any Additional Amounts required to be paid by MICRON to INTEL pursuant to Section 7.2 hereof shall be paid, at MICRON’s election, either in immediately available funds or Rights (or Common Stock if both INTEL and MICRON agree in writing that such Common Stock will not require any HSR filing), provided that as a condition to MICRON’s ability to elect to pay such amount in Rights (or Common Stock if both INTEL and MICRON agree in writing that such Common Stock will not require any HSR filing) MICRON shall have agreed to provide registration rights with respect to such shares of Common Stock issuable upon exercise of such Rights on the same terms and conditions as provided with respect to the shares of Common Stock issuable upon exercise of the Rights purchased by INTEL Capital Corporation pursuant to the Securities Purchase Agreement. Any such Rights, based on the numbers of such shares such Rights are then exercisable for (or Common Stock if both INTEL and MICRON agree in writing that such Common Stock will not require any HSR filing) shall be valued at the average of the daily NYSE closing prices of MICRON Common Stock, as reported by Bloomberg, L.P., during the twenty (20) trading day period ending on the third trading day prior the date such payment is required to be made.</w:t>
      </w:r>
    </w:p>
    <w:p>
      <w:pPr>
        <w:sectPr>
          <w:pgSz w:w="11900" w:h="16838" w:orient="portrait"/>
          <w:cols w:equalWidth="0" w:num="1">
            <w:col w:w="11412"/>
          </w:cols>
          <w:pgMar w:left="248" w:top="121" w:right="239" w:bottom="0" w:gutter="0" w:footer="0" w:header="0"/>
        </w:sectPr>
      </w:pPr>
    </w:p>
    <w:bookmarkStart w:id="26" w:name="page27"/>
    <w:bookmarkEnd w:id="26"/>
    <w:p>
      <w:pPr>
        <w:ind w:left="-8" w:right="120" w:firstLine="8"/>
        <w:spacing w:after="0" w:line="277" w:lineRule="auto"/>
        <w:tabs>
          <w:tab w:leader="none" w:pos="292"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t>Certain information on this page has been omitted and filed separately with the Commission. Confidential treatement has been requested with respect to the omitted portions.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612" w:right="60" w:hanging="647"/>
        <w:spacing w:after="0" w:line="269" w:lineRule="auto"/>
        <w:tabs>
          <w:tab w:leader="none" w:pos="1592"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7"/>
          <w:szCs w:val="17"/>
          <w:b w:val="1"/>
          <w:bCs w:val="1"/>
          <w:color w:val="auto"/>
        </w:rPr>
        <w:t xml:space="preserve">Audit Rights. </w:t>
      </w:r>
      <w:r>
        <w:rPr>
          <w:rFonts w:ascii="Arial" w:cs="Arial" w:eastAsia="Arial" w:hAnsi="Arial"/>
          <w:sz w:val="17"/>
          <w:szCs w:val="17"/>
          <w:color w:val="auto"/>
        </w:rPr>
        <w:t>During normal business hours and upon reasonable advance written notice, INTEL shall have the right, semi-annually,</w:t>
      </w:r>
      <w:r>
        <w:rPr>
          <w:rFonts w:ascii="Arial" w:cs="Arial" w:eastAsia="Arial" w:hAnsi="Arial"/>
          <w:sz w:val="17"/>
          <w:szCs w:val="17"/>
          <w:b w:val="1"/>
          <w:bCs w:val="1"/>
          <w:color w:val="auto"/>
        </w:rPr>
        <w:t xml:space="preserve"> </w:t>
      </w:r>
      <w:r>
        <w:rPr>
          <w:rFonts w:ascii="Arial" w:cs="Arial" w:eastAsia="Arial" w:hAnsi="Arial"/>
          <w:sz w:val="17"/>
          <w:szCs w:val="17"/>
          <w:color w:val="auto"/>
        </w:rPr>
        <w:t>to inspect and audit the records of MICRON that are directly related to MICRON’s performance of its obligations under Sections 1.1, 1.2, and 2.2, respectively, of this Agreement. Such audit shall be performed by a INTEL-designated independent and reputable third party auditor at INTEL’s expense who shall employ such audit procedures and review such documents as are reasonable, to confirm compliance with the above obligations. MICRON shall cooperate fully with all such reasonable audit requests; provided however, that in no event shall material containing any information that is protected under court order or the written direction of regulatory authorities be subject to such audit. If, as a result of such audit, MICRON is found to be materially out of compliance with this Agreement, MICRON shall reimburse INTEL for all costs associated with the audit and the number of audits may be reasonably increased. Before being permitted to perform the audit referred to herein, the auditor will be required to execute a MICRON nondisclosure agreement in reasonable form pursuant to which the auditor and its personnel and agents will agree to keep the results of such audit confidential and to inform INTEL only of MICRON’s non-compliance, if any, with Sections 1.1, 1.2 and 2.2 of this Agreement.</w:t>
      </w:r>
    </w:p>
    <w:p>
      <w:pPr>
        <w:spacing w:after="0" w:line="180" w:lineRule="exact"/>
        <w:rPr>
          <w:sz w:val="20"/>
          <w:szCs w:val="20"/>
          <w:color w:val="auto"/>
        </w:rPr>
      </w:pPr>
    </w:p>
    <w:p>
      <w:pPr>
        <w:ind w:left="332"/>
        <w:spacing w:after="0"/>
        <w:tabs>
          <w:tab w:leader="none" w:pos="952" w:val="left"/>
        </w:tabs>
        <w:rPr>
          <w:sz w:val="20"/>
          <w:szCs w:val="20"/>
          <w:color w:val="auto"/>
        </w:rPr>
      </w:pPr>
      <w:r>
        <w:rPr>
          <w:rFonts w:ascii="Arial" w:cs="Arial" w:eastAsia="Arial" w:hAnsi="Arial"/>
          <w:sz w:val="18"/>
          <w:szCs w:val="18"/>
          <w:b w:val="1"/>
          <w:bCs w:val="1"/>
          <w:color w:val="auto"/>
        </w:rPr>
        <w:t>8.0</w:t>
      </w:r>
      <w:r>
        <w:rPr>
          <w:sz w:val="20"/>
          <w:szCs w:val="20"/>
          <w:color w:val="auto"/>
        </w:rPr>
        <w:tab/>
      </w:r>
      <w:r>
        <w:rPr>
          <w:rFonts w:ascii="Arial" w:cs="Arial" w:eastAsia="Arial" w:hAnsi="Arial"/>
          <w:sz w:val="17"/>
          <w:szCs w:val="17"/>
          <w:b w:val="1"/>
          <w:bCs w:val="1"/>
          <w:color w:val="auto"/>
        </w:rPr>
        <w:t>USE OF PROCEEDS</w:t>
      </w:r>
    </w:p>
    <w:p>
      <w:pPr>
        <w:spacing w:after="0" w:line="225" w:lineRule="exact"/>
        <w:rPr>
          <w:sz w:val="20"/>
          <w:szCs w:val="20"/>
          <w:color w:val="auto"/>
        </w:rPr>
      </w:pPr>
    </w:p>
    <w:p>
      <w:pPr>
        <w:ind w:left="1612" w:hanging="647"/>
        <w:spacing w:after="0" w:line="277" w:lineRule="auto"/>
        <w:tabs>
          <w:tab w:leader="none" w:pos="1592"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color w:val="auto"/>
        </w:rPr>
        <w:t>MICRON shall use the proceeds received under the Securities Purchase Agreement for purposes of achieving the milestones set forth in Sections 1.0 and 2.0 respectively.</w:t>
      </w:r>
    </w:p>
    <w:p>
      <w:pPr>
        <w:spacing w:after="0" w:line="170" w:lineRule="exact"/>
        <w:rPr>
          <w:sz w:val="20"/>
          <w:szCs w:val="20"/>
          <w:color w:val="auto"/>
        </w:rPr>
      </w:pPr>
    </w:p>
    <w:p>
      <w:pPr>
        <w:ind w:left="332"/>
        <w:spacing w:after="0"/>
        <w:tabs>
          <w:tab w:leader="none" w:pos="952" w:val="left"/>
        </w:tabs>
        <w:rPr>
          <w:sz w:val="20"/>
          <w:szCs w:val="20"/>
          <w:color w:val="auto"/>
        </w:rPr>
      </w:pPr>
      <w:r>
        <w:rPr>
          <w:rFonts w:ascii="Arial" w:cs="Arial" w:eastAsia="Arial" w:hAnsi="Arial"/>
          <w:sz w:val="18"/>
          <w:szCs w:val="18"/>
          <w:b w:val="1"/>
          <w:bCs w:val="1"/>
          <w:color w:val="auto"/>
        </w:rPr>
        <w:t>9.0</w:t>
      </w:r>
      <w:r>
        <w:rPr>
          <w:sz w:val="20"/>
          <w:szCs w:val="20"/>
          <w:color w:val="auto"/>
        </w:rPr>
        <w:tab/>
      </w:r>
      <w:r>
        <w:rPr>
          <w:rFonts w:ascii="Arial" w:cs="Arial" w:eastAsia="Arial" w:hAnsi="Arial"/>
          <w:sz w:val="18"/>
          <w:szCs w:val="18"/>
          <w:b w:val="1"/>
          <w:bCs w:val="1"/>
          <w:color w:val="auto"/>
        </w:rPr>
        <w:t>TERM AND TERMINATION</w:t>
      </w:r>
    </w:p>
    <w:p>
      <w:pPr>
        <w:spacing w:after="0" w:line="225" w:lineRule="exact"/>
        <w:rPr>
          <w:sz w:val="20"/>
          <w:szCs w:val="20"/>
          <w:color w:val="auto"/>
        </w:rPr>
      </w:pPr>
    </w:p>
    <w:p>
      <w:pPr>
        <w:ind w:left="1612" w:right="20" w:hanging="647"/>
        <w:spacing w:after="0" w:line="282" w:lineRule="auto"/>
        <w:tabs>
          <w:tab w:leader="none" w:pos="1592"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8"/>
          <w:szCs w:val="18"/>
          <w:b w:val="1"/>
          <w:bCs w:val="1"/>
          <w:color w:val="auto"/>
        </w:rPr>
        <w:t xml:space="preserve">Term. </w:t>
      </w:r>
      <w:r>
        <w:rPr>
          <w:rFonts w:ascii="Arial" w:cs="Arial" w:eastAsia="Arial" w:hAnsi="Arial"/>
          <w:sz w:val="18"/>
          <w:szCs w:val="18"/>
          <w:color w:val="auto"/>
        </w:rPr>
        <w:t>This Agreement shall be effective as of the Effective Date and shall remain in effect until termination or expiration 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for herein.</w:t>
      </w:r>
    </w:p>
    <w:p>
      <w:pPr>
        <w:spacing w:after="0" w:line="162" w:lineRule="exact"/>
        <w:rPr>
          <w:sz w:val="20"/>
          <w:szCs w:val="20"/>
          <w:color w:val="auto"/>
        </w:rPr>
      </w:pPr>
    </w:p>
    <w:p>
      <w:pPr>
        <w:ind w:left="1612" w:right="140" w:hanging="647"/>
        <w:spacing w:after="0" w:line="258" w:lineRule="auto"/>
        <w:tabs>
          <w:tab w:leader="none" w:pos="1592"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8"/>
          <w:szCs w:val="18"/>
          <w:b w:val="1"/>
          <w:bCs w:val="1"/>
          <w:color w:val="auto"/>
        </w:rPr>
        <w:t xml:space="preserve">Termination. </w:t>
      </w:r>
      <w:r>
        <w:rPr>
          <w:rFonts w:ascii="Arial" w:cs="Arial" w:eastAsia="Arial" w:hAnsi="Arial"/>
          <w:sz w:val="18"/>
          <w:szCs w:val="18"/>
          <w:color w:val="auto"/>
        </w:rPr>
        <w:t>In addition to the termination rights set forth in Section 10.4, either Party may terminate this Agreement if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(a) materially breaches this Agreement and fails to cure the same within sixty (60) days (unless another time period is otherwise specified herein) from receipt of notice by the non-breaching Party, (b) files or has filed against it a petition in bankruptcy, (c) has a receiver appointed to handle its assets or affairs, (d) makes or attempts to make an assignment for the benefit of creditors, or (e) either Party undergoes a change in control.</w:t>
      </w:r>
    </w:p>
    <w:p>
      <w:pPr>
        <w:spacing w:after="0" w:line="184" w:lineRule="exact"/>
        <w:rPr>
          <w:sz w:val="20"/>
          <w:szCs w:val="20"/>
          <w:color w:val="auto"/>
        </w:rPr>
      </w:pPr>
    </w:p>
    <w:p>
      <w:pPr>
        <w:ind w:left="1612" w:right="580" w:hanging="647"/>
        <w:spacing w:after="0" w:line="282" w:lineRule="auto"/>
        <w:tabs>
          <w:tab w:leader="none" w:pos="1592"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8"/>
          <w:szCs w:val="18"/>
          <w:b w:val="1"/>
          <w:bCs w:val="1"/>
          <w:color w:val="auto"/>
        </w:rPr>
        <w:t>Expiration</w:t>
      </w:r>
      <w:r>
        <w:rPr>
          <w:rFonts w:ascii="Arial" w:cs="Arial" w:eastAsia="Arial" w:hAnsi="Arial"/>
          <w:sz w:val="18"/>
          <w:szCs w:val="18"/>
          <w:color w:val="auto"/>
        </w:rPr>
        <w:t>. This Agreement shall expire five (5) years from the Effective Date, unless otherwise earlier terminated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9.2 or upon mutual written agreement of the Parties.</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72" w:hanging="648"/>
        <w:spacing w:after="0"/>
        <w:tabs>
          <w:tab w:leader="none" w:pos="97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w:t>
      </w:r>
    </w:p>
    <w:p>
      <w:pPr>
        <w:spacing w:after="0" w:line="225" w:lineRule="exact"/>
        <w:rPr>
          <w:rFonts w:ascii="Arial" w:cs="Arial" w:eastAsia="Arial" w:hAnsi="Arial"/>
          <w:sz w:val="18"/>
          <w:szCs w:val="18"/>
          <w:b w:val="1"/>
          <w:bCs w:val="1"/>
          <w:color w:val="auto"/>
        </w:rPr>
      </w:pPr>
    </w:p>
    <w:p>
      <w:pPr>
        <w:ind w:left="1612" w:right="6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10.1 Controlling Law. </w:t>
      </w:r>
      <w:r>
        <w:rPr>
          <w:rFonts w:ascii="Arial" w:cs="Arial" w:eastAsia="Arial" w:hAnsi="Arial"/>
          <w:sz w:val="18"/>
          <w:szCs w:val="18"/>
          <w:color w:val="auto"/>
        </w:rPr>
        <w:t>Any claim arising under or relating to this Agreement shall be governed by the internal substantive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 U.S.A or federal courts located in Delaware, without regard to principles of conflict of laws.</w:t>
      </w:r>
    </w:p>
    <w:p>
      <w:pPr>
        <w:spacing w:after="0" w:line="161" w:lineRule="exact"/>
        <w:rPr>
          <w:rFonts w:ascii="Arial" w:cs="Arial" w:eastAsia="Arial" w:hAnsi="Arial"/>
          <w:sz w:val="18"/>
          <w:szCs w:val="18"/>
          <w:b w:val="1"/>
          <w:bCs w:val="1"/>
          <w:color w:val="auto"/>
        </w:rPr>
      </w:pPr>
    </w:p>
    <w:p>
      <w:pPr>
        <w:ind w:left="1612" w:right="10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10.2 Venue and Waiver to Jury Trial</w:t>
      </w:r>
      <w:r>
        <w:rPr>
          <w:rFonts w:ascii="Arial" w:cs="Arial" w:eastAsia="Arial" w:hAnsi="Arial"/>
          <w:sz w:val="18"/>
          <w:szCs w:val="18"/>
          <w:color w:val="auto"/>
        </w:rPr>
        <w:t>. The Parties hereby waive the right to jury trial with respect to any action that may arise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Each Party hereby agrees to jurisdiction and venue in the courts of the State of Delaware, U.S.A.</w:t>
      </w:r>
    </w:p>
    <w:p>
      <w:pPr>
        <w:spacing w:after="0" w:line="162" w:lineRule="exact"/>
        <w:rPr>
          <w:sz w:val="20"/>
          <w:szCs w:val="20"/>
          <w:color w:val="auto"/>
        </w:rPr>
      </w:pPr>
    </w:p>
    <w:p>
      <w:pPr>
        <w:ind w:left="972"/>
        <w:spacing w:after="0"/>
        <w:tabs>
          <w:tab w:leader="none" w:pos="1592"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Confidentiality and Publicity.</w:t>
      </w:r>
    </w:p>
    <w:p>
      <w:pPr>
        <w:spacing w:after="0" w:line="225" w:lineRule="exact"/>
        <w:rPr>
          <w:sz w:val="20"/>
          <w:szCs w:val="20"/>
          <w:color w:val="auto"/>
        </w:rPr>
      </w:pPr>
    </w:p>
    <w:p>
      <w:pPr>
        <w:ind w:left="2252" w:right="20" w:hanging="647"/>
        <w:spacing w:after="0" w:line="286" w:lineRule="auto"/>
        <w:tabs>
          <w:tab w:leader="none" w:pos="2232" w:val="left"/>
        </w:tabs>
        <w:rPr>
          <w:sz w:val="20"/>
          <w:szCs w:val="20"/>
          <w:color w:val="auto"/>
        </w:rPr>
      </w:pPr>
      <w:r>
        <w:rPr>
          <w:rFonts w:ascii="Arial" w:cs="Arial" w:eastAsia="Arial" w:hAnsi="Arial"/>
          <w:sz w:val="18"/>
          <w:szCs w:val="18"/>
          <w:b w:val="1"/>
          <w:bCs w:val="1"/>
          <w:color w:val="auto"/>
        </w:rPr>
        <w:t>10.3.1</w:t>
      </w:r>
      <w:r>
        <w:rPr>
          <w:sz w:val="20"/>
          <w:szCs w:val="20"/>
          <w:color w:val="auto"/>
        </w:rPr>
        <w:tab/>
      </w:r>
      <w:r>
        <w:rPr>
          <w:rFonts w:ascii="Arial" w:cs="Arial" w:eastAsia="Arial" w:hAnsi="Arial"/>
          <w:sz w:val="16"/>
          <w:szCs w:val="16"/>
          <w:b w:val="1"/>
          <w:bCs w:val="1"/>
          <w:color w:val="auto"/>
        </w:rPr>
        <w:t xml:space="preserve">Confidentiality. </w:t>
      </w:r>
      <w:r>
        <w:rPr>
          <w:rFonts w:ascii="Arial" w:cs="Arial" w:eastAsia="Arial" w:hAnsi="Arial"/>
          <w:sz w:val="16"/>
          <w:szCs w:val="16"/>
          <w:color w:val="auto"/>
        </w:rPr>
        <w:t>Except to the extent required by law or judicial order or except as otherwise provided herein, neither Party</w:t>
      </w:r>
      <w:r>
        <w:rPr>
          <w:rFonts w:ascii="Arial" w:cs="Arial" w:eastAsia="Arial" w:hAnsi="Arial"/>
          <w:sz w:val="16"/>
          <w:szCs w:val="16"/>
          <w:b w:val="1"/>
          <w:bCs w:val="1"/>
          <w:color w:val="auto"/>
        </w:rPr>
        <w:t xml:space="preserve"> </w:t>
      </w:r>
      <w:r>
        <w:rPr>
          <w:rFonts w:ascii="Arial" w:cs="Arial" w:eastAsia="Arial" w:hAnsi="Arial"/>
          <w:sz w:val="16"/>
          <w:szCs w:val="16"/>
          <w:color w:val="auto"/>
        </w:rPr>
        <w:t>shall disclose this Agreement or any of its terms without the other’s prior written approval, which approval will not be delayed or unreasonably withheld. Either Party may disclose this Agreement to the extent required by law or judicial order, provided that if such disclosure is pursuant to judicial order or proceedings, the disclosing Party will notify the other Party promptly before such disclosure and will cooperate with the other Party to seek confidential treatment with respect to the disclosure if requested by the other Party and provided further that if such disclosure is required pursuant to the rules and regulations of any federal, state or local organization, the Parties will cooperate to seek confidential treatment of this Agreement to the maximum extent possible under law. Notwithstanding the foregoing, in the absence of any prior disclosure of this Agreement or the terms thereof pursuant to this Section 10.3.1, each Party may disclose this Agreement and its terms to its agents or third party consultants who have a need to know arising out of the establishment, implementation, administration, termination or enforcement of this Agreement provided such agents are informed of the confidential nature of this Agreement and the terms thereof and are bound, either by statutory rules of professional responsibility to maintain client confidences with respect thereto or, in the absence of such statutory duties, are bound by the terms of a applicable nondisclosure agreement that treats as confidential information this Agreement and the terms thereof.</w:t>
      </w:r>
    </w:p>
    <w:p>
      <w:pPr>
        <w:spacing w:after="0" w:line="176" w:lineRule="exact"/>
        <w:rPr>
          <w:sz w:val="20"/>
          <w:szCs w:val="20"/>
          <w:color w:val="auto"/>
        </w:rPr>
      </w:pPr>
    </w:p>
    <w:p>
      <w:pPr>
        <w:ind w:left="2272" w:right="120"/>
        <w:spacing w:after="0" w:line="257" w:lineRule="auto"/>
        <w:rPr>
          <w:sz w:val="20"/>
          <w:szCs w:val="20"/>
          <w:color w:val="auto"/>
        </w:rPr>
      </w:pPr>
      <w:r>
        <w:rPr>
          <w:rFonts w:ascii="Arial" w:cs="Arial" w:eastAsia="Arial" w:hAnsi="Arial"/>
          <w:sz w:val="18"/>
          <w:szCs w:val="18"/>
          <w:color w:val="auto"/>
        </w:rPr>
        <w:t>MICRON agrees that it will provide INTEL with the relevant portions of any drafts of any documents, press releases or other filings in which the Agreement or its contents are to be disclosed prior to the filing and that it will provide INTEL with an opportunity prior to the filing thereof to consult with MICRON as to the contents of such filing. Micron shall endeavor to provide adequate opportunity for Intel review and comments prior to any such filing. The minimum prior notice to Intel for such review is two (2) business days.</w:t>
      </w:r>
    </w:p>
    <w:p>
      <w:pPr>
        <w:sectPr>
          <w:pgSz w:w="11900" w:h="16838" w:orient="portrait"/>
          <w:cols w:equalWidth="0" w:num="1">
            <w:col w:w="11412"/>
          </w:cols>
          <w:pgMar w:left="248" w:top="530" w:right="239" w:bottom="0" w:gutter="0" w:footer="0" w:header="0"/>
        </w:sectPr>
      </w:pPr>
    </w:p>
    <w:bookmarkStart w:id="27" w:name="page28"/>
    <w:bookmarkEnd w:id="27"/>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1060" w:right="200" w:hanging="647"/>
        <w:spacing w:after="0" w:line="266" w:lineRule="auto"/>
        <w:tabs>
          <w:tab w:leader="none" w:pos="1040" w:val="left"/>
        </w:tabs>
        <w:rPr>
          <w:sz w:val="20"/>
          <w:szCs w:val="20"/>
          <w:color w:val="auto"/>
        </w:rPr>
      </w:pPr>
      <w:r>
        <w:rPr>
          <w:rFonts w:ascii="Arial" w:cs="Arial" w:eastAsia="Arial" w:hAnsi="Arial"/>
          <w:sz w:val="18"/>
          <w:szCs w:val="18"/>
          <w:b w:val="1"/>
          <w:bCs w:val="1"/>
          <w:color w:val="auto"/>
        </w:rPr>
        <w:t>10.3.2</w:t>
        <w:tab/>
        <w:t xml:space="preserve">Public Announcements. </w:t>
      </w:r>
      <w:r>
        <w:rPr>
          <w:rFonts w:ascii="Arial" w:cs="Arial" w:eastAsia="Arial" w:hAnsi="Arial"/>
          <w:sz w:val="18"/>
          <w:szCs w:val="18"/>
          <w:color w:val="auto"/>
        </w:rPr>
        <w:t>Upon execution of this Agreement, the Parties will mutually agree on language to be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press release(s) announcing the existence of the transactions contemplated by this Agreement, which press release(s) will be issued promptly following the execution of this Agreement</w:t>
      </w:r>
    </w:p>
    <w:p>
      <w:pPr>
        <w:spacing w:after="0" w:line="176" w:lineRule="exact"/>
        <w:rPr>
          <w:sz w:val="20"/>
          <w:szCs w:val="20"/>
          <w:color w:val="auto"/>
        </w:rPr>
      </w:pPr>
    </w:p>
    <w:p>
      <w:pPr>
        <w:ind w:left="1060" w:right="300" w:hanging="647"/>
        <w:spacing w:after="0" w:line="282" w:lineRule="auto"/>
        <w:tabs>
          <w:tab w:leader="none" w:pos="1040" w:val="left"/>
        </w:tabs>
        <w:rPr>
          <w:sz w:val="20"/>
          <w:szCs w:val="20"/>
          <w:color w:val="auto"/>
        </w:rPr>
      </w:pPr>
      <w:r>
        <w:rPr>
          <w:rFonts w:ascii="Arial" w:cs="Arial" w:eastAsia="Arial" w:hAnsi="Arial"/>
          <w:sz w:val="18"/>
          <w:szCs w:val="18"/>
          <w:b w:val="1"/>
          <w:bCs w:val="1"/>
          <w:color w:val="auto"/>
        </w:rPr>
        <w:t>10.3.3</w:t>
        <w:tab/>
        <w:t xml:space="preserve">Third Party Information. </w:t>
      </w:r>
      <w:r>
        <w:rPr>
          <w:rFonts w:ascii="Arial" w:cs="Arial" w:eastAsia="Arial" w:hAnsi="Arial"/>
          <w:sz w:val="18"/>
          <w:szCs w:val="18"/>
          <w:color w:val="auto"/>
        </w:rPr>
        <w:t>Neither Party will be required to disclose to the other any confidential information of any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party without having first obtained such third party’s prior written consent.</w:t>
      </w:r>
    </w:p>
    <w:p>
      <w:pPr>
        <w:spacing w:after="0" w:line="162" w:lineRule="exact"/>
        <w:rPr>
          <w:sz w:val="20"/>
          <w:szCs w:val="20"/>
          <w:color w:val="auto"/>
        </w:rPr>
      </w:pPr>
    </w:p>
    <w:p>
      <w:pPr>
        <w:ind w:left="1060" w:right="20" w:hanging="647"/>
        <w:spacing w:after="0" w:line="266" w:lineRule="auto"/>
        <w:tabs>
          <w:tab w:leader="none" w:pos="1040" w:val="left"/>
        </w:tabs>
        <w:rPr>
          <w:sz w:val="20"/>
          <w:szCs w:val="20"/>
          <w:color w:val="auto"/>
        </w:rPr>
      </w:pPr>
      <w:r>
        <w:rPr>
          <w:rFonts w:ascii="Arial" w:cs="Arial" w:eastAsia="Arial" w:hAnsi="Arial"/>
          <w:sz w:val="18"/>
          <w:szCs w:val="18"/>
          <w:b w:val="1"/>
          <w:bCs w:val="1"/>
          <w:color w:val="auto"/>
        </w:rPr>
        <w:t>10.3.4</w:t>
        <w:tab/>
        <w:t xml:space="preserve">Other Disclosures. </w:t>
      </w:r>
      <w:r>
        <w:rPr>
          <w:rFonts w:ascii="Arial" w:cs="Arial" w:eastAsia="Arial" w:hAnsi="Arial"/>
          <w:sz w:val="18"/>
          <w:szCs w:val="18"/>
          <w:color w:val="auto"/>
        </w:rPr>
        <w:t>Except as otherwise provided for in Sections 10.3.1, 10.3.2, and 10.3.3 hereof, respectively, all</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exchanged by the parties will be disclosed pursuant to the INTEL Corporation/MICRON Technology, Inc. Corporate Non-Disclosure Agreement #19096.</w:t>
      </w:r>
    </w:p>
    <w:p>
      <w:pPr>
        <w:spacing w:after="0" w:line="176" w:lineRule="exact"/>
        <w:rPr>
          <w:sz w:val="20"/>
          <w:szCs w:val="20"/>
          <w:color w:val="auto"/>
        </w:rPr>
      </w:pPr>
    </w:p>
    <w:p>
      <w:pPr>
        <w:jc w:val="both"/>
        <w:ind w:left="420" w:right="300" w:hanging="647"/>
        <w:spacing w:after="0" w:line="261" w:lineRule="auto"/>
        <w:tabs>
          <w:tab w:leader="none" w:pos="40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8"/>
          <w:szCs w:val="18"/>
          <w:b w:val="1"/>
          <w:bCs w:val="1"/>
          <w:color w:val="auto"/>
        </w:rPr>
        <w:t xml:space="preserve">Force Majeure. </w:t>
      </w:r>
      <w:r>
        <w:rPr>
          <w:rFonts w:ascii="Arial" w:cs="Arial" w:eastAsia="Arial" w:hAnsi="Arial"/>
          <w:sz w:val="18"/>
          <w:szCs w:val="18"/>
          <w:color w:val="auto"/>
        </w:rPr>
        <w:t>The Parties hereto shall not be liable for any failure to perform due to acts of God, war, terrorism, riot, epidemics,</w:t>
      </w:r>
      <w:r>
        <w:rPr>
          <w:rFonts w:ascii="Arial" w:cs="Arial" w:eastAsia="Arial" w:hAnsi="Arial"/>
          <w:sz w:val="18"/>
          <w:szCs w:val="18"/>
          <w:b w:val="1"/>
          <w:bCs w:val="1"/>
          <w:color w:val="auto"/>
        </w:rPr>
        <w:t xml:space="preserve"> </w:t>
      </w:r>
      <w:r>
        <w:rPr>
          <w:rFonts w:ascii="Arial" w:cs="Arial" w:eastAsia="Arial" w:hAnsi="Arial"/>
          <w:sz w:val="18"/>
          <w:szCs w:val="18"/>
          <w:color w:val="auto"/>
        </w:rPr>
        <w:t>embargoes, acts of civil or military authority, injunction, fire, flood, accidents, earthquakes, strikes, labor disputes or causes beyond that Party’s reasonable control. If the failure to perform by either Party continues for a period of more than one hundred and eighty (180) days the other Party may terminate this Agreement.</w:t>
      </w:r>
    </w:p>
    <w:p>
      <w:pPr>
        <w:spacing w:after="0" w:line="180" w:lineRule="exact"/>
        <w:rPr>
          <w:sz w:val="20"/>
          <w:szCs w:val="20"/>
          <w:color w:val="auto"/>
        </w:rPr>
      </w:pPr>
    </w:p>
    <w:p>
      <w:pPr>
        <w:ind w:left="420" w:right="160" w:hanging="647"/>
        <w:spacing w:after="0" w:line="266" w:lineRule="auto"/>
        <w:tabs>
          <w:tab w:leader="none" w:pos="40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8"/>
          <w:szCs w:val="18"/>
          <w:b w:val="1"/>
          <w:bCs w:val="1"/>
          <w:color w:val="auto"/>
        </w:rPr>
        <w:t xml:space="preserve">No Partnership or Joint Venture. </w:t>
      </w:r>
      <w:r>
        <w:rPr>
          <w:rFonts w:ascii="Arial" w:cs="Arial" w:eastAsia="Arial" w:hAnsi="Arial"/>
          <w:sz w:val="18"/>
          <w:szCs w:val="18"/>
          <w:color w:val="auto"/>
        </w:rPr>
        <w:t>Performance by the Parties under this Agreement shall be as independent contractors. Nothing</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herein or done under the terms of this Agreement shall constitute the parties entering upon a joint venture or partnership, or shall constitute any Party as the agent of another Party for any purpose.</w:t>
      </w:r>
    </w:p>
    <w:p>
      <w:pPr>
        <w:spacing w:after="0" w:line="176" w:lineRule="exact"/>
        <w:rPr>
          <w:sz w:val="20"/>
          <w:szCs w:val="20"/>
          <w:color w:val="auto"/>
        </w:rPr>
      </w:pPr>
    </w:p>
    <w:p>
      <w:pPr>
        <w:ind w:left="420" w:hanging="647"/>
        <w:spacing w:after="0" w:line="258" w:lineRule="auto"/>
        <w:tabs>
          <w:tab w:leader="none" w:pos="40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8"/>
          <w:szCs w:val="18"/>
          <w:b w:val="1"/>
          <w:bCs w:val="1"/>
          <w:color w:val="auto"/>
        </w:rPr>
        <w:t xml:space="preserve">Assignment of Agreement. </w:t>
      </w:r>
      <w:r>
        <w:rPr>
          <w:rFonts w:ascii="Arial" w:cs="Arial" w:eastAsia="Arial" w:hAnsi="Arial"/>
          <w:sz w:val="18"/>
          <w:szCs w:val="18"/>
          <w:color w:val="auto"/>
        </w:rPr>
        <w:t>Either Party may assign or delegate its rights or obligations under this Agreement to any or all of its</w:t>
      </w:r>
      <w:r>
        <w:rPr>
          <w:rFonts w:ascii="Arial" w:cs="Arial" w:eastAsia="Arial" w:hAnsi="Arial"/>
          <w:sz w:val="18"/>
          <w:szCs w:val="18"/>
          <w:b w:val="1"/>
          <w:bCs w:val="1"/>
          <w:color w:val="auto"/>
        </w:rPr>
        <w:t xml:space="preserve"> </w:t>
      </w:r>
      <w:r>
        <w:rPr>
          <w:rFonts w:ascii="Arial" w:cs="Arial" w:eastAsia="Arial" w:hAnsi="Arial"/>
          <w:sz w:val="18"/>
          <w:szCs w:val="18"/>
          <w:color w:val="auto"/>
        </w:rPr>
        <w:t>wholly owned subsidiaries, provided, however, no such assignment or delegation shall relieve the transferring Party from its obligations hereunder without the consent of the other Party. Otherwise, no Party may assign or delegate its rights and obligations under this Agreement without the prior written consent of the other. For purposes of this provision, the term subsidiaries means a person in which one of the Parties owns fifty-one percent of the voting stock in such firm.</w:t>
      </w:r>
    </w:p>
    <w:p>
      <w:pPr>
        <w:spacing w:after="0" w:line="184" w:lineRule="exact"/>
        <w:rPr>
          <w:sz w:val="20"/>
          <w:szCs w:val="20"/>
          <w:color w:val="auto"/>
        </w:rPr>
      </w:pPr>
    </w:p>
    <w:p>
      <w:pPr>
        <w:ind w:left="420" w:right="60" w:hanging="647"/>
        <w:spacing w:after="0" w:line="261" w:lineRule="auto"/>
        <w:tabs>
          <w:tab w:leader="none" w:pos="40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8"/>
          <w:szCs w:val="18"/>
          <w:b w:val="1"/>
          <w:bCs w:val="1"/>
          <w:color w:val="auto"/>
        </w:rPr>
        <w:t xml:space="preserve">Trademarks. </w:t>
      </w:r>
      <w:r>
        <w:rPr>
          <w:rFonts w:ascii="Arial" w:cs="Arial" w:eastAsia="Arial" w:hAnsi="Arial"/>
          <w:sz w:val="18"/>
          <w:szCs w:val="18"/>
          <w:color w:val="auto"/>
        </w:rPr>
        <w:t>No Party has any right to use any trademark, logo, trade name or other identifying mark of the other Party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the other; provided that if MICRON purchases Products assembled into modules by INTEL pursuant to Section 6.6, MICRON shall be permitted to resell such modules even if they contain a INTEL trademark, logo, trade name or other identifying mark, subject to compliance with INTEL’s trademark and logo usage guidelines.</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420" w:right="320" w:hanging="647"/>
        <w:spacing w:after="0" w:line="314" w:lineRule="auto"/>
        <w:tabs>
          <w:tab w:leader="none" w:pos="40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6"/>
          <w:szCs w:val="16"/>
          <w:b w:val="1"/>
          <w:bCs w:val="1"/>
          <w:color w:val="auto"/>
        </w:rPr>
        <w:t xml:space="preserve">Merger, Modification, Waiver. </w:t>
      </w:r>
      <w:r>
        <w:rPr>
          <w:rFonts w:ascii="Arial" w:cs="Arial" w:eastAsia="Arial" w:hAnsi="Arial"/>
          <w:sz w:val="16"/>
          <w:szCs w:val="16"/>
          <w:color w:val="auto"/>
        </w:rPr>
        <w:t>Failure by either Party to insist in any instance upon strict conformance to any term or condition</w:t>
      </w:r>
      <w:r>
        <w:rPr>
          <w:rFonts w:ascii="Arial" w:cs="Arial" w:eastAsia="Arial" w:hAnsi="Arial"/>
          <w:sz w:val="16"/>
          <w:szCs w:val="16"/>
          <w:b w:val="1"/>
          <w:bCs w:val="1"/>
          <w:color w:val="auto"/>
        </w:rPr>
        <w:t xml:space="preserve"> </w:t>
      </w:r>
      <w:r>
        <w:rPr>
          <w:rFonts w:ascii="Arial" w:cs="Arial" w:eastAsia="Arial" w:hAnsi="Arial"/>
          <w:sz w:val="16"/>
          <w:szCs w:val="16"/>
          <w:color w:val="auto"/>
        </w:rPr>
        <w:t>herein, or failure by any Party to act in the event of a breach or default by the other Party, shall not be construed as a consent to or a waiver of that breach or default or any subsequent breach or default of the same or of any other term or condition contained herein.</w:t>
      </w:r>
    </w:p>
    <w:p>
      <w:pPr>
        <w:spacing w:after="0" w:line="142" w:lineRule="exact"/>
        <w:rPr>
          <w:sz w:val="20"/>
          <w:szCs w:val="20"/>
          <w:color w:val="auto"/>
        </w:rPr>
      </w:pPr>
    </w:p>
    <w:p>
      <w:pPr>
        <w:ind w:left="420" w:right="320" w:hanging="647"/>
        <w:spacing w:after="0" w:line="266" w:lineRule="auto"/>
        <w:tabs>
          <w:tab w:leader="none" w:pos="40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and requests required under this Agreement shall be in writing and shall, if personally delivered,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given on the immediately following business day. If such notice or request is mailed postage prepaid, certified or registered mail, it shall be deemed given on the seventh business day.</w:t>
      </w:r>
    </w:p>
    <w:p>
      <w:pPr>
        <w:spacing w:after="0" w:line="163"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Arial" w:cs="Arial" w:eastAsia="Arial" w:hAnsi="Arial"/>
                <w:sz w:val="18"/>
                <w:szCs w:val="18"/>
                <w:color w:val="auto"/>
              </w:rPr>
              <w:t>If to MICRON:</w:t>
            </w:r>
          </w:p>
        </w:tc>
        <w:tc>
          <w:tcPr>
            <w:tcW w:w="3080" w:type="dxa"/>
            <w:vAlign w:val="bottom"/>
            <w:gridSpan w:val="2"/>
          </w:tcPr>
          <w:p>
            <w:pPr>
              <w:spacing w:after="0"/>
              <w:rPr>
                <w:sz w:val="20"/>
                <w:szCs w:val="20"/>
                <w:color w:val="auto"/>
              </w:rPr>
            </w:pPr>
            <w:r>
              <w:rPr>
                <w:rFonts w:ascii="Arial" w:cs="Arial" w:eastAsia="Arial" w:hAnsi="Arial"/>
                <w:sz w:val="18"/>
                <w:szCs w:val="18"/>
                <w:color w:val="auto"/>
              </w:rPr>
              <w:t>If to INTEL:</w:t>
            </w:r>
          </w:p>
        </w:tc>
      </w:tr>
      <w:tr>
        <w:trPr>
          <w:trHeight w:val="20"/>
        </w:trPr>
        <w:tc>
          <w:tcPr>
            <w:tcW w:w="10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22"/>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Micron Technology, Inc.</w:t>
            </w: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Intel Corporation</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8000 S. Federal Way,</w:t>
            </w:r>
          </w:p>
        </w:tc>
        <w:tc>
          <w:tcPr>
            <w:tcW w:w="3080" w:type="dxa"/>
            <w:vAlign w:val="bottom"/>
            <w:gridSpan w:val="2"/>
          </w:tcPr>
          <w:p>
            <w:pPr>
              <w:spacing w:after="0"/>
              <w:rPr>
                <w:sz w:val="20"/>
                <w:szCs w:val="20"/>
                <w:color w:val="auto"/>
              </w:rPr>
            </w:pPr>
            <w:r>
              <w:rPr>
                <w:rFonts w:ascii="Arial" w:cs="Arial" w:eastAsia="Arial" w:hAnsi="Arial"/>
                <w:sz w:val="18"/>
                <w:szCs w:val="18"/>
                <w:color w:val="auto"/>
              </w:rPr>
              <w:t>2200 Mission College Blvd.</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P.O. Box 6</w:t>
            </w:r>
          </w:p>
        </w:tc>
        <w:tc>
          <w:tcPr>
            <w:tcW w:w="3080" w:type="dxa"/>
            <w:vAlign w:val="bottom"/>
            <w:gridSpan w:val="2"/>
          </w:tcPr>
          <w:p>
            <w:pPr>
              <w:spacing w:after="0"/>
              <w:rPr>
                <w:sz w:val="20"/>
                <w:szCs w:val="20"/>
                <w:color w:val="auto"/>
              </w:rPr>
            </w:pPr>
            <w:r>
              <w:rPr>
                <w:rFonts w:ascii="Arial" w:cs="Arial" w:eastAsia="Arial" w:hAnsi="Arial"/>
                <w:sz w:val="18"/>
                <w:szCs w:val="18"/>
                <w:color w:val="auto"/>
              </w:rPr>
              <w:t>Santa Clara, CA 95052</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Boise, Idaho 83716-9632</w:t>
            </w:r>
          </w:p>
        </w:tc>
        <w:tc>
          <w:tcPr>
            <w:tcW w:w="3080" w:type="dxa"/>
            <w:vAlign w:val="bottom"/>
            <w:gridSpan w:val="2"/>
          </w:tcPr>
          <w:p>
            <w:pPr>
              <w:spacing w:after="0"/>
              <w:rPr>
                <w:sz w:val="20"/>
                <w:szCs w:val="20"/>
                <w:color w:val="auto"/>
              </w:rPr>
            </w:pPr>
            <w:r>
              <w:rPr>
                <w:rFonts w:ascii="Arial" w:cs="Arial" w:eastAsia="Arial" w:hAnsi="Arial"/>
                <w:sz w:val="18"/>
                <w:szCs w:val="18"/>
                <w:color w:val="auto"/>
                <w:w w:val="92"/>
              </w:rPr>
              <w:t>Attention: Director, Platform Memory Ops</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Legal Notice: General Counsel</w:t>
            </w:r>
          </w:p>
        </w:tc>
        <w:tc>
          <w:tcPr>
            <w:tcW w:w="3080" w:type="dxa"/>
            <w:vAlign w:val="bottom"/>
            <w:gridSpan w:val="2"/>
          </w:tcPr>
          <w:p>
            <w:pPr>
              <w:spacing w:after="0"/>
              <w:rPr>
                <w:sz w:val="20"/>
                <w:szCs w:val="20"/>
                <w:color w:val="auto"/>
              </w:rPr>
            </w:pPr>
            <w:r>
              <w:rPr>
                <w:rFonts w:ascii="Arial" w:cs="Arial" w:eastAsia="Arial" w:hAnsi="Arial"/>
                <w:sz w:val="18"/>
                <w:szCs w:val="18"/>
                <w:color w:val="auto"/>
              </w:rPr>
              <w:t>Legal Notice: General Counsel</w:t>
            </w:r>
          </w:p>
        </w:tc>
      </w:tr>
    </w:tbl>
    <w:p>
      <w:pPr>
        <w:spacing w:after="0" w:line="198" w:lineRule="exact"/>
        <w:rPr>
          <w:sz w:val="20"/>
          <w:szCs w:val="20"/>
          <w:color w:val="auto"/>
        </w:rPr>
      </w:pPr>
    </w:p>
    <w:p>
      <w:pPr>
        <w:ind w:left="420" w:right="220" w:hanging="647"/>
        <w:spacing w:after="0" w:line="303" w:lineRule="auto"/>
        <w:tabs>
          <w:tab w:leader="none" w:pos="400" w:val="left"/>
        </w:tabs>
        <w:rPr>
          <w:sz w:val="20"/>
          <w:szCs w:val="20"/>
          <w:color w:val="auto"/>
        </w:rPr>
      </w:pPr>
      <w:r>
        <w:rPr>
          <w:rFonts w:ascii="Arial" w:cs="Arial" w:eastAsia="Arial" w:hAnsi="Arial"/>
          <w:sz w:val="18"/>
          <w:szCs w:val="18"/>
          <w:b w:val="1"/>
          <w:bCs w:val="1"/>
          <w:color w:val="auto"/>
        </w:rPr>
        <w:t>10.10</w:t>
      </w:r>
      <w:r>
        <w:rPr>
          <w:sz w:val="20"/>
          <w:szCs w:val="20"/>
          <w:color w:val="auto"/>
        </w:rPr>
        <w:tab/>
      </w: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If any provision or provisions of this Agreement shall become or be held to be invalid, illegal or unenforceable, the</w:t>
      </w:r>
      <w:r>
        <w:rPr>
          <w:rFonts w:ascii="Arial" w:cs="Arial" w:eastAsia="Arial" w:hAnsi="Arial"/>
          <w:sz w:val="16"/>
          <w:szCs w:val="16"/>
          <w:b w:val="1"/>
          <w:bCs w:val="1"/>
          <w:color w:val="auto"/>
        </w:rPr>
        <w:t xml:space="preserve"> </w:t>
      </w:r>
      <w:r>
        <w:rPr>
          <w:rFonts w:ascii="Arial" w:cs="Arial" w:eastAsia="Arial" w:hAnsi="Arial"/>
          <w:sz w:val="16"/>
          <w:szCs w:val="16"/>
          <w:color w:val="auto"/>
        </w:rPr>
        <w:t>validity, legality or enforceability of the remaining provisions shall be in no way be affected or impaired thereby; provided, however, that if such holding substantially alters the terms and conditions of this Agreement, the Parties agree to negotiate a provision to be substituted for the eliminated provision which shall, as close as possible, have the economic effect of the eliminated provision.</w:t>
      </w:r>
    </w:p>
    <w:p>
      <w:pPr>
        <w:spacing w:after="0" w:line="151" w:lineRule="exact"/>
        <w:rPr>
          <w:sz w:val="20"/>
          <w:szCs w:val="20"/>
          <w:color w:val="auto"/>
        </w:rPr>
      </w:pPr>
    </w:p>
    <w:p>
      <w:pPr>
        <w:jc w:val="both"/>
        <w:ind w:left="400" w:right="100" w:hanging="647"/>
        <w:spacing w:after="0" w:line="266" w:lineRule="auto"/>
        <w:tabs>
          <w:tab w:leader="none" w:pos="380" w:val="left"/>
        </w:tabs>
        <w:rPr>
          <w:sz w:val="20"/>
          <w:szCs w:val="20"/>
          <w:color w:val="auto"/>
        </w:rPr>
      </w:pPr>
      <w:r>
        <w:rPr>
          <w:rFonts w:ascii="Arial" w:cs="Arial" w:eastAsia="Arial" w:hAnsi="Arial"/>
          <w:sz w:val="18"/>
          <w:szCs w:val="18"/>
          <w:b w:val="1"/>
          <w:bCs w:val="1"/>
          <w:color w:val="auto"/>
        </w:rPr>
        <w:t>10.11</w:t>
        <w:tab/>
        <w:t xml:space="preserve">Survival of Provisions. </w:t>
      </w:r>
      <w:r>
        <w:rPr>
          <w:rFonts w:ascii="Arial" w:cs="Arial" w:eastAsia="Arial" w:hAnsi="Arial"/>
          <w:sz w:val="18"/>
          <w:szCs w:val="18"/>
          <w:color w:val="auto"/>
        </w:rPr>
        <w:t>The following provisions of this Agreement shall survive its termination or expiration: 4.5, 7.3 through 7.5,</w:t>
      </w:r>
      <w:r>
        <w:rPr>
          <w:rFonts w:ascii="Arial" w:cs="Arial" w:eastAsia="Arial" w:hAnsi="Arial"/>
          <w:sz w:val="18"/>
          <w:szCs w:val="18"/>
          <w:b w:val="1"/>
          <w:bCs w:val="1"/>
          <w:color w:val="auto"/>
        </w:rPr>
        <w:t xml:space="preserve"> </w:t>
      </w:r>
      <w:r>
        <w:rPr>
          <w:rFonts w:ascii="Arial" w:cs="Arial" w:eastAsia="Arial" w:hAnsi="Arial"/>
          <w:sz w:val="18"/>
          <w:szCs w:val="18"/>
          <w:color w:val="auto"/>
        </w:rPr>
        <w:t>10.1 through 10.5, 10.7, and 10.10 through 10.12, together with such other provisions of this Agreement as may be necessary, but only to the extent necessary, to give meaning to such surviving provisions.</w:t>
      </w:r>
    </w:p>
    <w:p>
      <w:pPr>
        <w:spacing w:after="0" w:line="176" w:lineRule="exact"/>
        <w:rPr>
          <w:sz w:val="20"/>
          <w:szCs w:val="20"/>
          <w:color w:val="auto"/>
        </w:rPr>
      </w:pPr>
    </w:p>
    <w:p>
      <w:pPr>
        <w:ind w:left="420" w:right="140" w:hanging="647"/>
        <w:spacing w:after="0" w:line="286" w:lineRule="auto"/>
        <w:tabs>
          <w:tab w:leader="none" w:pos="400" w:val="left"/>
        </w:tabs>
        <w:rPr>
          <w:sz w:val="20"/>
          <w:szCs w:val="20"/>
          <w:color w:val="auto"/>
        </w:rPr>
      </w:pPr>
      <w:r>
        <w:rPr>
          <w:rFonts w:ascii="Arial" w:cs="Arial" w:eastAsia="Arial" w:hAnsi="Arial"/>
          <w:sz w:val="18"/>
          <w:szCs w:val="18"/>
          <w:b w:val="1"/>
          <w:bCs w:val="1"/>
          <w:color w:val="auto"/>
        </w:rPr>
        <w:t>10.12</w:t>
      </w:r>
      <w:r>
        <w:rPr>
          <w:sz w:val="20"/>
          <w:szCs w:val="20"/>
          <w:color w:val="auto"/>
        </w:rPr>
        <w:tab/>
      </w:r>
      <w:r>
        <w:rPr>
          <w:rFonts w:ascii="Arial" w:cs="Arial" w:eastAsia="Arial" w:hAnsi="Arial"/>
          <w:sz w:val="16"/>
          <w:szCs w:val="16"/>
          <w:b w:val="1"/>
          <w:bCs w:val="1"/>
          <w:color w:val="auto"/>
        </w:rPr>
        <w:t xml:space="preserve">Dispute Resolution. </w:t>
      </w:r>
      <w:r>
        <w:rPr>
          <w:rFonts w:ascii="Arial" w:cs="Arial" w:eastAsia="Arial" w:hAnsi="Arial"/>
          <w:sz w:val="16"/>
          <w:szCs w:val="16"/>
          <w:color w:val="auto"/>
        </w:rPr>
        <w:t>All disputes arising directly under the express terms of this Agreement shall be resolved as follows. Senior</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of both Parties shall meet to attempt to resolve such dispute. If senior management cannot resolve the dispute, either Party may make a written demand for formal dispute resolution and specify therein the scope of the dispute. Within thirty (30) days after such written notification, the Parties shall agree to meet for one day with an impartial mediator and consider dispute resolution alternatives other than litigation. If an alternative method of dispute resolution is not agreed upon within thirty (30) days after the one</w:t>
      </w:r>
    </w:p>
    <w:p>
      <w:pPr>
        <w:spacing w:after="0" w:line="2" w:lineRule="exact"/>
        <w:rPr>
          <w:sz w:val="20"/>
          <w:szCs w:val="20"/>
          <w:color w:val="auto"/>
        </w:rPr>
      </w:pPr>
    </w:p>
    <w:p>
      <w:pPr>
        <w:ind w:left="420" w:right="340" w:firstLine="9"/>
        <w:spacing w:after="0" w:line="261" w:lineRule="auto"/>
        <w:tabs>
          <w:tab w:leader="none" w:pos="6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day mediation, either Party may proceed as it sees fit. This procedure shall be a prerequisite before taking any additional action regarding disputes arising under this Agreement.</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64135</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20"/>
          </w:cols>
          <w:pgMar w:left="1440" w:top="125" w:right="239" w:bottom="613" w:gutter="0" w:footer="0" w:header="0"/>
        </w:sectPr>
      </w:pPr>
    </w:p>
    <w:bookmarkStart w:id="28" w:name="page29"/>
    <w:bookmarkEnd w:id="28"/>
    <w:p>
      <w:pPr>
        <w:spacing w:after="0" w:line="42" w:lineRule="exact"/>
        <w:rPr>
          <w:sz w:val="20"/>
          <w:szCs w:val="20"/>
          <w:color w:val="auto"/>
        </w:rPr>
      </w:pPr>
    </w:p>
    <w:p>
      <w:pPr>
        <w:jc w:val="both"/>
        <w:ind w:left="1620" w:right="40" w:hanging="647"/>
        <w:spacing w:after="0" w:line="261" w:lineRule="auto"/>
        <w:tabs>
          <w:tab w:leader="none" w:pos="1600" w:val="left"/>
        </w:tabs>
        <w:rPr>
          <w:sz w:val="20"/>
          <w:szCs w:val="20"/>
          <w:color w:val="auto"/>
        </w:rPr>
      </w:pPr>
      <w:r>
        <w:rPr>
          <w:rFonts w:ascii="Arial" w:cs="Arial" w:eastAsia="Arial" w:hAnsi="Arial"/>
          <w:sz w:val="18"/>
          <w:szCs w:val="18"/>
          <w:b w:val="1"/>
          <w:bCs w:val="1"/>
          <w:color w:val="auto"/>
        </w:rPr>
        <w:t>10.13</w:t>
        <w:tab/>
        <w:t xml:space="preserve">Entire Agreement; Counterparts. </w:t>
      </w:r>
      <w:r>
        <w:rPr>
          <w:rFonts w:ascii="Arial" w:cs="Arial" w:eastAsia="Arial" w:hAnsi="Arial"/>
          <w:sz w:val="18"/>
          <w:szCs w:val="18"/>
          <w:color w:val="auto"/>
        </w:rPr>
        <w:t>This Agreement and its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Schedules</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constitute the entire agreement among the Parties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subject matter hereof, merge all prior and contemporaneous agreements and negotiations, and may only be modified in a writing signed by authorized representatives of the Parties. This Agreement may be executed in counterparts, each of which shall be an original, but both of which together shall constitute one instrument.</w:t>
      </w:r>
    </w:p>
    <w:p>
      <w:pPr>
        <w:spacing w:after="0" w:line="400"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remainder of this page is intentionally left blank; signature page follows]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these presents have been executed by duly authorized representatives of the Parties as of the date first above written.</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INTEL 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gridSpan w:val="7"/>
          </w:tcPr>
          <w:p>
            <w:pPr>
              <w:ind w:left="420"/>
              <w:spacing w:after="0"/>
              <w:rPr>
                <w:sz w:val="20"/>
                <w:szCs w:val="20"/>
                <w:color w:val="auto"/>
              </w:rPr>
            </w:pPr>
            <w:r>
              <w:rPr>
                <w:rFonts w:ascii="Arial" w:cs="Arial" w:eastAsia="Arial" w:hAnsi="Arial"/>
                <w:sz w:val="18"/>
                <w:szCs w:val="18"/>
                <w:b w:val="1"/>
                <w:bCs w:val="1"/>
                <w:color w:val="auto"/>
              </w:rPr>
              <w:t>MICRON TECHNOLOGY, INC.</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Gidu Shroff</w:t>
            </w: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color w:val="auto"/>
              </w:rPr>
              <w:t>/s/ W.G. Stover, Jr.</w:t>
            </w: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Signature</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auto"/>
              </w:rPr>
              <w:t>Signature</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Gidu Shroff</w:t>
            </w: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color w:val="auto"/>
                <w:w w:val="87"/>
              </w:rPr>
              <w:t>W.G. Stover, Jr.</w:t>
            </w: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Printed Name</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auto"/>
              </w:rPr>
              <w:t>Printed Name</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Vice President and Director, Materials</w:t>
            </w: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9"/>
          </w:tcPr>
          <w:p>
            <w:pPr>
              <w:ind w:left="420"/>
              <w:spacing w:after="0"/>
              <w:rPr>
                <w:sz w:val="20"/>
                <w:szCs w:val="20"/>
                <w:color w:val="auto"/>
              </w:rPr>
            </w:pPr>
            <w:r>
              <w:rPr>
                <w:rFonts w:ascii="Arial" w:cs="Arial" w:eastAsia="Arial" w:hAnsi="Arial"/>
                <w:sz w:val="18"/>
                <w:szCs w:val="18"/>
                <w:color w:val="auto"/>
                <w:w w:val="96"/>
              </w:rPr>
              <w:t>Vice President of Finance and Chief Financial Officer</w:t>
            </w: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Title</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auto"/>
              </w:rPr>
              <w:t>Title</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9/23/03</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color w:val="auto"/>
              </w:rPr>
              <w:t>9/23/03</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Date</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auto"/>
              </w:rPr>
              <w:t>Date</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2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gridSpan w:val="8"/>
          </w:tcPr>
          <w:p>
            <w:pPr>
              <w:jc w:val="center"/>
              <w:ind w:right="300"/>
              <w:spacing w:after="0"/>
              <w:rPr>
                <w:sz w:val="20"/>
                <w:szCs w:val="20"/>
                <w:color w:val="auto"/>
              </w:rPr>
            </w:pPr>
            <w:r>
              <w:rPr>
                <w:rFonts w:ascii="Arial" w:cs="Arial" w:eastAsia="Arial" w:hAnsi="Arial"/>
                <w:sz w:val="18"/>
                <w:szCs w:val="18"/>
                <w:color w:val="auto"/>
                <w:w w:val="89"/>
              </w:rPr>
              <w:t>[Signature Page to Business Agreement]</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134"/>
              <w:spacing w:after="0"/>
              <w:rPr>
                <w:sz w:val="20"/>
                <w:szCs w:val="20"/>
                <w:color w:val="auto"/>
              </w:rPr>
            </w:pPr>
            <w:r>
              <w:rPr>
                <w:rFonts w:ascii="Arial" w:cs="Arial" w:eastAsia="Arial" w:hAnsi="Arial"/>
                <w:sz w:val="18"/>
                <w:szCs w:val="18"/>
                <w:color w:val="auto"/>
                <w:w w:val="89"/>
              </w:rPr>
              <w:t>20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4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40"/>
        </w:trPr>
        <w:tc>
          <w:tcPr>
            <w:tcW w:w="3920" w:type="dxa"/>
            <w:vAlign w:val="bottom"/>
            <w:gridSpan w:val="4"/>
          </w:tcPr>
          <w:p>
            <w:pPr>
              <w:spacing w:after="0"/>
              <w:rPr>
                <w:sz w:val="20"/>
                <w:szCs w:val="20"/>
                <w:color w:val="auto"/>
              </w:rPr>
            </w:pPr>
            <w:r>
              <w:rPr>
                <w:rFonts w:ascii="Arial" w:cs="Arial" w:eastAsia="Arial" w:hAnsi="Arial"/>
                <w:sz w:val="18"/>
                <w:szCs w:val="18"/>
                <w:color w:val="auto"/>
              </w:rPr>
              <w:t>INTEL AND MICRON CONFIDENTIAL</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99"/>
              </w:rPr>
              <w:t>SCHEDULE A</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Liquidated Damages</w:t>
            </w:r>
          </w:p>
        </w:tc>
        <w:tc>
          <w:tcPr>
            <w:tcW w:w="36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80" w:type="dxa"/>
            <w:vAlign w:val="bottom"/>
            <w:gridSpan w:val="12"/>
          </w:tcPr>
          <w:p>
            <w:pPr>
              <w:jc w:val="center"/>
              <w:ind w:right="100"/>
              <w:spacing w:after="0"/>
              <w:rPr>
                <w:sz w:val="20"/>
                <w:szCs w:val="20"/>
                <w:color w:val="auto"/>
              </w:rPr>
            </w:pPr>
            <w:r>
              <w:rPr>
                <w:rFonts w:ascii="Arial" w:cs="Arial" w:eastAsia="Arial" w:hAnsi="Arial"/>
                <w:sz w:val="18"/>
                <w:szCs w:val="18"/>
                <w:color w:val="auto"/>
                <w:w w:val="95"/>
              </w:rPr>
              <w:t>Maximum Total Liability for Failure to Perform Items Listed Below: $135 million</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300mm</w:t>
            </w: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DDR2</w:t>
            </w: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 in</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Capital</w:t>
            </w:r>
          </w:p>
        </w:tc>
        <w:tc>
          <w:tcPr>
            <w:tcW w:w="1000" w:type="dxa"/>
            <w:vAlign w:val="bottom"/>
            <w:vMerge w:val="restart"/>
          </w:tcPr>
          <w:p>
            <w:pPr>
              <w:jc w:val="center"/>
              <w:ind w:left="118"/>
              <w:spacing w:after="0"/>
              <w:rPr>
                <w:sz w:val="20"/>
                <w:szCs w:val="20"/>
                <w:color w:val="auto"/>
              </w:rPr>
            </w:pPr>
            <w:r>
              <w:rPr>
                <w:rFonts w:ascii="Arial" w:cs="Arial" w:eastAsia="Arial" w:hAnsi="Arial"/>
                <w:sz w:val="14"/>
                <w:szCs w:val="14"/>
                <w:b w:val="1"/>
                <w:bCs w:val="1"/>
                <w:color w:val="auto"/>
                <w:w w:val="93"/>
              </w:rPr>
              <w:t>-3-</w:t>
            </w:r>
          </w:p>
        </w:tc>
        <w:tc>
          <w:tcPr>
            <w:tcW w:w="200" w:type="dxa"/>
            <w:vAlign w:val="bottom"/>
          </w:tcPr>
          <w:p>
            <w:pPr>
              <w:spacing w:after="0"/>
              <w:rPr>
                <w:sz w:val="12"/>
                <w:szCs w:val="12"/>
                <w:color w:val="auto"/>
              </w:rPr>
            </w:pPr>
          </w:p>
        </w:tc>
        <w:tc>
          <w:tcPr>
            <w:tcW w:w="1400" w:type="dxa"/>
            <w:vAlign w:val="bottom"/>
            <w:gridSpan w:val="2"/>
            <w:vMerge w:val="restart"/>
          </w:tcPr>
          <w:p>
            <w:pPr>
              <w:jc w:val="center"/>
              <w:ind w:left="193"/>
              <w:spacing w:after="0"/>
              <w:rPr>
                <w:sz w:val="20"/>
                <w:szCs w:val="20"/>
                <w:color w:val="auto"/>
              </w:rPr>
            </w:pPr>
            <w:r>
              <w:rPr>
                <w:rFonts w:ascii="Arial" w:cs="Arial" w:eastAsia="Arial" w:hAnsi="Arial"/>
                <w:sz w:val="14"/>
                <w:szCs w:val="14"/>
                <w:b w:val="1"/>
                <w:bCs w:val="1"/>
                <w:color w:val="auto"/>
                <w:w w:val="93"/>
              </w:rPr>
              <w:t>-4-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Delivery of Samples</w:t>
            </w:r>
          </w:p>
        </w:tc>
        <w:tc>
          <w:tcPr>
            <w:tcW w:w="1840" w:type="dxa"/>
            <w:vAlign w:val="bottom"/>
            <w:gridSpan w:val="4"/>
            <w:vMerge w:val="restart"/>
          </w:tcPr>
          <w:p>
            <w:pPr>
              <w:ind w:left="640"/>
              <w:spacing w:after="0"/>
              <w:rPr>
                <w:sz w:val="20"/>
                <w:szCs w:val="20"/>
                <w:color w:val="auto"/>
              </w:rPr>
            </w:pPr>
            <w:r>
              <w:rPr>
                <w:rFonts w:ascii="Arial" w:cs="Arial" w:eastAsia="Arial" w:hAnsi="Arial"/>
                <w:sz w:val="14"/>
                <w:szCs w:val="14"/>
                <w:b w:val="1"/>
                <w:bCs w:val="1"/>
                <w:color w:val="auto"/>
                <w:w w:val="91"/>
              </w:rPr>
              <w:t>Production Volume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2"/>
              </w:rPr>
              <w:t>Expenditures</w:t>
            </w:r>
          </w:p>
        </w:tc>
        <w:tc>
          <w:tcPr>
            <w:tcW w:w="1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gridSpan w:val="4"/>
            <w:vMerge w:val="continue"/>
          </w:tcPr>
          <w:p>
            <w:pPr>
              <w:spacing w:after="0"/>
              <w:rPr>
                <w:sz w:val="13"/>
                <w:szCs w:val="13"/>
                <w:color w:val="auto"/>
              </w:rPr>
            </w:pPr>
          </w:p>
        </w:tc>
        <w:tc>
          <w:tcPr>
            <w:tcW w:w="184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Milestone</w:t>
            </w:r>
          </w:p>
        </w:tc>
        <w:tc>
          <w:tcPr>
            <w:tcW w:w="13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between</w:t>
            </w:r>
          </w:p>
        </w:tc>
        <w:tc>
          <w:tcPr>
            <w:tcW w:w="12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Capacity to</w:t>
            </w:r>
          </w:p>
        </w:tc>
        <w:tc>
          <w:tcPr>
            <w:tcW w:w="200" w:type="dxa"/>
            <w:vAlign w:val="bottom"/>
          </w:tcPr>
          <w:p>
            <w:pPr>
              <w:spacing w:after="0"/>
              <w:rPr>
                <w:sz w:val="10"/>
                <w:szCs w:val="10"/>
                <w:color w:val="auto"/>
              </w:rPr>
            </w:pPr>
          </w:p>
        </w:tc>
        <w:tc>
          <w:tcPr>
            <w:tcW w:w="156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Capacity to</w:t>
            </w: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-5-</w:t>
            </w: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-6-</w:t>
            </w:r>
          </w:p>
        </w:tc>
        <w:tc>
          <w:tcPr>
            <w:tcW w:w="240" w:type="dxa"/>
            <w:vAlign w:val="bottom"/>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-7-</w:t>
            </w: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-8-</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Event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Commence [*]</w:t>
            </w:r>
          </w:p>
        </w:tc>
        <w:tc>
          <w:tcPr>
            <w:tcW w:w="200" w:type="dxa"/>
            <w:vAlign w:val="bottom"/>
          </w:tcPr>
          <w:p>
            <w:pPr>
              <w:spacing w:after="0"/>
              <w:rPr>
                <w:sz w:val="14"/>
                <w:szCs w:val="14"/>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Commence [*]</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w w:val="93"/>
              </w:rPr>
              <w:t>Base Amount (Maximum</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Aggregate Base Amount:</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A = [*]</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B = [*]</w:t>
            </w:r>
          </w:p>
        </w:tc>
        <w:tc>
          <w:tcPr>
            <w:tcW w:w="1760" w:type="dxa"/>
            <w:vAlign w:val="bottom"/>
            <w:gridSpan w:val="4"/>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 = [*]</w:t>
            </w:r>
          </w:p>
        </w:tc>
        <w:tc>
          <w:tcPr>
            <w:tcW w:w="1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 = [*]</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 = [*]</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 = [*]</w:t>
            </w:r>
          </w:p>
        </w:tc>
        <w:tc>
          <w:tcPr>
            <w:tcW w:w="6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2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6"/>
              </w:rPr>
              <w:t>Maximum Additional Amount</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2"/>
              </w:rPr>
              <w:t>(Maximum Aggregate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4"/>
              </w:rPr>
              <w:t>Additional Amount: $135</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1"/>
              </w:rPr>
              <w:t>million less any Base Amounts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2"/>
              </w:rPr>
              <w:t>paid above)*</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center"/>
              <w:ind w:left="11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760" w:type="dxa"/>
            <w:vAlign w:val="bottom"/>
            <w:gridSpan w:val="4"/>
          </w:tcPr>
          <w:p>
            <w:pPr>
              <w:ind w:left="12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Investment Percentage</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11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-3502660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-3502660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1826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180" w:right="100" w:hanging="161"/>
        <w:spacing w:after="0" w:line="277" w:lineRule="auto"/>
        <w:rPr>
          <w:sz w:val="20"/>
          <w:szCs w:val="20"/>
          <w:color w:val="auto"/>
        </w:rPr>
      </w:pPr>
      <w:r>
        <w:rPr>
          <w:rFonts w:ascii="Arial" w:cs="Arial" w:eastAsia="Arial" w:hAnsi="Arial"/>
          <w:sz w:val="18"/>
          <w:szCs w:val="18"/>
          <w:color w:val="auto"/>
        </w:rPr>
        <w:t>*With respect to the failure to meet any milestone (including a failure to comply with the related covenant or condition) the applicable Additional Amount, if any, shall be equal to:</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lesser of</w:t>
      </w:r>
    </w:p>
    <w:p>
      <w:pPr>
        <w:spacing w:after="0" w:line="225" w:lineRule="exact"/>
        <w:rPr>
          <w:sz w:val="20"/>
          <w:szCs w:val="20"/>
          <w:color w:val="auto"/>
        </w:rPr>
      </w:pPr>
    </w:p>
    <w:p>
      <w:pPr>
        <w:ind w:left="520" w:hanging="38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applicable Maximum Additional Amount (as set forth in the applicable column of the table above), and</w:t>
      </w:r>
    </w:p>
    <w:p>
      <w:pPr>
        <w:spacing w:after="0" w:line="225" w:lineRule="exact"/>
        <w:rPr>
          <w:rFonts w:ascii="Arial" w:cs="Arial" w:eastAsia="Arial" w:hAnsi="Arial"/>
          <w:sz w:val="18"/>
          <w:szCs w:val="18"/>
          <w:color w:val="auto"/>
        </w:rPr>
      </w:pPr>
    </w:p>
    <w:p>
      <w:pPr>
        <w:ind w:left="520" w:right="340" w:hanging="382"/>
        <w:spacing w:after="0" w:line="276" w:lineRule="auto"/>
        <w:tabs>
          <w:tab w:leader="none" w:pos="53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amount by which the applicable Investment Percentage (as set forth in the applicable column of the table above) times the product of (x) the amount obtained by subtracting the Current Per Share Price from $13.29 (the purchase price for the Rights), as appropriately adjusted to reflect the effect of any stock splits, reclassifications, stock dividends, recapitalizations, combinations, mergers or other similar events affecting the Common Stock occurring after the Effective Date (which amount shall be deemed to be zero if negative), and (y) the aggregate number of Retained Shares, exceeds the applicable Base Amounts (as set forth in the applicable columns of the table above).</w:t>
      </w:r>
    </w:p>
    <w:p>
      <w:pPr>
        <w:spacing w:after="0" w:line="17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For purposes of such calculations the term “Current Per Share Price” means the average of the daily NYSE closing prices, as reported by Bloomberg L.P., of MICRON common stock during the forty (40) trading day period beginning on the day on which the respective breach occurred (taking into account</w:t>
      </w:r>
    </w:p>
    <w:p>
      <w:pPr>
        <w:sectPr>
          <w:pgSz w:w="11900" w:h="16881" w:orient="portrait"/>
          <w:cols w:equalWidth="0" w:num="1">
            <w:col w:w="11440"/>
          </w:cols>
          <w:pgMar w:left="240" w:top="121" w:right="219" w:bottom="0" w:gutter="0" w:footer="0" w:header="0"/>
        </w:sectPr>
      </w:pPr>
    </w:p>
    <w:bookmarkStart w:id="29" w:name="page30"/>
    <w:bookmarkEnd w:id="29"/>
    <w:p>
      <w:pPr>
        <w:spacing w:after="0" w:line="286" w:lineRule="auto"/>
        <w:rPr>
          <w:sz w:val="20"/>
          <w:szCs w:val="20"/>
          <w:color w:val="auto"/>
        </w:rPr>
      </w:pPr>
      <w:r>
        <w:rPr>
          <w:rFonts w:ascii="Arial" w:cs="Arial" w:eastAsia="Arial" w:hAnsi="Arial"/>
          <w:sz w:val="17"/>
          <w:szCs w:val="17"/>
          <w:color w:val="auto"/>
        </w:rPr>
        <w:t>applicable cure periods), and the term “Retained Shares” means shares of Common Stock (including for such purposes shares of Common Stock issuable upon exercise of the Rights) purchased by INTEL Capital Corporation pursuant to the Securities Purchase Agreement and beneficially owned by INTEL or its Affiliates as of the day on which the respective breach occurred (taking into account applicable cure periods).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18268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firstLine="8"/>
        <w:spacing w:after="0" w:line="255" w:lineRule="auto"/>
        <w:tabs>
          <w:tab w:leader="none" w:pos="22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clarification, in the event that (a) Micron does not achieve the Capacity referenced in column 4 above by the required date and in calculating the Additional Amount, if any, under column 4 reduction was made for an assumed Base Amount payment under column 2, and (b) it is determined that Micron is not required to make a Base Amount payment under column 2, Micron shall make a cash payment to Intel in an amount (up to a maximum of $[*]) equal to the difference between (i) the applicable Additional Amount as originally calculated as set forth on this Schedule but without including such Base Amount in column 2 in such calculation as a one of the “applicable Base Amounts” (See Paragraph (B) above) less (ii) the applicable Additional Amount previously paid by Micron with respect to such column 4.</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80"/>
        <w:spacing w:after="0"/>
        <w:rPr>
          <w:sz w:val="20"/>
          <w:szCs w:val="20"/>
          <w:color w:val="auto"/>
        </w:rPr>
      </w:pPr>
      <w:r>
        <w:rPr>
          <w:rFonts w:ascii="Arial" w:cs="Arial" w:eastAsia="Arial" w:hAnsi="Arial"/>
          <w:sz w:val="18"/>
          <w:szCs w:val="18"/>
          <w:u w:val="single" w:color="auto"/>
          <w:color w:val="auto"/>
        </w:rPr>
        <w:t>Schedule 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shall incur between [*], Capital Expenditures of no less than $[*].</w:t>
      </w:r>
    </w:p>
    <w:p>
      <w:pPr>
        <w:spacing w:after="0" w:line="200" w:lineRule="exact"/>
        <w:rPr>
          <w:sz w:val="20"/>
          <w:szCs w:val="20"/>
          <w:color w:val="auto"/>
        </w:rPr>
      </w:pPr>
    </w:p>
    <w:p>
      <w:pPr>
        <w:spacing w:after="0" w:line="241" w:lineRule="exact"/>
        <w:rPr>
          <w:sz w:val="20"/>
          <w:szCs w:val="20"/>
          <w:color w:val="auto"/>
        </w:rPr>
      </w:pPr>
    </w:p>
    <w:p>
      <w:pPr>
        <w:jc w:val="center"/>
        <w:ind w:left="660"/>
        <w:spacing w:after="0"/>
        <w:rPr>
          <w:sz w:val="20"/>
          <w:szCs w:val="20"/>
          <w:color w:val="auto"/>
        </w:rPr>
      </w:pPr>
      <w:r>
        <w:rPr>
          <w:rFonts w:ascii="Arial" w:cs="Arial" w:eastAsia="Arial" w:hAnsi="Arial"/>
          <w:sz w:val="18"/>
          <w:szCs w:val="18"/>
          <w:u w:val="single" w:color="auto"/>
          <w:color w:val="auto"/>
        </w:rPr>
        <w:t>Schedule 1.2</w:t>
      </w:r>
    </w:p>
    <w:p>
      <w:pPr>
        <w:spacing w:after="0" w:line="225"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MICRON shall achieve the Capacity to produce [*] wafer starts per week (“WSPW”) on its 300mm DRAM wafer production line(s) no later than [*].</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u w:val="single" w:color="auto"/>
          <w:color w:val="auto"/>
        </w:rPr>
        <w:t>Schedule 2.1</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Density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17068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By End of 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wp:posOffset>
            </wp:positionV>
            <wp:extent cx="19380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18268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6350</wp:posOffset>
            </wp:positionV>
            <wp:extent cx="17583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Schedule 2.2</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 Quarter Quantity*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13970</wp:posOffset>
            </wp:positionV>
            <wp:extent cx="22466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43" w:lineRule="exact"/>
        <w:rPr>
          <w:sz w:val="20"/>
          <w:szCs w:val="20"/>
          <w:color w:val="auto"/>
        </w:rPr>
      </w:pPr>
    </w:p>
    <w:p>
      <w:pPr>
        <w:sectPr>
          <w:pgSz w:w="11900" w:h="16838" w:orient="portrait"/>
          <w:cols w:equalWidth="0" w:num="2">
            <w:col w:w="4000" w:space="720"/>
            <w:col w:w="6700"/>
          </w:cols>
          <w:pgMar w:left="240" w:top="125" w:right="239" w:bottom="1440" w:gutter="0" w:footer="0" w:header="0"/>
          <w:type w:val="continuous"/>
        </w:sectPr>
      </w:pPr>
    </w:p>
    <w:p>
      <w:pPr>
        <w:spacing w:after="0" w:line="198"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*Quantity is measured in millions of 256Mb equivalents (regardless of final form). Production that exceeds the commitment for one quarter shall be carried over and be credited to subsequent quarters until exhausted.</w:t>
      </w:r>
    </w:p>
    <w:p>
      <w:pPr>
        <w:spacing w:after="0" w:line="170" w:lineRule="exact"/>
        <w:rPr>
          <w:sz w:val="20"/>
          <w:szCs w:val="20"/>
          <w:color w:val="auto"/>
        </w:rPr>
      </w:pPr>
    </w:p>
    <w:p>
      <w:pPr>
        <w:ind w:right="120" w:firstLine="8"/>
        <w:spacing w:after="0" w:line="277" w:lineRule="auto"/>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treatement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0" w:name="page31"/>
    <w:bookmarkEnd w:id="30"/>
    <w:p>
      <w:pPr>
        <w:ind w:left="10480"/>
        <w:spacing w:after="0"/>
        <w:rPr>
          <w:sz w:val="20"/>
          <w:szCs w:val="20"/>
          <w:color w:val="auto"/>
        </w:rPr>
      </w:pPr>
      <w:r>
        <w:rPr>
          <w:rFonts w:ascii="Arial" w:cs="Arial" w:eastAsia="Arial" w:hAnsi="Arial"/>
          <w:sz w:val="17"/>
          <w:szCs w:val="17"/>
          <w:b w:val="1"/>
          <w:bCs w:val="1"/>
          <w:color w:val="auto"/>
        </w:rPr>
        <w:t>Exhibit 10.2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80" w:type="dxa"/>
            <w:vAlign w:val="bottom"/>
            <w:gridSpan w:val="12"/>
          </w:tcPr>
          <w:p>
            <w:pPr>
              <w:jc w:val="center"/>
              <w:ind w:right="3380"/>
              <w:spacing w:after="0"/>
              <w:rPr>
                <w:sz w:val="20"/>
                <w:szCs w:val="20"/>
                <w:color w:val="auto"/>
              </w:rPr>
            </w:pPr>
            <w:r>
              <w:rPr>
                <w:rFonts w:ascii="Arial" w:cs="Arial" w:eastAsia="Arial" w:hAnsi="Arial"/>
                <w:sz w:val="18"/>
                <w:szCs w:val="18"/>
                <w:color w:val="auto"/>
                <w:w w:val="95"/>
              </w:rPr>
              <w:t>SECURITIES RIGHTS AND RESTRICTIONS AGREEMENT</w:t>
            </w:r>
          </w:p>
        </w:tc>
      </w:tr>
      <w:tr>
        <w:trPr>
          <w:trHeight w:val="432"/>
        </w:trPr>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40" w:type="dxa"/>
            <w:vAlign w:val="bottom"/>
            <w:gridSpan w:val="4"/>
          </w:tcPr>
          <w:p>
            <w:pPr>
              <w:jc w:val="center"/>
              <w:ind w:right="5320"/>
              <w:spacing w:after="0"/>
              <w:rPr>
                <w:sz w:val="20"/>
                <w:szCs w:val="20"/>
                <w:color w:val="auto"/>
              </w:rPr>
            </w:pPr>
            <w:r>
              <w:rPr>
                <w:rFonts w:ascii="Arial" w:cs="Arial" w:eastAsia="Arial" w:hAnsi="Arial"/>
                <w:sz w:val="18"/>
                <w:szCs w:val="18"/>
                <w:color w:val="auto"/>
                <w:w w:val="88"/>
              </w:rPr>
              <w:t>Between</w:t>
            </w:r>
          </w:p>
        </w:tc>
      </w:tr>
      <w:tr>
        <w:trPr>
          <w:trHeight w:val="432"/>
        </w:trPr>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0" w:type="dxa"/>
            <w:vAlign w:val="bottom"/>
            <w:gridSpan w:val="6"/>
          </w:tcPr>
          <w:p>
            <w:pPr>
              <w:jc w:val="center"/>
              <w:ind w:right="4460"/>
              <w:spacing w:after="0"/>
              <w:rPr>
                <w:sz w:val="20"/>
                <w:szCs w:val="20"/>
                <w:color w:val="auto"/>
              </w:rPr>
            </w:pPr>
            <w:r>
              <w:rPr>
                <w:rFonts w:ascii="Arial" w:cs="Arial" w:eastAsia="Arial" w:hAnsi="Arial"/>
                <w:sz w:val="18"/>
                <w:szCs w:val="18"/>
                <w:color w:val="auto"/>
                <w:w w:val="96"/>
              </w:rPr>
              <w:t>MICRON TECHNOLOGY, INC.</w:t>
            </w:r>
          </w:p>
        </w:tc>
      </w:tr>
      <w:tr>
        <w:trPr>
          <w:trHeight w:val="432"/>
        </w:trPr>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40" w:type="dxa"/>
            <w:vAlign w:val="bottom"/>
            <w:gridSpan w:val="4"/>
          </w:tcPr>
          <w:p>
            <w:pPr>
              <w:jc w:val="center"/>
              <w:ind w:right="5320"/>
              <w:spacing w:after="0"/>
              <w:rPr>
                <w:sz w:val="20"/>
                <w:szCs w:val="20"/>
                <w:color w:val="auto"/>
              </w:rPr>
            </w:pPr>
            <w:r>
              <w:rPr>
                <w:rFonts w:ascii="Arial" w:cs="Arial" w:eastAsia="Arial" w:hAnsi="Arial"/>
                <w:sz w:val="18"/>
                <w:szCs w:val="18"/>
                <w:color w:val="auto"/>
                <w:w w:val="86"/>
              </w:rPr>
              <w:t>and</w:t>
            </w:r>
          </w:p>
        </w:tc>
      </w:tr>
      <w:tr>
        <w:trPr>
          <w:trHeight w:val="432"/>
        </w:trPr>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60" w:type="dxa"/>
            <w:vAlign w:val="bottom"/>
            <w:gridSpan w:val="8"/>
          </w:tcPr>
          <w:p>
            <w:pPr>
              <w:jc w:val="center"/>
              <w:ind w:right="4100"/>
              <w:spacing w:after="0"/>
              <w:rPr>
                <w:sz w:val="20"/>
                <w:szCs w:val="20"/>
                <w:color w:val="auto"/>
              </w:rPr>
            </w:pPr>
            <w:r>
              <w:rPr>
                <w:rFonts w:ascii="Arial" w:cs="Arial" w:eastAsia="Arial" w:hAnsi="Arial"/>
                <w:sz w:val="18"/>
                <w:szCs w:val="18"/>
                <w:color w:val="auto"/>
                <w:w w:val="96"/>
              </w:rPr>
              <w:t>INTEL CAPITAL CORPORATION</w:t>
            </w:r>
          </w:p>
        </w:tc>
      </w:tr>
      <w:tr>
        <w:trPr>
          <w:trHeight w:val="432"/>
        </w:trPr>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0" w:type="dxa"/>
            <w:vAlign w:val="bottom"/>
            <w:gridSpan w:val="6"/>
          </w:tcPr>
          <w:p>
            <w:pPr>
              <w:jc w:val="center"/>
              <w:ind w:right="4460"/>
              <w:spacing w:after="0"/>
              <w:rPr>
                <w:sz w:val="20"/>
                <w:szCs w:val="20"/>
                <w:color w:val="auto"/>
              </w:rPr>
            </w:pPr>
            <w:r>
              <w:rPr>
                <w:rFonts w:ascii="Arial" w:cs="Arial" w:eastAsia="Arial" w:hAnsi="Arial"/>
                <w:sz w:val="18"/>
                <w:szCs w:val="18"/>
                <w:color w:val="auto"/>
                <w:w w:val="88"/>
              </w:rPr>
              <w:t>Dated as of September 24, 2003</w:t>
            </w:r>
          </w:p>
        </w:tc>
      </w:tr>
      <w:tr>
        <w:trPr>
          <w:trHeight w:val="321"/>
        </w:trPr>
        <w:tc>
          <w:tcPr>
            <w:tcW w:w="5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r>
      <w:tr>
        <w:trPr>
          <w:trHeight w:val="686"/>
        </w:trPr>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0" w:type="dxa"/>
            <w:vAlign w:val="bottom"/>
            <w:gridSpan w:val="6"/>
          </w:tcPr>
          <w:p>
            <w:pPr>
              <w:jc w:val="center"/>
              <w:ind w:right="4440"/>
              <w:spacing w:after="0"/>
              <w:rPr>
                <w:sz w:val="20"/>
                <w:szCs w:val="20"/>
                <w:color w:val="auto"/>
              </w:rPr>
            </w:pPr>
            <w:r>
              <w:rPr>
                <w:rFonts w:ascii="Arial" w:cs="Arial" w:eastAsia="Arial" w:hAnsi="Arial"/>
                <w:sz w:val="18"/>
                <w:szCs w:val="18"/>
                <w:b w:val="1"/>
                <w:bCs w:val="1"/>
                <w:color w:val="auto"/>
                <w:w w:val="98"/>
              </w:rPr>
              <w:t>TABLE OF CONTENTS</w:t>
            </w:r>
          </w:p>
        </w:tc>
      </w:tr>
      <w:tr>
        <w:trPr>
          <w:trHeight w:val="412"/>
        </w:trPr>
        <w:tc>
          <w:tcPr>
            <w:tcW w:w="780" w:type="dxa"/>
            <w:vAlign w:val="bottom"/>
            <w:gridSpan w:val="2"/>
          </w:tcPr>
          <w:p>
            <w:pPr>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SECTION</w:t>
              </w:r>
            </w:hyperlink>
          </w:p>
        </w:tc>
        <w:tc>
          <w:tcPr>
            <w:tcW w:w="3980" w:type="dxa"/>
            <w:vAlign w:val="bottom"/>
            <w:gridSpan w:val="22"/>
          </w:tcPr>
          <w:p>
            <w:pPr>
              <w:ind w:left="40"/>
              <w:spacing w:after="0"/>
              <w:rPr>
                <w:rFonts w:ascii="Arial" w:cs="Arial" w:eastAsia="Arial" w:hAnsi="Arial"/>
                <w:sz w:val="18"/>
                <w:szCs w:val="18"/>
                <w:color w:val="0000EE"/>
              </w:rPr>
            </w:pPr>
            <w:hyperlink w:anchor="page32">
              <w:r>
                <w:rPr>
                  <w:rFonts w:ascii="Arial" w:cs="Arial" w:eastAsia="Arial" w:hAnsi="Arial"/>
                  <w:sz w:val="18"/>
                  <w:szCs w:val="18"/>
                  <w:color w:val="0000EE"/>
                </w:rPr>
                <w:t>1 DEFINITIONS</w:t>
              </w:r>
            </w:hyperlink>
          </w:p>
        </w:tc>
        <w:tc>
          <w:tcPr>
            <w:tcW w:w="1920" w:type="dxa"/>
            <w:vAlign w:val="bottom"/>
            <w:tcBorders>
              <w:top w:val="single" w:sz="8" w:color="auto"/>
            </w:tcBorders>
            <w:gridSpan w:val="3"/>
          </w:tcPr>
          <w:p>
            <w:pPr>
              <w:spacing w:after="0"/>
              <w:rPr>
                <w:sz w:val="24"/>
                <w:szCs w:val="24"/>
                <w:color w:val="auto"/>
              </w:rPr>
            </w:pPr>
          </w:p>
        </w:tc>
        <w:tc>
          <w:tcPr>
            <w:tcW w:w="4760" w:type="dxa"/>
            <w:vAlign w:val="bottom"/>
            <w:gridSpan w:val="2"/>
          </w:tcPr>
          <w:p>
            <w:pPr>
              <w:spacing w:after="0"/>
              <w:rPr>
                <w:sz w:val="24"/>
                <w:szCs w:val="24"/>
                <w:color w:val="auto"/>
              </w:rPr>
            </w:pPr>
          </w:p>
        </w:tc>
      </w:tr>
      <w:tr>
        <w:trPr>
          <w:trHeight w:val="20"/>
        </w:trPr>
        <w:tc>
          <w:tcPr>
            <w:tcW w:w="5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220" w:type="dxa"/>
            <w:vAlign w:val="bottom"/>
            <w:tcBorders>
              <w:bottom w:val="single" w:sz="8" w:color="0000EE"/>
            </w:tcBorders>
          </w:tcPr>
          <w:p>
            <w:pPr>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1.</w:t>
              </w:r>
              <w:r>
                <w:rPr>
                  <w:rFonts w:ascii="Arial" w:cs="Arial" w:eastAsia="Arial" w:hAnsi="Arial"/>
                  <w:sz w:val="18"/>
                  <w:szCs w:val="18"/>
                  <w:u w:val="single" w:color="auto"/>
                  <w:color w:val="0000EE"/>
                  <w:w w:val="79"/>
                </w:rPr>
                <w:t>1</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Certain Definitions</w:t>
              </w:r>
            </w:hyperlink>
          </w:p>
        </w:tc>
        <w:tc>
          <w:tcPr>
            <w:tcW w:w="8720" w:type="dxa"/>
            <w:vAlign w:val="bottom"/>
            <w:gridSpan w:val="19"/>
          </w:tcPr>
          <w:p>
            <w:pPr>
              <w:spacing w:after="0"/>
              <w:rPr>
                <w:sz w:val="24"/>
                <w:szCs w:val="24"/>
                <w:color w:val="auto"/>
              </w:rPr>
            </w:pPr>
          </w:p>
        </w:tc>
      </w:tr>
      <w:tr>
        <w:trPr>
          <w:trHeight w:val="412"/>
        </w:trPr>
        <w:tc>
          <w:tcPr>
            <w:tcW w:w="78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SECTION</w:t>
              </w:r>
            </w:hyperlink>
          </w:p>
        </w:tc>
        <w:tc>
          <w:tcPr>
            <w:tcW w:w="3660" w:type="dxa"/>
            <w:vAlign w:val="bottom"/>
            <w:tcBorders>
              <w:bottom w:val="single" w:sz="8" w:color="0000EE"/>
            </w:tcBorders>
            <w:gridSpan w:val="21"/>
          </w:tcPr>
          <w:p>
            <w:pPr>
              <w:ind w:left="40"/>
              <w:spacing w:after="0"/>
              <w:rPr>
                <w:rFonts w:ascii="Arial" w:cs="Arial" w:eastAsia="Arial" w:hAnsi="Arial"/>
                <w:sz w:val="18"/>
                <w:szCs w:val="18"/>
                <w:color w:val="0000EE"/>
                <w:w w:val="96"/>
              </w:rPr>
            </w:pPr>
            <w:hyperlink w:anchor="page34">
              <w:r>
                <w:rPr>
                  <w:rFonts w:ascii="Arial" w:cs="Arial" w:eastAsia="Arial" w:hAnsi="Arial"/>
                  <w:sz w:val="18"/>
                  <w:szCs w:val="18"/>
                  <w:color w:val="0000EE"/>
                  <w:w w:val="96"/>
                </w:rPr>
                <w:t>2 STANDSTILL AND RELATED COVENANTS</w:t>
              </w:r>
            </w:hyperlink>
          </w:p>
        </w:tc>
        <w:tc>
          <w:tcPr>
            <w:tcW w:w="7000" w:type="dxa"/>
            <w:vAlign w:val="bottom"/>
            <w:gridSpan w:val="6"/>
          </w:tcPr>
          <w:p>
            <w:pPr>
              <w:spacing w:after="0"/>
              <w:rPr>
                <w:sz w:val="24"/>
                <w:szCs w:val="24"/>
                <w:color w:val="auto"/>
              </w:rPr>
            </w:pPr>
          </w:p>
        </w:tc>
      </w:tr>
      <w:tr>
        <w:trPr>
          <w:trHeight w:val="412"/>
        </w:trPr>
        <w:tc>
          <w:tcPr>
            <w:tcW w:w="780" w:type="dxa"/>
            <w:vAlign w:val="bottom"/>
            <w:gridSpan w:val="2"/>
          </w:tcPr>
          <w:p>
            <w:pPr>
              <w:ind w:left="540"/>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Intel Ownership of Micron Securities</w:t>
              </w:r>
            </w:hyperlink>
          </w:p>
        </w:tc>
      </w:tr>
      <w:tr>
        <w:trPr>
          <w:trHeight w:val="20"/>
        </w:trPr>
        <w:tc>
          <w:tcPr>
            <w:tcW w:w="5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220" w:type="dxa"/>
            <w:vAlign w:val="bottom"/>
            <w:tcBorders>
              <w:bottom w:val="single" w:sz="8" w:color="0000EE"/>
            </w:tcBorders>
          </w:tcPr>
          <w:p>
            <w:pPr>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2.</w:t>
              </w:r>
              <w:r>
                <w:rPr>
                  <w:rFonts w:ascii="Arial" w:cs="Arial" w:eastAsia="Arial" w:hAnsi="Arial"/>
                  <w:sz w:val="18"/>
                  <w:szCs w:val="18"/>
                  <w:u w:val="single" w:color="auto"/>
                  <w:color w:val="0000EE"/>
                  <w:w w:val="79"/>
                </w:rPr>
                <w:t>2</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Standstill Provisions</w:t>
              </w:r>
            </w:hyperlink>
          </w:p>
        </w:tc>
        <w:tc>
          <w:tcPr>
            <w:tcW w:w="8620" w:type="dxa"/>
            <w:vAlign w:val="bottom"/>
            <w:gridSpan w:val="17"/>
          </w:tcPr>
          <w:p>
            <w:pPr>
              <w:spacing w:after="0"/>
              <w:rPr>
                <w:sz w:val="24"/>
                <w:szCs w:val="24"/>
                <w:color w:val="auto"/>
              </w:rPr>
            </w:pPr>
          </w:p>
        </w:tc>
      </w:tr>
      <w:tr>
        <w:trPr>
          <w:trHeight w:val="412"/>
        </w:trPr>
        <w:tc>
          <w:tcPr>
            <w:tcW w:w="560" w:type="dxa"/>
            <w:vAlign w:val="bottom"/>
          </w:tcPr>
          <w:p>
            <w:pPr>
              <w:spacing w:after="0"/>
              <w:rPr>
                <w:sz w:val="24"/>
                <w:szCs w:val="24"/>
                <w:color w:val="auto"/>
              </w:rPr>
            </w:pPr>
          </w:p>
        </w:tc>
        <w:tc>
          <w:tcPr>
            <w:tcW w:w="220" w:type="dxa"/>
            <w:vAlign w:val="bottom"/>
          </w:tcPr>
          <w:p>
            <w:pPr>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2.</w:t>
              </w:r>
              <w:r>
                <w:rPr>
                  <w:rFonts w:ascii="Arial" w:cs="Arial" w:eastAsia="Arial" w:hAnsi="Arial"/>
                  <w:sz w:val="18"/>
                  <w:szCs w:val="18"/>
                  <w:u w:val="single" w:color="auto"/>
                  <w:color w:val="0000EE"/>
                  <w:w w:val="79"/>
                </w:rPr>
                <w:t>3</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Voting Trust</w:t>
              </w:r>
            </w:hyperlink>
          </w:p>
        </w:tc>
      </w:tr>
      <w:tr>
        <w:trPr>
          <w:trHeight w:val="20"/>
        </w:trPr>
        <w:tc>
          <w:tcPr>
            <w:tcW w:w="5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220" w:type="dxa"/>
            <w:vAlign w:val="bottom"/>
            <w:tcBorders>
              <w:bottom w:val="single" w:sz="8" w:color="0000EE"/>
            </w:tcBorders>
          </w:tcPr>
          <w:p>
            <w:pPr>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2.</w:t>
              </w:r>
              <w:r>
                <w:rPr>
                  <w:rFonts w:ascii="Arial" w:cs="Arial" w:eastAsia="Arial" w:hAnsi="Arial"/>
                  <w:sz w:val="18"/>
                  <w:szCs w:val="18"/>
                  <w:u w:val="single" w:color="auto"/>
                  <w:color w:val="0000EE"/>
                  <w:w w:val="79"/>
                </w:rPr>
                <w:t>4</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Solicitation of Proxies</w:t>
              </w:r>
            </w:hyperlink>
          </w:p>
        </w:tc>
        <w:tc>
          <w:tcPr>
            <w:tcW w:w="8480" w:type="dxa"/>
            <w:vAlign w:val="bottom"/>
            <w:gridSpan w:val="14"/>
          </w:tcPr>
          <w:p>
            <w:pPr>
              <w:spacing w:after="0"/>
              <w:rPr>
                <w:sz w:val="24"/>
                <w:szCs w:val="24"/>
                <w:color w:val="auto"/>
              </w:rPr>
            </w:pPr>
          </w:p>
        </w:tc>
      </w:tr>
      <w:tr>
        <w:trPr>
          <w:trHeight w:val="412"/>
        </w:trPr>
        <w:tc>
          <w:tcPr>
            <w:tcW w:w="560" w:type="dxa"/>
            <w:vAlign w:val="bottom"/>
          </w:tcPr>
          <w:p>
            <w:pPr>
              <w:spacing w:after="0"/>
              <w:rPr>
                <w:sz w:val="24"/>
                <w:szCs w:val="24"/>
                <w:color w:val="auto"/>
              </w:rPr>
            </w:pPr>
          </w:p>
        </w:tc>
        <w:tc>
          <w:tcPr>
            <w:tcW w:w="220" w:type="dxa"/>
            <w:vAlign w:val="bottom"/>
            <w:tcBorders>
              <w:bottom w:val="single" w:sz="8" w:color="0000EE"/>
            </w:tcBorders>
          </w:tcPr>
          <w:p>
            <w:pPr>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2.</w:t>
              </w:r>
              <w:r>
                <w:rPr>
                  <w:rFonts w:ascii="Arial" w:cs="Arial" w:eastAsia="Arial" w:hAnsi="Arial"/>
                  <w:sz w:val="18"/>
                  <w:szCs w:val="18"/>
                  <w:u w:val="single" w:color="auto"/>
                  <w:color w:val="0000EE"/>
                  <w:w w:val="79"/>
                </w:rPr>
                <w:t>5</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Acts in Concert with Others</w:t>
              </w:r>
            </w:hyperlink>
          </w:p>
        </w:tc>
        <w:tc>
          <w:tcPr>
            <w:tcW w:w="8080" w:type="dxa"/>
            <w:vAlign w:val="bottom"/>
            <w:gridSpan w:val="12"/>
          </w:tcPr>
          <w:p>
            <w:pPr>
              <w:spacing w:after="0"/>
              <w:rPr>
                <w:sz w:val="24"/>
                <w:szCs w:val="24"/>
                <w:color w:val="auto"/>
              </w:rPr>
            </w:pPr>
          </w:p>
        </w:tc>
      </w:tr>
      <w:tr>
        <w:trPr>
          <w:trHeight w:val="412"/>
        </w:trPr>
        <w:tc>
          <w:tcPr>
            <w:tcW w:w="560" w:type="dxa"/>
            <w:vAlign w:val="bottom"/>
          </w:tcPr>
          <w:p>
            <w:pPr>
              <w:spacing w:after="0"/>
              <w:rPr>
                <w:sz w:val="24"/>
                <w:szCs w:val="24"/>
                <w:color w:val="auto"/>
              </w:rPr>
            </w:pPr>
          </w:p>
        </w:tc>
        <w:tc>
          <w:tcPr>
            <w:tcW w:w="220" w:type="dxa"/>
            <w:vAlign w:val="bottom"/>
          </w:tcPr>
          <w:p>
            <w:pPr>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2.</w:t>
              </w:r>
              <w:r>
                <w:rPr>
                  <w:rFonts w:ascii="Arial" w:cs="Arial" w:eastAsia="Arial" w:hAnsi="Arial"/>
                  <w:sz w:val="18"/>
                  <w:szCs w:val="18"/>
                  <w:u w:val="single" w:color="auto"/>
                  <w:color w:val="0000EE"/>
                  <w:w w:val="79"/>
                </w:rPr>
                <w:t>6</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Termination</w:t>
              </w:r>
            </w:hyperlink>
          </w:p>
        </w:tc>
      </w:tr>
      <w:tr>
        <w:trPr>
          <w:trHeight w:val="20"/>
        </w:trPr>
        <w:tc>
          <w:tcPr>
            <w:tcW w:w="5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412"/>
        </w:trPr>
        <w:tc>
          <w:tcPr>
            <w:tcW w:w="78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SECTION</w:t>
              </w:r>
            </w:hyperlink>
          </w:p>
        </w:tc>
        <w:tc>
          <w:tcPr>
            <w:tcW w:w="7440" w:type="dxa"/>
            <w:vAlign w:val="bottom"/>
            <w:tcBorders>
              <w:bottom w:val="single" w:sz="8" w:color="0000EE"/>
            </w:tcBorders>
            <w:gridSpan w:val="26"/>
          </w:tcPr>
          <w:p>
            <w:pPr>
              <w:ind w:left="40"/>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3 RESTRICTIONS ON TRANSFER OF SECURITIES; COMPLIANCE WITH SECURITIES LAWS</w:t>
              </w:r>
            </w:hyperlink>
          </w:p>
        </w:tc>
        <w:tc>
          <w:tcPr>
            <w:tcW w:w="3220" w:type="dxa"/>
            <w:vAlign w:val="bottom"/>
          </w:tcPr>
          <w:p>
            <w:pPr>
              <w:spacing w:after="0"/>
              <w:rPr>
                <w:sz w:val="24"/>
                <w:szCs w:val="24"/>
                <w:color w:val="auto"/>
              </w:rPr>
            </w:pPr>
          </w:p>
        </w:tc>
      </w:tr>
      <w:tr>
        <w:trPr>
          <w:trHeight w:val="412"/>
        </w:trPr>
        <w:tc>
          <w:tcPr>
            <w:tcW w:w="560" w:type="dxa"/>
            <w:vAlign w:val="bottom"/>
          </w:tcPr>
          <w:p>
            <w:pPr>
              <w:spacing w:after="0"/>
              <w:rPr>
                <w:sz w:val="24"/>
                <w:szCs w:val="24"/>
                <w:color w:val="auto"/>
              </w:rPr>
            </w:pPr>
          </w:p>
        </w:tc>
        <w:tc>
          <w:tcPr>
            <w:tcW w:w="220" w:type="dxa"/>
            <w:vAlign w:val="bottom"/>
          </w:tcPr>
          <w:p>
            <w:pPr>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Restrictions on Transfer of Voting Securities of Micron</w:t>
              </w:r>
            </w:hyperlink>
          </w:p>
        </w:tc>
      </w:tr>
      <w:tr>
        <w:trPr>
          <w:trHeight w:val="412"/>
        </w:trPr>
        <w:tc>
          <w:tcPr>
            <w:tcW w:w="560" w:type="dxa"/>
            <w:vAlign w:val="bottom"/>
          </w:tcPr>
          <w:p>
            <w:pPr>
              <w:spacing w:after="0"/>
              <w:rPr>
                <w:sz w:val="24"/>
                <w:szCs w:val="24"/>
                <w:color w:val="auto"/>
              </w:rPr>
            </w:pPr>
          </w:p>
        </w:tc>
        <w:tc>
          <w:tcPr>
            <w:tcW w:w="220" w:type="dxa"/>
            <w:vAlign w:val="bottom"/>
            <w:tcBorders>
              <w:top w:val="single" w:sz="8" w:color="0000EE"/>
            </w:tcBorders>
          </w:tcPr>
          <w:p>
            <w:pPr>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60" w:type="dxa"/>
            <w:vAlign w:val="bottom"/>
            <w:tcBorders>
              <w:top w:val="single" w:sz="8" w:color="0000EE"/>
            </w:tcBorders>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Restrictive Legends</w:t>
              </w:r>
            </w:hyperlink>
          </w:p>
        </w:tc>
        <w:tc>
          <w:tcPr>
            <w:tcW w:w="6140" w:type="dxa"/>
            <w:vAlign w:val="bottom"/>
            <w:gridSpan w:val="4"/>
          </w:tcPr>
          <w:p>
            <w:pPr>
              <w:spacing w:after="0"/>
              <w:rPr>
                <w:sz w:val="24"/>
                <w:szCs w:val="24"/>
                <w:color w:val="auto"/>
              </w:rPr>
            </w:pPr>
          </w:p>
        </w:tc>
      </w:tr>
      <w:tr>
        <w:trPr>
          <w:trHeight w:val="20"/>
        </w:trPr>
        <w:tc>
          <w:tcPr>
            <w:tcW w:w="5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220" w:type="dxa"/>
            <w:vAlign w:val="bottom"/>
            <w:tcBorders>
              <w:bottom w:val="single" w:sz="8" w:color="0000EE"/>
            </w:tcBorders>
          </w:tcPr>
          <w:p>
            <w:pPr>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w:t>
              </w:r>
              <w:r>
                <w:rPr>
                  <w:rFonts w:ascii="Arial" w:cs="Arial" w:eastAsia="Arial" w:hAnsi="Arial"/>
                  <w:sz w:val="18"/>
                  <w:szCs w:val="18"/>
                  <w:u w:val="single" w:color="auto"/>
                  <w:color w:val="0000EE"/>
                  <w:w w:val="79"/>
                </w:rPr>
                <w:t>3</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Procedures for Certain Transfers</w:t>
              </w:r>
            </w:hyperlink>
          </w:p>
        </w:tc>
        <w:tc>
          <w:tcPr>
            <w:tcW w:w="7760" w:type="dxa"/>
            <w:vAlign w:val="bottom"/>
            <w:gridSpan w:val="10"/>
          </w:tcPr>
          <w:p>
            <w:pPr>
              <w:spacing w:after="0"/>
              <w:rPr>
                <w:sz w:val="24"/>
                <w:szCs w:val="24"/>
                <w:color w:val="auto"/>
              </w:rPr>
            </w:pPr>
          </w:p>
        </w:tc>
      </w:tr>
      <w:tr>
        <w:trPr>
          <w:trHeight w:val="412"/>
        </w:trPr>
        <w:tc>
          <w:tcPr>
            <w:tcW w:w="560" w:type="dxa"/>
            <w:vAlign w:val="bottom"/>
          </w:tcPr>
          <w:p>
            <w:pPr>
              <w:spacing w:after="0"/>
              <w:rPr>
                <w:sz w:val="24"/>
                <w:szCs w:val="24"/>
                <w:color w:val="auto"/>
              </w:rPr>
            </w:pPr>
          </w:p>
        </w:tc>
        <w:tc>
          <w:tcPr>
            <w:tcW w:w="220" w:type="dxa"/>
            <w:vAlign w:val="bottom"/>
          </w:tcPr>
          <w:p>
            <w:pPr>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w:t>
              </w:r>
              <w:r>
                <w:rPr>
                  <w:rFonts w:ascii="Arial" w:cs="Arial" w:eastAsia="Arial" w:hAnsi="Arial"/>
                  <w:sz w:val="18"/>
                  <w:szCs w:val="18"/>
                  <w:u w:val="single" w:color="auto"/>
                  <w:color w:val="0000EE"/>
                  <w:w w:val="79"/>
                </w:rPr>
                <w:t>4</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Covenant Regarding Exchange Act Filings</w:t>
              </w:r>
            </w:hyperlink>
          </w:p>
        </w:tc>
      </w:tr>
      <w:tr>
        <w:trPr>
          <w:trHeight w:val="412"/>
        </w:trPr>
        <w:tc>
          <w:tcPr>
            <w:tcW w:w="560" w:type="dxa"/>
            <w:vAlign w:val="bottom"/>
          </w:tcPr>
          <w:p>
            <w:pPr>
              <w:spacing w:after="0"/>
              <w:rPr>
                <w:sz w:val="24"/>
                <w:szCs w:val="24"/>
                <w:color w:val="auto"/>
              </w:rPr>
            </w:pPr>
          </w:p>
        </w:tc>
        <w:tc>
          <w:tcPr>
            <w:tcW w:w="220" w:type="dxa"/>
            <w:vAlign w:val="bottom"/>
            <w:tcBorders>
              <w:top w:val="single" w:sz="8" w:color="0000EE"/>
            </w:tcBorders>
          </w:tcPr>
          <w:p>
            <w:pPr>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w:t>
              </w:r>
              <w:r>
                <w:rPr>
                  <w:rFonts w:ascii="Arial" w:cs="Arial" w:eastAsia="Arial" w:hAnsi="Arial"/>
                  <w:sz w:val="18"/>
                  <w:szCs w:val="18"/>
                  <w:u w:val="single" w:color="auto"/>
                  <w:color w:val="0000EE"/>
                  <w:w w:val="79"/>
                </w:rPr>
                <w:t>5</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80" w:type="dxa"/>
            <w:vAlign w:val="bottom"/>
            <w:tcBorders>
              <w:top w:val="single" w:sz="8" w:color="0000EE"/>
            </w:tcBorders>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Termination</w:t>
              </w:r>
            </w:hyperlink>
          </w:p>
        </w:tc>
        <w:tc>
          <w:tcPr>
            <w:tcW w:w="7020" w:type="dxa"/>
            <w:vAlign w:val="bottom"/>
            <w:gridSpan w:val="7"/>
          </w:tcPr>
          <w:p>
            <w:pPr>
              <w:spacing w:after="0"/>
              <w:rPr>
                <w:sz w:val="24"/>
                <w:szCs w:val="24"/>
                <w:color w:val="auto"/>
              </w:rPr>
            </w:pPr>
          </w:p>
        </w:tc>
      </w:tr>
      <w:tr>
        <w:trPr>
          <w:trHeight w:val="20"/>
        </w:trPr>
        <w:tc>
          <w:tcPr>
            <w:tcW w:w="5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r>
      <w:tr>
        <w:trPr>
          <w:trHeight w:val="412"/>
        </w:trPr>
        <w:tc>
          <w:tcPr>
            <w:tcW w:w="78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SECTION</w:t>
              </w:r>
            </w:hyperlink>
          </w:p>
        </w:tc>
        <w:tc>
          <w:tcPr>
            <w:tcW w:w="2160" w:type="dxa"/>
            <w:vAlign w:val="bottom"/>
            <w:tcBorders>
              <w:bottom w:val="single" w:sz="8" w:color="0000EE"/>
            </w:tcBorders>
            <w:gridSpan w:val="12"/>
          </w:tcPr>
          <w:p>
            <w:pPr>
              <w:ind w:left="40"/>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4 REGISTRATION RIGHTS</w:t>
              </w:r>
            </w:hyperlink>
          </w:p>
        </w:tc>
        <w:tc>
          <w:tcPr>
            <w:tcW w:w="8500" w:type="dxa"/>
            <w:vAlign w:val="bottom"/>
            <w:gridSpan w:val="15"/>
          </w:tcPr>
          <w:p>
            <w:pPr>
              <w:spacing w:after="0"/>
              <w:rPr>
                <w:sz w:val="24"/>
                <w:szCs w:val="24"/>
                <w:color w:val="auto"/>
              </w:rPr>
            </w:pPr>
          </w:p>
        </w:tc>
      </w:tr>
      <w:tr>
        <w:trPr>
          <w:trHeight w:val="412"/>
        </w:trPr>
        <w:tc>
          <w:tcPr>
            <w:tcW w:w="560" w:type="dxa"/>
            <w:vAlign w:val="bottom"/>
          </w:tcPr>
          <w:p>
            <w:pPr>
              <w:spacing w:after="0"/>
              <w:rPr>
                <w:sz w:val="24"/>
                <w:szCs w:val="24"/>
                <w:color w:val="auto"/>
              </w:rPr>
            </w:pPr>
          </w:p>
        </w:tc>
        <w:tc>
          <w:tcPr>
            <w:tcW w:w="220" w:type="dxa"/>
            <w:vAlign w:val="bottom"/>
          </w:tcPr>
          <w:p>
            <w:pPr>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Demand Registration</w:t>
              </w:r>
            </w:hyperlink>
          </w:p>
        </w:tc>
      </w:tr>
      <w:tr>
        <w:trPr>
          <w:trHeight w:val="412"/>
        </w:trPr>
        <w:tc>
          <w:tcPr>
            <w:tcW w:w="560" w:type="dxa"/>
            <w:vAlign w:val="bottom"/>
          </w:tcPr>
          <w:p>
            <w:pPr>
              <w:spacing w:after="0"/>
              <w:rPr>
                <w:sz w:val="24"/>
                <w:szCs w:val="24"/>
                <w:color w:val="auto"/>
              </w:rPr>
            </w:pPr>
          </w:p>
        </w:tc>
        <w:tc>
          <w:tcPr>
            <w:tcW w:w="220" w:type="dxa"/>
            <w:vAlign w:val="bottom"/>
            <w:tcBorders>
              <w:top w:val="single" w:sz="8" w:color="0000EE"/>
              <w:bottom w:val="single" w:sz="8" w:color="0000EE"/>
            </w:tcBorders>
          </w:tcPr>
          <w:p>
            <w:pPr>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Shelf Registration</w:t>
              </w:r>
            </w:hyperlink>
          </w:p>
        </w:tc>
        <w:tc>
          <w:tcPr>
            <w:tcW w:w="220" w:type="dxa"/>
            <w:vAlign w:val="bottom"/>
            <w:tcBorders>
              <w:top w:val="single" w:sz="8" w:color="0000EE"/>
            </w:tcBorders>
            <w:gridSpan w:val="4"/>
          </w:tcPr>
          <w:p>
            <w:pPr>
              <w:spacing w:after="0"/>
              <w:rPr>
                <w:sz w:val="24"/>
                <w:szCs w:val="24"/>
                <w:color w:val="auto"/>
              </w:rPr>
            </w:pPr>
          </w:p>
        </w:tc>
        <w:tc>
          <w:tcPr>
            <w:tcW w:w="8580" w:type="dxa"/>
            <w:vAlign w:val="bottom"/>
            <w:gridSpan w:val="16"/>
          </w:tcPr>
          <w:p>
            <w:pPr>
              <w:spacing w:after="0"/>
              <w:rPr>
                <w:sz w:val="24"/>
                <w:szCs w:val="24"/>
                <w:color w:val="auto"/>
              </w:rPr>
            </w:pPr>
          </w:p>
        </w:tc>
      </w:tr>
      <w:tr>
        <w:trPr>
          <w:trHeight w:val="412"/>
        </w:trPr>
        <w:tc>
          <w:tcPr>
            <w:tcW w:w="560" w:type="dxa"/>
            <w:vAlign w:val="bottom"/>
          </w:tcPr>
          <w:p>
            <w:pPr>
              <w:spacing w:after="0"/>
              <w:rPr>
                <w:sz w:val="24"/>
                <w:szCs w:val="24"/>
                <w:color w:val="auto"/>
              </w:rPr>
            </w:pPr>
          </w:p>
        </w:tc>
        <w:tc>
          <w:tcPr>
            <w:tcW w:w="220" w:type="dxa"/>
            <w:vAlign w:val="bottom"/>
            <w:tcBorders>
              <w:bottom w:val="single" w:sz="8" w:color="0000EE"/>
            </w:tcBorders>
          </w:tcPr>
          <w:p>
            <w:pPr>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4.</w:t>
              </w:r>
              <w:r>
                <w:rPr>
                  <w:rFonts w:ascii="Arial" w:cs="Arial" w:eastAsia="Arial" w:hAnsi="Arial"/>
                  <w:sz w:val="18"/>
                  <w:szCs w:val="18"/>
                  <w:u w:val="single" w:color="auto"/>
                  <w:color w:val="0000EE"/>
                  <w:w w:val="79"/>
                </w:rPr>
                <w:t>3</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Piggyback Registration</w:t>
              </w:r>
            </w:hyperlink>
          </w:p>
        </w:tc>
        <w:tc>
          <w:tcPr>
            <w:tcW w:w="8420" w:type="dxa"/>
            <w:vAlign w:val="bottom"/>
            <w:gridSpan w:val="13"/>
          </w:tcPr>
          <w:p>
            <w:pPr>
              <w:spacing w:after="0"/>
              <w:rPr>
                <w:sz w:val="24"/>
                <w:szCs w:val="24"/>
                <w:color w:val="auto"/>
              </w:rPr>
            </w:pPr>
          </w:p>
        </w:tc>
      </w:tr>
      <w:tr>
        <w:trPr>
          <w:trHeight w:val="412"/>
        </w:trPr>
        <w:tc>
          <w:tcPr>
            <w:tcW w:w="560" w:type="dxa"/>
            <w:vAlign w:val="bottom"/>
          </w:tcPr>
          <w:p>
            <w:pPr>
              <w:spacing w:after="0"/>
              <w:rPr>
                <w:sz w:val="24"/>
                <w:szCs w:val="24"/>
                <w:color w:val="auto"/>
              </w:rPr>
            </w:pPr>
          </w:p>
        </w:tc>
        <w:tc>
          <w:tcPr>
            <w:tcW w:w="220" w:type="dxa"/>
            <w:vAlign w:val="bottom"/>
            <w:tcBorders>
              <w:bottom w:val="single" w:sz="8" w:color="0000EE"/>
            </w:tcBorders>
          </w:tcPr>
          <w:p>
            <w:pPr>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4.</w:t>
              </w:r>
              <w:r>
                <w:rPr>
                  <w:rFonts w:ascii="Arial" w:cs="Arial" w:eastAsia="Arial" w:hAnsi="Arial"/>
                  <w:sz w:val="18"/>
                  <w:szCs w:val="18"/>
                  <w:u w:val="single" w:color="auto"/>
                  <w:color w:val="0000EE"/>
                  <w:w w:val="79"/>
                </w:rPr>
                <w:t>4</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6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Demand and Shelf Registration Procedures, Rights and Obligations</w:t>
              </w:r>
            </w:hyperlink>
          </w:p>
        </w:tc>
        <w:tc>
          <w:tcPr>
            <w:tcW w:w="5240" w:type="dxa"/>
            <w:vAlign w:val="bottom"/>
            <w:gridSpan w:val="3"/>
          </w:tcPr>
          <w:p>
            <w:pPr>
              <w:spacing w:after="0"/>
              <w:rPr>
                <w:sz w:val="24"/>
                <w:szCs w:val="24"/>
                <w:color w:val="auto"/>
              </w:rPr>
            </w:pPr>
          </w:p>
        </w:tc>
      </w:tr>
      <w:tr>
        <w:trPr>
          <w:trHeight w:val="412"/>
        </w:trPr>
        <w:tc>
          <w:tcPr>
            <w:tcW w:w="560" w:type="dxa"/>
            <w:vAlign w:val="bottom"/>
          </w:tcPr>
          <w:p>
            <w:pPr>
              <w:spacing w:after="0"/>
              <w:rPr>
                <w:sz w:val="24"/>
                <w:szCs w:val="24"/>
                <w:color w:val="auto"/>
              </w:rPr>
            </w:pPr>
          </w:p>
        </w:tc>
        <w:tc>
          <w:tcPr>
            <w:tcW w:w="220" w:type="dxa"/>
            <w:vAlign w:val="bottom"/>
            <w:tcBorders>
              <w:bottom w:val="single" w:sz="8" w:color="0000EE"/>
            </w:tcBorders>
          </w:tcPr>
          <w:p>
            <w:pPr>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4.</w:t>
              </w:r>
              <w:r>
                <w:rPr>
                  <w:rFonts w:ascii="Arial" w:cs="Arial" w:eastAsia="Arial" w:hAnsi="Arial"/>
                  <w:sz w:val="18"/>
                  <w:szCs w:val="18"/>
                  <w:u w:val="single" w:color="auto"/>
                  <w:color w:val="0000EE"/>
                  <w:w w:val="79"/>
                </w:rPr>
                <w:t>5</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Borders>
              <w:bottom w:val="single" w:sz="8" w:color="0000EE"/>
            </w:tcBorders>
          </w:tcPr>
          <w:p>
            <w:pPr>
              <w:spacing w:after="0"/>
              <w:rPr>
                <w:rFonts w:ascii="Arial" w:cs="Arial" w:eastAsia="Arial" w:hAnsi="Arial"/>
                <w:sz w:val="18"/>
                <w:szCs w:val="18"/>
                <w:color w:val="0000EE"/>
                <w:w w:val="85"/>
              </w:rPr>
            </w:pPr>
            <w:hyperlink w:anchor="page41">
              <w:r>
                <w:rPr>
                  <w:rFonts w:ascii="Arial" w:cs="Arial" w:eastAsia="Arial" w:hAnsi="Arial"/>
                  <w:sz w:val="18"/>
                  <w:szCs w:val="18"/>
                  <w:color w:val="0000EE"/>
                  <w:w w:val="85"/>
                </w:rPr>
                <w:t>Expenses</w:t>
              </w:r>
            </w:hyperlink>
          </w:p>
        </w:tc>
        <w:tc>
          <w:tcPr>
            <w:tcW w:w="9380" w:type="dxa"/>
            <w:vAlign w:val="bottom"/>
            <w:gridSpan w:val="24"/>
          </w:tcPr>
          <w:p>
            <w:pPr>
              <w:spacing w:after="0"/>
              <w:rPr>
                <w:sz w:val="24"/>
                <w:szCs w:val="24"/>
                <w:color w:val="auto"/>
              </w:rPr>
            </w:pPr>
          </w:p>
        </w:tc>
      </w:tr>
      <w:tr>
        <w:trPr>
          <w:trHeight w:val="412"/>
        </w:trPr>
        <w:tc>
          <w:tcPr>
            <w:tcW w:w="780" w:type="dxa"/>
            <w:vAlign w:val="bottom"/>
            <w:gridSpan w:val="2"/>
          </w:tcPr>
          <w:p>
            <w:pPr>
              <w:ind w:left="540"/>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Indemnification</w:t>
              </w:r>
            </w:hyperlink>
          </w:p>
        </w:tc>
      </w:tr>
      <w:tr>
        <w:trPr>
          <w:trHeight w:val="453"/>
        </w:trPr>
        <w:tc>
          <w:tcPr>
            <w:tcW w:w="56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40" w:type="dxa"/>
            <w:vAlign w:val="bottom"/>
            <w:gridSpan w:val="4"/>
          </w:tcPr>
          <w:p>
            <w:pPr>
              <w:jc w:val="center"/>
              <w:ind w:right="5320"/>
              <w:spacing w:after="0"/>
              <w:rPr>
                <w:sz w:val="20"/>
                <w:szCs w:val="20"/>
                <w:color w:val="auto"/>
              </w:rPr>
            </w:pPr>
            <w:r>
              <w:rPr>
                <w:rFonts w:ascii="Arial" w:cs="Arial" w:eastAsia="Arial" w:hAnsi="Arial"/>
                <w:sz w:val="18"/>
                <w:szCs w:val="18"/>
                <w:color w:val="auto"/>
              </w:rPr>
              <w:t>i</w:t>
            </w:r>
          </w:p>
        </w:tc>
      </w:tr>
      <w:tr>
        <w:trPr>
          <w:trHeight w:val="105"/>
        </w:trPr>
        <w:tc>
          <w:tcPr>
            <w:tcW w:w="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r>
      <w:tr>
        <w:trPr>
          <w:trHeight w:val="699"/>
        </w:trPr>
        <w:tc>
          <w:tcPr>
            <w:tcW w:w="560" w:type="dxa"/>
            <w:vAlign w:val="bottom"/>
          </w:tcPr>
          <w:p>
            <w:pPr>
              <w:spacing w:after="0"/>
              <w:rPr>
                <w:sz w:val="24"/>
                <w:szCs w:val="24"/>
                <w:color w:val="auto"/>
              </w:rPr>
            </w:pPr>
          </w:p>
        </w:tc>
        <w:tc>
          <w:tcPr>
            <w:tcW w:w="220" w:type="dxa"/>
            <w:vAlign w:val="bottom"/>
          </w:tcPr>
          <w:p>
            <w:pPr>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w:t>
              </w:r>
              <w:r>
                <w:rPr>
                  <w:rFonts w:ascii="Arial" w:cs="Arial" w:eastAsia="Arial" w:hAnsi="Arial"/>
                  <w:sz w:val="18"/>
                  <w:szCs w:val="18"/>
                  <w:u w:val="single" w:color="auto"/>
                  <w:color w:val="0000EE"/>
                  <w:w w:val="79"/>
                </w:rPr>
                <w:t>7</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Issuances by Micron or Other Holders</w:t>
              </w:r>
            </w:hyperlink>
          </w:p>
        </w:tc>
      </w:tr>
      <w:tr>
        <w:trPr>
          <w:trHeight w:val="412"/>
        </w:trPr>
        <w:tc>
          <w:tcPr>
            <w:tcW w:w="560" w:type="dxa"/>
            <w:vAlign w:val="bottom"/>
          </w:tcPr>
          <w:p>
            <w:pPr>
              <w:spacing w:after="0"/>
              <w:rPr>
                <w:sz w:val="24"/>
                <w:szCs w:val="24"/>
                <w:color w:val="auto"/>
              </w:rPr>
            </w:pPr>
          </w:p>
        </w:tc>
        <w:tc>
          <w:tcPr>
            <w:tcW w:w="220" w:type="dxa"/>
            <w:vAlign w:val="bottom"/>
            <w:tcBorders>
              <w:top w:val="single" w:sz="8" w:color="0000EE"/>
            </w:tcBorders>
          </w:tcPr>
          <w:p>
            <w:pPr>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w:t>
              </w:r>
              <w:r>
                <w:rPr>
                  <w:rFonts w:ascii="Arial" w:cs="Arial" w:eastAsia="Arial" w:hAnsi="Arial"/>
                  <w:sz w:val="18"/>
                  <w:szCs w:val="18"/>
                  <w:u w:val="single" w:color="auto"/>
                  <w:color w:val="0000EE"/>
                  <w:w w:val="79"/>
                </w:rPr>
                <w:t>8</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Information by Intel Capital</w:t>
              </w:r>
            </w:hyperlink>
          </w:p>
        </w:tc>
        <w:tc>
          <w:tcPr>
            <w:tcW w:w="720" w:type="dxa"/>
            <w:vAlign w:val="bottom"/>
            <w:tcBorders>
              <w:top w:val="single" w:sz="8" w:color="0000EE"/>
            </w:tcBorders>
            <w:gridSpan w:val="4"/>
          </w:tcPr>
          <w:p>
            <w:pPr>
              <w:spacing w:after="0"/>
              <w:rPr>
                <w:sz w:val="24"/>
                <w:szCs w:val="24"/>
                <w:color w:val="auto"/>
              </w:rPr>
            </w:pPr>
          </w:p>
        </w:tc>
        <w:tc>
          <w:tcPr>
            <w:tcW w:w="7360" w:type="dxa"/>
            <w:vAlign w:val="bottom"/>
            <w:gridSpan w:val="8"/>
          </w:tcPr>
          <w:p>
            <w:pPr>
              <w:spacing w:after="0"/>
              <w:rPr>
                <w:sz w:val="24"/>
                <w:szCs w:val="24"/>
                <w:color w:val="auto"/>
              </w:rPr>
            </w:pPr>
          </w:p>
        </w:tc>
      </w:tr>
      <w:tr>
        <w:trPr>
          <w:trHeight w:val="412"/>
        </w:trPr>
        <w:tc>
          <w:tcPr>
            <w:tcW w:w="560" w:type="dxa"/>
            <w:vAlign w:val="bottom"/>
          </w:tcPr>
          <w:p>
            <w:pPr>
              <w:spacing w:after="0"/>
              <w:rPr>
                <w:sz w:val="24"/>
                <w:szCs w:val="24"/>
                <w:color w:val="auto"/>
              </w:rPr>
            </w:pPr>
          </w:p>
        </w:tc>
        <w:tc>
          <w:tcPr>
            <w:tcW w:w="220" w:type="dxa"/>
            <w:vAlign w:val="bottom"/>
          </w:tcPr>
          <w:p>
            <w:pPr>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w:t>
              </w:r>
              <w:r>
                <w:rPr>
                  <w:rFonts w:ascii="Arial" w:cs="Arial" w:eastAsia="Arial" w:hAnsi="Arial"/>
                  <w:sz w:val="18"/>
                  <w:szCs w:val="18"/>
                  <w:u w:val="single" w:color="auto"/>
                  <w:color w:val="0000EE"/>
                  <w:w w:val="79"/>
                </w:rPr>
                <w:t>9</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Market Standoff Agreements</w:t>
              </w:r>
            </w:hyperlink>
          </w:p>
        </w:tc>
      </w:tr>
      <w:tr>
        <w:trPr>
          <w:trHeight w:val="20"/>
        </w:trPr>
        <w:tc>
          <w:tcPr>
            <w:tcW w:w="5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980" w:type="dxa"/>
            <w:vAlign w:val="bottom"/>
            <w:gridSpan w:val="11"/>
            <w:shd w:val="clear" w:color="auto" w:fill="0000EE"/>
          </w:tcPr>
          <w:p>
            <w:pPr>
              <w:spacing w:after="0" w:line="20" w:lineRule="exact"/>
              <w:rPr>
                <w:sz w:val="1"/>
                <w:szCs w:val="1"/>
                <w:color w:val="auto"/>
              </w:rPr>
            </w:pPr>
          </w:p>
        </w:tc>
        <w:tc>
          <w:tcPr>
            <w:tcW w:w="8020" w:type="dxa"/>
            <w:vAlign w:val="bottom"/>
            <w:gridSpan w:val="11"/>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300" w:type="dxa"/>
            <w:vAlign w:val="bottom"/>
            <w:gridSpan w:val="2"/>
          </w:tcPr>
          <w:p>
            <w:pPr>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10</w:t>
              </w:r>
            </w:hyperlink>
          </w:p>
        </w:tc>
        <w:tc>
          <w:tcPr>
            <w:tcW w:w="48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Termination</w:t>
              </w:r>
            </w:hyperlink>
          </w:p>
        </w:tc>
      </w:tr>
      <w:tr>
        <w:trPr>
          <w:trHeight w:val="20"/>
        </w:trPr>
        <w:tc>
          <w:tcPr>
            <w:tcW w:w="5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0" w:type="dxa"/>
            <w:vAlign w:val="bottom"/>
            <w:gridSpan w:val="22"/>
          </w:tcPr>
          <w:p>
            <w:pPr>
              <w:spacing w:after="0" w:line="20" w:lineRule="exact"/>
              <w:rPr>
                <w:sz w:val="1"/>
                <w:szCs w:val="1"/>
                <w:color w:val="auto"/>
              </w:rPr>
            </w:pPr>
          </w:p>
        </w:tc>
      </w:tr>
      <w:tr>
        <w:trPr>
          <w:trHeight w:val="412"/>
        </w:trPr>
        <w:tc>
          <w:tcPr>
            <w:tcW w:w="780" w:type="dxa"/>
            <w:vAlign w:val="bottom"/>
            <w:gridSpan w:val="2"/>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SECTION</w:t>
              </w:r>
            </w:hyperlink>
          </w:p>
        </w:tc>
        <w:tc>
          <w:tcPr>
            <w:tcW w:w="10660" w:type="dxa"/>
            <w:vAlign w:val="bottom"/>
            <w:gridSpan w:val="27"/>
          </w:tcPr>
          <w:p>
            <w:pPr>
              <w:ind w:left="40"/>
              <w:spacing w:after="0"/>
              <w:rPr>
                <w:rFonts w:ascii="Arial" w:cs="Arial" w:eastAsia="Arial" w:hAnsi="Arial"/>
                <w:sz w:val="18"/>
                <w:szCs w:val="18"/>
                <w:color w:val="0000EE"/>
              </w:rPr>
            </w:pPr>
            <w:hyperlink w:anchor="page43">
              <w:r>
                <w:rPr>
                  <w:rFonts w:ascii="Arial" w:cs="Arial" w:eastAsia="Arial" w:hAnsi="Arial"/>
                  <w:sz w:val="18"/>
                  <w:szCs w:val="18"/>
                  <w:color w:val="0000EE"/>
                </w:rPr>
                <w:t>5 MISCELLANEOUS</w:t>
              </w:r>
            </w:hyperlink>
          </w:p>
        </w:tc>
      </w:tr>
      <w:tr>
        <w:trPr>
          <w:trHeight w:val="20"/>
        </w:trPr>
        <w:tc>
          <w:tcPr>
            <w:tcW w:w="5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-8416290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-8416290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-1564640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-1564640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0" w:gutter="0" w:footer="0" w:header="0"/>
        </w:sectPr>
      </w:pPr>
    </w:p>
    <w:bookmarkStart w:id="31" w:name="page32"/>
    <w:bookmarkEnd w:id="31"/>
    <w:p>
      <w:pPr>
        <w:ind w:left="540"/>
        <w:spacing w:after="0"/>
        <w:tabs>
          <w:tab w:leader="none" w:pos="1320" w:val="left"/>
        </w:tabs>
        <w:rPr>
          <w:rFonts w:ascii="Arial" w:cs="Arial" w:eastAsia="Arial" w:hAnsi="Arial"/>
          <w:sz w:val="16"/>
          <w:szCs w:val="16"/>
          <w:u w:val="single" w:color="auto"/>
          <w:color w:val="0000EE"/>
        </w:rPr>
      </w:pPr>
      <w:hyperlink w:anchor="page43">
        <w:r>
          <w:rPr>
            <w:rFonts w:ascii="Arial" w:cs="Arial" w:eastAsia="Arial" w:hAnsi="Arial"/>
            <w:sz w:val="18"/>
            <w:szCs w:val="18"/>
            <w:u w:val="single" w:color="auto"/>
            <w:color w:val="0000EE"/>
          </w:rPr>
          <w:t>5.1</w:t>
        </w:r>
      </w:hyperlink>
      <w:r>
        <w:rPr>
          <w:rFonts w:ascii="Arial" w:cs="Arial" w:eastAsia="Arial" w:hAnsi="Arial"/>
          <w:sz w:val="18"/>
          <w:szCs w:val="18"/>
          <w:u w:val="single" w:color="auto"/>
          <w:color w:val="0000EE"/>
        </w:rPr>
        <w:tab/>
      </w:r>
      <w:hyperlink w:anchor="page43">
        <w:r>
          <w:rPr>
            <w:rFonts w:ascii="Arial" w:cs="Arial" w:eastAsia="Arial" w:hAnsi="Arial"/>
            <w:sz w:val="16"/>
            <w:szCs w:val="16"/>
            <w:u w:val="single" w:color="auto"/>
            <w:color w:val="0000EE"/>
          </w:rPr>
          <w:t>Governing Law</w:t>
        </w:r>
      </w:hyperlink>
    </w:p>
    <w:p>
      <w:pPr>
        <w:spacing w:after="0" w:line="225" w:lineRule="exact"/>
        <w:rPr>
          <w:sz w:val="20"/>
          <w:szCs w:val="20"/>
          <w:color w:val="auto"/>
        </w:rPr>
      </w:pPr>
    </w:p>
    <w:p>
      <w:pPr>
        <w:ind w:left="540"/>
        <w:spacing w:after="0"/>
        <w:tabs>
          <w:tab w:leader="none" w:pos="1320" w:val="left"/>
        </w:tabs>
        <w:rPr>
          <w:rFonts w:ascii="Arial" w:cs="Arial" w:eastAsia="Arial" w:hAnsi="Arial"/>
          <w:sz w:val="15"/>
          <w:szCs w:val="15"/>
          <w:u w:val="single" w:color="auto"/>
          <w:color w:val="0000EE"/>
        </w:rPr>
      </w:pPr>
      <w:hyperlink w:anchor="page43">
        <w:r>
          <w:rPr>
            <w:rFonts w:ascii="Arial" w:cs="Arial" w:eastAsia="Arial" w:hAnsi="Arial"/>
            <w:sz w:val="18"/>
            <w:szCs w:val="18"/>
            <w:u w:val="single" w:color="auto"/>
            <w:color w:val="0000EE"/>
          </w:rPr>
          <w:t>5.2</w:t>
        </w:r>
      </w:hyperlink>
      <w:r>
        <w:rPr>
          <w:rFonts w:ascii="Arial" w:cs="Arial" w:eastAsia="Arial" w:hAnsi="Arial"/>
          <w:sz w:val="18"/>
          <w:szCs w:val="18"/>
          <w:u w:val="single" w:color="auto"/>
          <w:color w:val="0000EE"/>
        </w:rPr>
        <w:tab/>
      </w:r>
      <w:hyperlink w:anchor="page43">
        <w:r>
          <w:rPr>
            <w:rFonts w:ascii="Arial" w:cs="Arial" w:eastAsia="Arial" w:hAnsi="Arial"/>
            <w:sz w:val="15"/>
            <w:szCs w:val="15"/>
            <w:u w:val="single" w:color="auto"/>
            <w:color w:val="0000EE"/>
          </w:rPr>
          <w:t>Successors and Assigns</w:t>
        </w:r>
      </w:hyperlink>
    </w:p>
    <w:p>
      <w:pPr>
        <w:spacing w:after="0" w:line="225"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43">
        <w:r>
          <w:rPr>
            <w:rFonts w:ascii="Arial" w:cs="Arial" w:eastAsia="Arial" w:hAnsi="Arial"/>
            <w:sz w:val="18"/>
            <w:szCs w:val="18"/>
            <w:u w:val="single" w:color="auto"/>
            <w:color w:val="0000EE"/>
          </w:rPr>
          <w:t>5.3</w:t>
        </w:r>
      </w:hyperlink>
      <w:r>
        <w:rPr>
          <w:rFonts w:ascii="Arial" w:cs="Arial" w:eastAsia="Arial" w:hAnsi="Arial"/>
          <w:sz w:val="18"/>
          <w:szCs w:val="18"/>
          <w:u w:val="single" w:color="auto"/>
          <w:color w:val="0000EE"/>
        </w:rPr>
        <w:tab/>
      </w:r>
      <w:hyperlink w:anchor="page43">
        <w:r>
          <w:rPr>
            <w:rFonts w:ascii="Arial" w:cs="Arial" w:eastAsia="Arial" w:hAnsi="Arial"/>
            <w:sz w:val="16"/>
            <w:szCs w:val="16"/>
            <w:u w:val="single" w:color="auto"/>
            <w:color w:val="0000EE"/>
          </w:rPr>
          <w:t>Entire Agreement; Amendment</w:t>
        </w:r>
      </w:hyperlink>
    </w:p>
    <w:p>
      <w:pPr>
        <w:spacing w:after="0" w:line="225" w:lineRule="exact"/>
        <w:rPr>
          <w:sz w:val="20"/>
          <w:szCs w:val="20"/>
          <w:color w:val="auto"/>
        </w:rPr>
      </w:pPr>
    </w:p>
    <w:p>
      <w:pPr>
        <w:ind w:left="540"/>
        <w:spacing w:after="0"/>
        <w:tabs>
          <w:tab w:leader="none" w:pos="1320" w:val="left"/>
        </w:tabs>
        <w:rPr>
          <w:rFonts w:ascii="Arial" w:cs="Arial" w:eastAsia="Arial" w:hAnsi="Arial"/>
          <w:sz w:val="15"/>
          <w:szCs w:val="15"/>
          <w:u w:val="single" w:color="auto"/>
          <w:color w:val="0000EE"/>
        </w:rPr>
      </w:pPr>
      <w:hyperlink w:anchor="page43">
        <w:r>
          <w:rPr>
            <w:rFonts w:ascii="Arial" w:cs="Arial" w:eastAsia="Arial" w:hAnsi="Arial"/>
            <w:sz w:val="18"/>
            <w:szCs w:val="18"/>
            <w:u w:val="single" w:color="auto"/>
            <w:color w:val="0000EE"/>
          </w:rPr>
          <w:t>5.4</w:t>
        </w:r>
      </w:hyperlink>
      <w:r>
        <w:rPr>
          <w:rFonts w:ascii="Arial" w:cs="Arial" w:eastAsia="Arial" w:hAnsi="Arial"/>
          <w:sz w:val="18"/>
          <w:szCs w:val="18"/>
          <w:u w:val="single" w:color="auto"/>
          <w:color w:val="0000EE"/>
        </w:rPr>
        <w:tab/>
      </w:r>
      <w:hyperlink w:anchor="page43">
        <w:r>
          <w:rPr>
            <w:rFonts w:ascii="Arial" w:cs="Arial" w:eastAsia="Arial" w:hAnsi="Arial"/>
            <w:sz w:val="15"/>
            <w:szCs w:val="15"/>
            <w:u w:val="single" w:color="auto"/>
            <w:color w:val="0000EE"/>
          </w:rPr>
          <w:t>Notices and Dates</w:t>
        </w:r>
      </w:hyperlink>
    </w:p>
    <w:p>
      <w:pPr>
        <w:spacing w:after="0" w:line="225"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44">
        <w:r>
          <w:rPr>
            <w:rFonts w:ascii="Arial" w:cs="Arial" w:eastAsia="Arial" w:hAnsi="Arial"/>
            <w:sz w:val="18"/>
            <w:szCs w:val="18"/>
            <w:u w:val="single" w:color="auto"/>
            <w:color w:val="0000EE"/>
          </w:rPr>
          <w:t>5.5</w:t>
        </w:r>
      </w:hyperlink>
      <w:r>
        <w:rPr>
          <w:rFonts w:ascii="Arial" w:cs="Arial" w:eastAsia="Arial" w:hAnsi="Arial"/>
          <w:sz w:val="18"/>
          <w:szCs w:val="18"/>
          <w:u w:val="single" w:color="auto"/>
          <w:color w:val="0000EE"/>
        </w:rPr>
        <w:tab/>
      </w:r>
      <w:hyperlink w:anchor="page44">
        <w:r>
          <w:rPr>
            <w:rFonts w:ascii="Arial" w:cs="Arial" w:eastAsia="Arial" w:hAnsi="Arial"/>
            <w:sz w:val="16"/>
            <w:szCs w:val="16"/>
            <w:u w:val="single" w:color="auto"/>
            <w:color w:val="0000EE"/>
          </w:rPr>
          <w:t>Language Interpretation</w:t>
        </w:r>
      </w:hyperlink>
    </w:p>
    <w:p>
      <w:pPr>
        <w:spacing w:after="0" w:line="225"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44">
        <w:r>
          <w:rPr>
            <w:rFonts w:ascii="Arial" w:cs="Arial" w:eastAsia="Arial" w:hAnsi="Arial"/>
            <w:sz w:val="18"/>
            <w:szCs w:val="18"/>
            <w:u w:val="single" w:color="auto"/>
            <w:color w:val="0000EE"/>
          </w:rPr>
          <w:t>5.6</w:t>
        </w:r>
      </w:hyperlink>
      <w:r>
        <w:rPr>
          <w:rFonts w:ascii="Arial" w:cs="Arial" w:eastAsia="Arial" w:hAnsi="Arial"/>
          <w:sz w:val="18"/>
          <w:szCs w:val="18"/>
          <w:u w:val="single" w:color="auto"/>
          <w:color w:val="0000EE"/>
        </w:rPr>
        <w:tab/>
      </w:r>
      <w:hyperlink w:anchor="page44">
        <w:r>
          <w:rPr>
            <w:rFonts w:ascii="Arial" w:cs="Arial" w:eastAsia="Arial" w:hAnsi="Arial"/>
            <w:sz w:val="16"/>
            <w:szCs w:val="16"/>
            <w:u w:val="single" w:color="auto"/>
            <w:color w:val="0000EE"/>
          </w:rPr>
          <w:t>Table of Contents; Titles; Headings</w:t>
        </w:r>
      </w:hyperlink>
    </w:p>
    <w:p>
      <w:pPr>
        <w:spacing w:after="0" w:line="225" w:lineRule="exact"/>
        <w:rPr>
          <w:sz w:val="20"/>
          <w:szCs w:val="20"/>
          <w:color w:val="auto"/>
        </w:rPr>
      </w:pPr>
    </w:p>
    <w:p>
      <w:pPr>
        <w:ind w:left="540"/>
        <w:spacing w:after="0"/>
        <w:tabs>
          <w:tab w:leader="none" w:pos="1320" w:val="left"/>
        </w:tabs>
        <w:rPr>
          <w:rFonts w:ascii="Arial" w:cs="Arial" w:eastAsia="Arial" w:hAnsi="Arial"/>
          <w:sz w:val="15"/>
          <w:szCs w:val="15"/>
          <w:u w:val="single" w:color="auto"/>
          <w:color w:val="0000EE"/>
        </w:rPr>
      </w:pPr>
      <w:hyperlink w:anchor="page44">
        <w:r>
          <w:rPr>
            <w:rFonts w:ascii="Arial" w:cs="Arial" w:eastAsia="Arial" w:hAnsi="Arial"/>
            <w:sz w:val="18"/>
            <w:szCs w:val="18"/>
            <w:u w:val="single" w:color="auto"/>
            <w:color w:val="0000EE"/>
          </w:rPr>
          <w:t>5.7</w:t>
        </w:r>
      </w:hyperlink>
      <w:r>
        <w:rPr>
          <w:rFonts w:ascii="Arial" w:cs="Arial" w:eastAsia="Arial" w:hAnsi="Arial"/>
          <w:sz w:val="18"/>
          <w:szCs w:val="18"/>
          <w:u w:val="single" w:color="auto"/>
          <w:color w:val="0000EE"/>
        </w:rPr>
        <w:tab/>
      </w:r>
      <w:hyperlink w:anchor="page44">
        <w:r>
          <w:rPr>
            <w:rFonts w:ascii="Arial" w:cs="Arial" w:eastAsia="Arial" w:hAnsi="Arial"/>
            <w:sz w:val="15"/>
            <w:szCs w:val="15"/>
            <w:u w:val="single" w:color="auto"/>
            <w:color w:val="0000EE"/>
          </w:rPr>
          <w:t>Counterparts</w:t>
        </w:r>
      </w:hyperlink>
    </w:p>
    <w:p>
      <w:pPr>
        <w:spacing w:after="0" w:line="225"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44">
        <w:r>
          <w:rPr>
            <w:rFonts w:ascii="Arial" w:cs="Arial" w:eastAsia="Arial" w:hAnsi="Arial"/>
            <w:sz w:val="18"/>
            <w:szCs w:val="18"/>
            <w:u w:val="single" w:color="auto"/>
            <w:color w:val="0000EE"/>
          </w:rPr>
          <w:t>5.8</w:t>
        </w:r>
      </w:hyperlink>
      <w:r>
        <w:rPr>
          <w:rFonts w:ascii="Arial" w:cs="Arial" w:eastAsia="Arial" w:hAnsi="Arial"/>
          <w:sz w:val="18"/>
          <w:szCs w:val="18"/>
          <w:u w:val="single" w:color="auto"/>
          <w:color w:val="0000EE"/>
        </w:rPr>
        <w:tab/>
      </w:r>
      <w:hyperlink w:anchor="page44">
        <w:r>
          <w:rPr>
            <w:rFonts w:ascii="Arial" w:cs="Arial" w:eastAsia="Arial" w:hAnsi="Arial"/>
            <w:sz w:val="16"/>
            <w:szCs w:val="16"/>
            <w:u w:val="single" w:color="auto"/>
            <w:color w:val="0000EE"/>
          </w:rPr>
          <w:t>Severability</w:t>
        </w:r>
      </w:hyperlink>
    </w:p>
    <w:p>
      <w:pPr>
        <w:spacing w:after="0" w:line="225"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44">
        <w:r>
          <w:rPr>
            <w:rFonts w:ascii="Arial" w:cs="Arial" w:eastAsia="Arial" w:hAnsi="Arial"/>
            <w:sz w:val="18"/>
            <w:szCs w:val="18"/>
            <w:u w:val="single" w:color="auto"/>
            <w:color w:val="0000EE"/>
          </w:rPr>
          <w:t>5.9</w:t>
        </w:r>
      </w:hyperlink>
      <w:r>
        <w:rPr>
          <w:rFonts w:ascii="Arial" w:cs="Arial" w:eastAsia="Arial" w:hAnsi="Arial"/>
          <w:sz w:val="18"/>
          <w:szCs w:val="18"/>
          <w:u w:val="single" w:color="auto"/>
          <w:color w:val="0000EE"/>
        </w:rPr>
        <w:tab/>
      </w:r>
      <w:hyperlink w:anchor="page44">
        <w:r>
          <w:rPr>
            <w:rFonts w:ascii="Arial" w:cs="Arial" w:eastAsia="Arial" w:hAnsi="Arial"/>
            <w:sz w:val="16"/>
            <w:szCs w:val="16"/>
            <w:u w:val="single" w:color="auto"/>
            <w:color w:val="0000EE"/>
          </w:rPr>
          <w:t>Injunctive Relief</w:t>
        </w:r>
      </w:hyperlink>
    </w:p>
    <w:p>
      <w:pPr>
        <w:spacing w:after="0" w:line="225" w:lineRule="exact"/>
        <w:rPr>
          <w:sz w:val="20"/>
          <w:szCs w:val="20"/>
          <w:color w:val="auto"/>
        </w:rPr>
      </w:pPr>
    </w:p>
    <w:p>
      <w:pPr>
        <w:ind w:left="540"/>
        <w:spacing w:after="0"/>
        <w:tabs>
          <w:tab w:leader="none" w:pos="1320" w:val="left"/>
        </w:tabs>
        <w:rPr>
          <w:rFonts w:ascii="Arial" w:cs="Arial" w:eastAsia="Arial" w:hAnsi="Arial"/>
          <w:sz w:val="16"/>
          <w:szCs w:val="16"/>
          <w:u w:val="single" w:color="auto"/>
          <w:color w:val="0000EE"/>
        </w:rPr>
      </w:pPr>
      <w:hyperlink w:anchor="page44">
        <w:r>
          <w:rPr>
            <w:rFonts w:ascii="Arial" w:cs="Arial" w:eastAsia="Arial" w:hAnsi="Arial"/>
            <w:sz w:val="18"/>
            <w:szCs w:val="18"/>
            <w:u w:val="single" w:color="auto"/>
            <w:color w:val="0000EE"/>
          </w:rPr>
          <w:t>5.10</w:t>
        </w:r>
      </w:hyperlink>
      <w:r>
        <w:rPr>
          <w:rFonts w:ascii="Arial" w:cs="Arial" w:eastAsia="Arial" w:hAnsi="Arial"/>
          <w:sz w:val="18"/>
          <w:szCs w:val="18"/>
          <w:u w:val="single" w:color="auto"/>
          <w:color w:val="0000EE"/>
        </w:rPr>
        <w:tab/>
      </w:r>
      <w:hyperlink w:anchor="page44">
        <w:r>
          <w:rPr>
            <w:rFonts w:ascii="Arial" w:cs="Arial" w:eastAsia="Arial" w:hAnsi="Arial"/>
            <w:sz w:val="16"/>
            <w:szCs w:val="16"/>
            <w:u w:val="single" w:color="auto"/>
            <w:color w:val="0000EE"/>
          </w:rPr>
          <w:t>Dispute Resolution</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RIGHTS AND RESTRICTIONS AGREEMENT</w:t>
      </w:r>
    </w:p>
    <w:p>
      <w:pPr>
        <w:spacing w:after="0" w:line="225" w:lineRule="exact"/>
        <w:rPr>
          <w:sz w:val="20"/>
          <w:szCs w:val="20"/>
          <w:color w:val="auto"/>
        </w:rPr>
      </w:pPr>
    </w:p>
    <w:p>
      <w:pPr>
        <w:ind w:right="240" w:firstLine="648"/>
        <w:spacing w:after="0" w:line="347" w:lineRule="auto"/>
        <w:rPr>
          <w:sz w:val="20"/>
          <w:szCs w:val="20"/>
          <w:color w:val="auto"/>
        </w:rPr>
      </w:pPr>
      <w:r>
        <w:rPr>
          <w:rFonts w:ascii="Arial" w:cs="Arial" w:eastAsia="Arial" w:hAnsi="Arial"/>
          <w:sz w:val="16"/>
          <w:szCs w:val="16"/>
          <w:color w:val="auto"/>
        </w:rPr>
        <w:t xml:space="preserve">THIS SECURITIES RIGHTS AND RESTRICTIONS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as of September 24, 2003, between MICRON TECHNOLOGY, INC., a Delaware corporation (</w:t>
      </w:r>
      <w:r>
        <w:rPr>
          <w:rFonts w:ascii="Arial" w:cs="Arial" w:eastAsia="Arial" w:hAnsi="Arial"/>
          <w:sz w:val="16"/>
          <w:szCs w:val="16"/>
          <w:b w:val="1"/>
          <w:bCs w:val="1"/>
          <w:color w:val="auto"/>
        </w:rPr>
        <w:t>“Micron”</w:t>
      </w:r>
      <w:r>
        <w:rPr>
          <w:rFonts w:ascii="Arial" w:cs="Arial" w:eastAsia="Arial" w:hAnsi="Arial"/>
          <w:sz w:val="16"/>
          <w:szCs w:val="16"/>
          <w:color w:val="auto"/>
        </w:rPr>
        <w:t>), and INTEL CAPITAL CORPORATION, a Cayman Islands corporation (</w:t>
      </w:r>
      <w:r>
        <w:rPr>
          <w:rFonts w:ascii="Arial" w:cs="Arial" w:eastAsia="Arial" w:hAnsi="Arial"/>
          <w:sz w:val="16"/>
          <w:szCs w:val="16"/>
          <w:b w:val="1"/>
          <w:bCs w:val="1"/>
          <w:color w:val="auto"/>
        </w:rPr>
        <w:t>“Intel Capital”</w:t>
      </w:r>
      <w:r>
        <w:rPr>
          <w:rFonts w:ascii="Arial" w:cs="Arial" w:eastAsia="Arial" w:hAnsi="Arial"/>
          <w:sz w:val="16"/>
          <w:szCs w:val="16"/>
          <w:color w:val="auto"/>
        </w:rPr>
        <w: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RECITALS</w:t>
      </w:r>
    </w:p>
    <w:p>
      <w:pPr>
        <w:spacing w:after="0" w:line="221" w:lineRule="exact"/>
        <w:rPr>
          <w:sz w:val="20"/>
          <w:szCs w:val="20"/>
          <w:color w:val="auto"/>
        </w:rPr>
      </w:pPr>
    </w:p>
    <w:p>
      <w:pPr>
        <w:ind w:firstLine="656"/>
        <w:spacing w:after="0" w:line="281" w:lineRule="auto"/>
        <w:tabs>
          <w:tab w:leader="none" w:pos="1296"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Intel Capital has agreed to purchase from Micron, and Micron has agreed to sell and issue to Intel Capital, stock rights (the </w:t>
      </w:r>
      <w:r>
        <w:rPr>
          <w:rFonts w:ascii="Arial" w:cs="Arial" w:eastAsia="Arial" w:hAnsi="Arial"/>
          <w:sz w:val="17"/>
          <w:szCs w:val="17"/>
          <w:b w:val="1"/>
          <w:bCs w:val="1"/>
          <w:color w:val="auto"/>
        </w:rPr>
        <w:t>“Rights”</w:t>
      </w:r>
      <w:r>
        <w:rPr>
          <w:rFonts w:ascii="Arial" w:cs="Arial" w:eastAsia="Arial" w:hAnsi="Arial"/>
          <w:sz w:val="17"/>
          <w:szCs w:val="17"/>
          <w:color w:val="auto"/>
        </w:rPr>
        <w:t xml:space="preserve">) to be issued by Micron pursuant to that certain Stock Rights Agreement, dated of even date herewith (the </w:t>
      </w:r>
      <w:r>
        <w:rPr>
          <w:rFonts w:ascii="Arial" w:cs="Arial" w:eastAsia="Arial" w:hAnsi="Arial"/>
          <w:sz w:val="17"/>
          <w:szCs w:val="17"/>
          <w:b w:val="1"/>
          <w:bCs w:val="1"/>
          <w:color w:val="auto"/>
        </w:rPr>
        <w:t>“Stock Rights Agreement”</w:t>
      </w:r>
      <w:r>
        <w:rPr>
          <w:rFonts w:ascii="Arial" w:cs="Arial" w:eastAsia="Arial" w:hAnsi="Arial"/>
          <w:sz w:val="17"/>
          <w:szCs w:val="17"/>
          <w:color w:val="auto"/>
        </w:rPr>
        <w:t xml:space="preserve">), on the terms and conditions set forth in that certain Securities Purchase Agreement, dated September 24, 2003, by and between Micron and Intel Capital (the </w:t>
      </w:r>
      <w:r>
        <w:rPr>
          <w:rFonts w:ascii="Arial" w:cs="Arial" w:eastAsia="Arial" w:hAnsi="Arial"/>
          <w:sz w:val="17"/>
          <w:szCs w:val="17"/>
          <w:b w:val="1"/>
          <w:bCs w:val="1"/>
          <w:color w:val="auto"/>
        </w:rPr>
        <w:t>“Securities Purchase</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The Rights are exchangeable for Common Stock (the</w:t>
      </w:r>
      <w:r>
        <w:rPr>
          <w:rFonts w:ascii="Arial" w:cs="Arial" w:eastAsia="Arial" w:hAnsi="Arial"/>
          <w:sz w:val="17"/>
          <w:szCs w:val="17"/>
          <w:b w:val="1"/>
          <w:bCs w:val="1"/>
          <w:color w:val="auto"/>
        </w:rPr>
        <w:t xml:space="preserve"> “Common Stock”</w:t>
      </w:r>
      <w:r>
        <w:rPr>
          <w:rFonts w:ascii="Arial" w:cs="Arial" w:eastAsia="Arial" w:hAnsi="Arial"/>
          <w:sz w:val="17"/>
          <w:szCs w:val="17"/>
          <w:color w:val="auto"/>
        </w:rPr>
        <w:t>) of the Company.</w:t>
      </w:r>
    </w:p>
    <w:p>
      <w:pPr>
        <w:spacing w:after="0" w:line="168" w:lineRule="exact"/>
        <w:rPr>
          <w:rFonts w:ascii="Arial" w:cs="Arial" w:eastAsia="Arial" w:hAnsi="Arial"/>
          <w:sz w:val="17"/>
          <w:szCs w:val="17"/>
          <w:color w:val="auto"/>
        </w:rPr>
      </w:pPr>
    </w:p>
    <w:p>
      <w:pPr>
        <w:ind w:right="940" w:firstLine="656"/>
        <w:spacing w:after="0" w:line="277" w:lineRule="auto"/>
        <w:tabs>
          <w:tab w:leader="none" w:pos="13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Securities Purchase Agreement provides for the execution and delivery of this Agreement at the closing of the transactions contemplated thereby.</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in consideration of the representations, warranties, covenants and conditions herein and in the Securities Purchase Agreement, the parties hereto hereby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As used in this Agreement:</w:t>
      </w:r>
    </w:p>
    <w:p>
      <w:pPr>
        <w:spacing w:after="0" w:line="221" w:lineRule="exact"/>
        <w:rPr>
          <w:sz w:val="20"/>
          <w:szCs w:val="20"/>
          <w:color w:val="auto"/>
        </w:rPr>
      </w:pPr>
    </w:p>
    <w:p>
      <w:pPr>
        <w:ind w:left="1320" w:hanging="664"/>
        <w:spacing w:after="0"/>
        <w:tabs>
          <w:tab w:leader="none" w:pos="13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“Additional Adjustment Rights” </w:t>
      </w:r>
      <w:r>
        <w:rPr>
          <w:rFonts w:ascii="Arial" w:cs="Arial" w:eastAsia="Arial" w:hAnsi="Arial"/>
          <w:sz w:val="18"/>
          <w:szCs w:val="18"/>
          <w:color w:val="auto"/>
        </w:rPr>
        <w:t>has the meaning set forth in Section 2.3 of the Securities Purchase Agreement.</w:t>
      </w:r>
    </w:p>
    <w:p>
      <w:pPr>
        <w:spacing w:after="0" w:line="225" w:lineRule="exact"/>
        <w:rPr>
          <w:rFonts w:ascii="Arial" w:cs="Arial" w:eastAsia="Arial" w:hAnsi="Arial"/>
          <w:sz w:val="18"/>
          <w:szCs w:val="18"/>
          <w:color w:val="auto"/>
        </w:rPr>
      </w:pPr>
    </w:p>
    <w:p>
      <w:pPr>
        <w:ind w:right="80" w:firstLine="656"/>
        <w:spacing w:after="0" w:line="277" w:lineRule="auto"/>
        <w:tabs>
          <w:tab w:leader="none" w:pos="1304"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 xml:space="preserve">“Affiliate” </w:t>
      </w:r>
      <w:r>
        <w:rPr>
          <w:rFonts w:ascii="Arial" w:cs="Arial" w:eastAsia="Arial" w:hAnsi="Arial"/>
          <w:sz w:val="17"/>
          <w:szCs w:val="17"/>
          <w:color w:val="auto"/>
        </w:rPr>
        <w:t>means, with respect to any Person, any Person directly or indirectly controlling, controlled by, or under common control with,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such other Person. For purposes of this definition, </w:t>
      </w:r>
      <w:r>
        <w:rPr>
          <w:rFonts w:ascii="Arial" w:cs="Arial" w:eastAsia="Arial" w:hAnsi="Arial"/>
          <w:sz w:val="17"/>
          <w:szCs w:val="17"/>
          <w:b w:val="1"/>
          <w:bCs w:val="1"/>
          <w:color w:val="auto"/>
        </w:rPr>
        <w:t>“control”</w:t>
      </w:r>
      <w:r>
        <w:rPr>
          <w:rFonts w:ascii="Arial" w:cs="Arial" w:eastAsia="Arial" w:hAnsi="Arial"/>
          <w:sz w:val="17"/>
          <w:szCs w:val="17"/>
          <w:color w:val="auto"/>
        </w:rPr>
        <w:t xml:space="preserve"> when used with respect to any Person, means the possession, directly or indirectly, of the power to direct or cause the direction of the management and policies of such Person, whether through the ownership of voting securities, by contract or otherwise; the terms </w:t>
      </w:r>
      <w:r>
        <w:rPr>
          <w:rFonts w:ascii="Arial" w:cs="Arial" w:eastAsia="Arial" w:hAnsi="Arial"/>
          <w:sz w:val="17"/>
          <w:szCs w:val="17"/>
          <w:b w:val="1"/>
          <w:bCs w:val="1"/>
          <w:color w:val="auto"/>
        </w:rPr>
        <w:t>“controlling”</w:t>
      </w:r>
      <w:r>
        <w:rPr>
          <w:rFonts w:ascii="Arial" w:cs="Arial" w:eastAsia="Arial" w:hAnsi="Arial"/>
          <w:sz w:val="17"/>
          <w:szCs w:val="17"/>
          <w:color w:val="auto"/>
        </w:rPr>
        <w:t xml:space="preserve"> and </w:t>
      </w:r>
      <w:r>
        <w:rPr>
          <w:rFonts w:ascii="Arial" w:cs="Arial" w:eastAsia="Arial" w:hAnsi="Arial"/>
          <w:sz w:val="17"/>
          <w:szCs w:val="17"/>
          <w:b w:val="1"/>
          <w:bCs w:val="1"/>
          <w:color w:val="auto"/>
        </w:rPr>
        <w:t>“controlled”</w:t>
      </w:r>
      <w:r>
        <w:rPr>
          <w:rFonts w:ascii="Arial" w:cs="Arial" w:eastAsia="Arial" w:hAnsi="Arial"/>
          <w:sz w:val="17"/>
          <w:szCs w:val="17"/>
          <w:color w:val="auto"/>
        </w:rPr>
        <w:t xml:space="preserve"> have meanings correlative to the foregoing. Notwithstanding the above, unless expressly provided to the contrary herein, the term Affiliate shall exclude officers, directors and any employee benefit plan or pension plan of a Person.</w:t>
      </w:r>
    </w:p>
    <w:p>
      <w:pPr>
        <w:spacing w:after="0" w:line="168" w:lineRule="exact"/>
        <w:rPr>
          <w:rFonts w:ascii="Arial" w:cs="Arial" w:eastAsia="Arial" w:hAnsi="Arial"/>
          <w:sz w:val="17"/>
          <w:szCs w:val="17"/>
          <w:color w:val="auto"/>
        </w:rPr>
      </w:pPr>
    </w:p>
    <w:p>
      <w:pPr>
        <w:ind w:right="60" w:firstLine="656"/>
        <w:spacing w:after="0" w:line="282" w:lineRule="auto"/>
        <w:tabs>
          <w:tab w:leader="none" w:pos="1307"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“Beneficial ownership” </w:t>
      </w:r>
      <w:r>
        <w:rPr>
          <w:rFonts w:ascii="Arial" w:cs="Arial" w:eastAsia="Arial" w:hAnsi="Arial"/>
          <w:sz w:val="18"/>
          <w:szCs w:val="18"/>
          <w:color w:val="auto"/>
        </w:rPr>
        <w:t>or</w:t>
      </w:r>
      <w:r>
        <w:rPr>
          <w:rFonts w:ascii="Arial" w:cs="Arial" w:eastAsia="Arial" w:hAnsi="Arial"/>
          <w:sz w:val="18"/>
          <w:szCs w:val="18"/>
          <w:b w:val="1"/>
          <w:bCs w:val="1"/>
          <w:color w:val="auto"/>
        </w:rPr>
        <w:t xml:space="preserve"> “beneficial owner” </w:t>
      </w:r>
      <w:r>
        <w:rPr>
          <w:rFonts w:ascii="Arial" w:cs="Arial" w:eastAsia="Arial" w:hAnsi="Arial"/>
          <w:sz w:val="18"/>
          <w:szCs w:val="18"/>
          <w:color w:val="auto"/>
        </w:rPr>
        <w:t>has the meaning provided in Rule 13d-3 promulgated under the Exchange Act. 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to ownership of Voting Securities hereunder mean beneficial ownership.</w:t>
      </w:r>
    </w:p>
    <w:p>
      <w:pPr>
        <w:spacing w:after="0" w:line="161" w:lineRule="exact"/>
        <w:rPr>
          <w:rFonts w:ascii="Arial" w:cs="Arial" w:eastAsia="Arial" w:hAnsi="Arial"/>
          <w:sz w:val="18"/>
          <w:szCs w:val="18"/>
          <w:color w:val="auto"/>
        </w:rPr>
      </w:pPr>
    </w:p>
    <w:p>
      <w:pPr>
        <w:ind w:left="1320" w:hanging="664"/>
        <w:spacing w:after="0"/>
        <w:tabs>
          <w:tab w:leader="none" w:pos="13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“Business Agreement” </w:t>
      </w:r>
      <w:r>
        <w:rPr>
          <w:rFonts w:ascii="Arial" w:cs="Arial" w:eastAsia="Arial" w:hAnsi="Arial"/>
          <w:sz w:val="18"/>
          <w:szCs w:val="18"/>
          <w:color w:val="auto"/>
        </w:rPr>
        <w:t>means that certain Business Agreement dated the date hereof between Intel Corporation and Micron.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120" w:firstLine="656"/>
        <w:spacing w:after="0" w:line="261" w:lineRule="auto"/>
        <w:tabs>
          <w:tab w:leader="none" w:pos="1307"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“Change in Control of Micron” </w:t>
      </w:r>
      <w:r>
        <w:rPr>
          <w:rFonts w:ascii="Arial" w:cs="Arial" w:eastAsia="Arial" w:hAnsi="Arial"/>
          <w:sz w:val="18"/>
          <w:szCs w:val="18"/>
          <w:color w:val="auto"/>
        </w:rPr>
        <w:t>shall mean a merger, consolidation or other business combination or the sale of all or substantially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assets of Micron (other than a transaction pursuant to which the holders of the voting stock of Micron outstanding immediately prior to such transaction have the entitlement to exercise, directly or indirectly, fifty percent (50%) or more of the Total Voting Power of the continuing, surviving entity or transferee immediately after such transaction).</w:t>
      </w:r>
    </w:p>
    <w:p>
      <w:pPr>
        <w:spacing w:after="0" w:line="180" w:lineRule="exact"/>
        <w:rPr>
          <w:rFonts w:ascii="Arial" w:cs="Arial" w:eastAsia="Arial" w:hAnsi="Arial"/>
          <w:sz w:val="18"/>
          <w:szCs w:val="18"/>
          <w:color w:val="auto"/>
        </w:rPr>
      </w:pPr>
    </w:p>
    <w:p>
      <w:pPr>
        <w:ind w:left="1320" w:hanging="664"/>
        <w:spacing w:after="0"/>
        <w:tabs>
          <w:tab w:leader="none" w:pos="132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has the meaning set forth in paragraph A of the Recitals hereto.</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“Demand Registration Statement” </w:t>
      </w:r>
      <w:r>
        <w:rPr>
          <w:rFonts w:ascii="Arial" w:cs="Arial" w:eastAsia="Arial" w:hAnsi="Arial"/>
          <w:sz w:val="18"/>
          <w:szCs w:val="18"/>
          <w:color w:val="auto"/>
        </w:rPr>
        <w:t>has the meaning set forth in Section 4.1(a).</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“Demand Request” </w:t>
      </w:r>
      <w:r>
        <w:rPr>
          <w:rFonts w:ascii="Arial" w:cs="Arial" w:eastAsia="Arial" w:hAnsi="Arial"/>
          <w:sz w:val="18"/>
          <w:szCs w:val="18"/>
          <w:color w:val="auto"/>
        </w:rPr>
        <w:t>has the meaning set forth in Section 4.1(a).</w:t>
      </w:r>
    </w:p>
    <w:p>
      <w:pPr>
        <w:sectPr>
          <w:pgSz w:w="11900" w:h="16838" w:orient="portrait"/>
          <w:cols w:equalWidth="0" w:num="1">
            <w:col w:w="11400"/>
          </w:cols>
          <w:pgMar w:left="240" w:top="341" w:right="259" w:bottom="0" w:gutter="0" w:footer="0" w:header="0"/>
        </w:sectPr>
      </w:pPr>
    </w:p>
    <w:bookmarkStart w:id="32" w:name="page33"/>
    <w:bookmarkEnd w:id="32"/>
    <w:p>
      <w:pPr>
        <w:ind w:left="1300" w:hanging="66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“Demand/Tranche Managing Underwriters” </w:t>
      </w:r>
      <w:r>
        <w:rPr>
          <w:rFonts w:ascii="Arial" w:cs="Arial" w:eastAsia="Arial" w:hAnsi="Arial"/>
          <w:sz w:val="18"/>
          <w:szCs w:val="18"/>
          <w:color w:val="auto"/>
        </w:rPr>
        <w:t>has the meaning set forth in Section 4.4(c).</w:t>
      </w:r>
    </w:p>
    <w:p>
      <w:pPr>
        <w:spacing w:after="0" w:line="225" w:lineRule="exact"/>
        <w:rPr>
          <w:rFonts w:ascii="Arial" w:cs="Arial" w:eastAsia="Arial" w:hAnsi="Arial"/>
          <w:sz w:val="18"/>
          <w:szCs w:val="18"/>
          <w:color w:val="auto"/>
        </w:rPr>
      </w:pPr>
    </w:p>
    <w:p>
      <w:pPr>
        <w:ind w:left="1300" w:hanging="66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“Demand/Tranche Market Cut-Back” </w:t>
      </w:r>
      <w:r>
        <w:rPr>
          <w:rFonts w:ascii="Arial" w:cs="Arial" w:eastAsia="Arial" w:hAnsi="Arial"/>
          <w:sz w:val="18"/>
          <w:szCs w:val="18"/>
          <w:color w:val="auto"/>
        </w:rPr>
        <w:t>has the meaning set forth in Section 4.4(d).</w:t>
      </w:r>
    </w:p>
    <w:p>
      <w:pPr>
        <w:spacing w:after="0" w:line="225" w:lineRule="exact"/>
        <w:rPr>
          <w:rFonts w:ascii="Arial" w:cs="Arial" w:eastAsia="Arial" w:hAnsi="Arial"/>
          <w:sz w:val="18"/>
          <w:szCs w:val="18"/>
          <w:color w:val="auto"/>
        </w:rPr>
      </w:pPr>
    </w:p>
    <w:p>
      <w:pPr>
        <w:ind w:left="1300" w:hanging="66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as amended.</w:t>
      </w:r>
    </w:p>
    <w:p>
      <w:pPr>
        <w:spacing w:after="0" w:line="225" w:lineRule="exact"/>
        <w:rPr>
          <w:rFonts w:ascii="Arial" w:cs="Arial" w:eastAsia="Arial" w:hAnsi="Arial"/>
          <w:sz w:val="18"/>
          <w:szCs w:val="18"/>
          <w:color w:val="auto"/>
        </w:rPr>
      </w:pPr>
    </w:p>
    <w:p>
      <w:pPr>
        <w:jc w:val="both"/>
        <w:ind w:left="-20" w:right="120" w:firstLine="656"/>
        <w:spacing w:after="0" w:line="266" w:lineRule="auto"/>
        <w:tabs>
          <w:tab w:leader="none" w:pos="1298"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or</w:t>
      </w:r>
      <w:r>
        <w:rPr>
          <w:rFonts w:ascii="Arial" w:cs="Arial" w:eastAsia="Arial" w:hAnsi="Arial"/>
          <w:sz w:val="18"/>
          <w:szCs w:val="18"/>
          <w:b w:val="1"/>
          <w:bCs w:val="1"/>
          <w:color w:val="auto"/>
        </w:rPr>
        <w:t xml:space="preserve"> “group” </w:t>
      </w:r>
      <w:r>
        <w:rPr>
          <w:rFonts w:ascii="Arial" w:cs="Arial" w:eastAsia="Arial" w:hAnsi="Arial"/>
          <w:sz w:val="18"/>
          <w:szCs w:val="18"/>
          <w:color w:val="auto"/>
        </w:rPr>
        <w:t>shall have the meaning provided in Section 13(d)(3) of the Exchange Act and the rules and regulations promulgated</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but shall exclude any institutional underwriter purchasing Voting Securities of Micron in connection with an underwritten registered offering for purposes of a distribution of such securities.</w:t>
      </w:r>
    </w:p>
    <w:p>
      <w:pPr>
        <w:spacing w:after="0" w:line="176" w:lineRule="exact"/>
        <w:rPr>
          <w:rFonts w:ascii="Arial" w:cs="Arial" w:eastAsia="Arial" w:hAnsi="Arial"/>
          <w:sz w:val="18"/>
          <w:szCs w:val="18"/>
          <w:color w:val="auto"/>
        </w:rPr>
      </w:pPr>
    </w:p>
    <w:p>
      <w:pPr>
        <w:ind w:left="-20" w:right="80" w:firstLine="656"/>
        <w:spacing w:after="0" w:line="282" w:lineRule="auto"/>
        <w:tabs>
          <w:tab w:leader="none" w:pos="1307"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“Hedging Transactions” </w:t>
      </w:r>
      <w:r>
        <w:rPr>
          <w:rFonts w:ascii="Arial" w:cs="Arial" w:eastAsia="Arial" w:hAnsi="Arial"/>
          <w:sz w:val="18"/>
          <w:szCs w:val="18"/>
          <w:color w:val="auto"/>
        </w:rPr>
        <w:t>means engaging in short sales and the purchase and sale of puts and calls and other derivative securities, so long</w:t>
      </w:r>
      <w:r>
        <w:rPr>
          <w:rFonts w:ascii="Arial" w:cs="Arial" w:eastAsia="Arial" w:hAnsi="Arial"/>
          <w:sz w:val="18"/>
          <w:szCs w:val="18"/>
          <w:b w:val="1"/>
          <w:bCs w:val="1"/>
          <w:color w:val="auto"/>
        </w:rPr>
        <w:t xml:space="preserve"> </w:t>
      </w:r>
      <w:r>
        <w:rPr>
          <w:rFonts w:ascii="Arial" w:cs="Arial" w:eastAsia="Arial" w:hAnsi="Arial"/>
          <w:sz w:val="18"/>
          <w:szCs w:val="18"/>
          <w:color w:val="auto"/>
        </w:rPr>
        <w:t>as Intel Capital retains beneficial ownership of the Shares.</w:t>
      </w:r>
    </w:p>
    <w:p>
      <w:pPr>
        <w:spacing w:after="0" w:line="161" w:lineRule="exact"/>
        <w:rPr>
          <w:rFonts w:ascii="Arial" w:cs="Arial" w:eastAsia="Arial" w:hAnsi="Arial"/>
          <w:sz w:val="18"/>
          <w:szCs w:val="18"/>
          <w:color w:val="auto"/>
        </w:rPr>
      </w:pPr>
    </w:p>
    <w:p>
      <w:pPr>
        <w:ind w:left="1300" w:hanging="66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“Indemnified Party” </w:t>
      </w:r>
      <w:r>
        <w:rPr>
          <w:rFonts w:ascii="Arial" w:cs="Arial" w:eastAsia="Arial" w:hAnsi="Arial"/>
          <w:sz w:val="18"/>
          <w:szCs w:val="18"/>
          <w:color w:val="auto"/>
        </w:rPr>
        <w:t>has the meaning set forth in Section 4.6(c).</w:t>
      </w:r>
    </w:p>
    <w:p>
      <w:pPr>
        <w:spacing w:after="0" w:line="225" w:lineRule="exact"/>
        <w:rPr>
          <w:rFonts w:ascii="Arial" w:cs="Arial" w:eastAsia="Arial" w:hAnsi="Arial"/>
          <w:sz w:val="18"/>
          <w:szCs w:val="18"/>
          <w:color w:val="auto"/>
        </w:rPr>
      </w:pPr>
    </w:p>
    <w:p>
      <w:pPr>
        <w:ind w:left="1300" w:hanging="66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“Indemnifying Party” </w:t>
      </w:r>
      <w:r>
        <w:rPr>
          <w:rFonts w:ascii="Arial" w:cs="Arial" w:eastAsia="Arial" w:hAnsi="Arial"/>
          <w:sz w:val="18"/>
          <w:szCs w:val="18"/>
          <w:color w:val="auto"/>
        </w:rPr>
        <w:t>has the meaning set forth in Section 4.6(c).</w:t>
      </w:r>
    </w:p>
    <w:p>
      <w:pPr>
        <w:spacing w:after="0" w:line="225" w:lineRule="exact"/>
        <w:rPr>
          <w:rFonts w:ascii="Arial" w:cs="Arial" w:eastAsia="Arial" w:hAnsi="Arial"/>
          <w:sz w:val="18"/>
          <w:szCs w:val="18"/>
          <w:color w:val="auto"/>
        </w:rPr>
      </w:pPr>
    </w:p>
    <w:p>
      <w:pPr>
        <w:ind w:left="1300" w:hanging="66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“Intel Capital Public Offering Lock-up” </w:t>
      </w:r>
      <w:r>
        <w:rPr>
          <w:rFonts w:ascii="Arial" w:cs="Arial" w:eastAsia="Arial" w:hAnsi="Arial"/>
          <w:sz w:val="18"/>
          <w:szCs w:val="18"/>
          <w:color w:val="auto"/>
        </w:rPr>
        <w:t>has the meaning set forth in Section 4.9(a).</w:t>
      </w:r>
    </w:p>
    <w:p>
      <w:pPr>
        <w:spacing w:after="0" w:line="225" w:lineRule="exact"/>
        <w:rPr>
          <w:rFonts w:ascii="Arial" w:cs="Arial" w:eastAsia="Arial" w:hAnsi="Arial"/>
          <w:sz w:val="18"/>
          <w:szCs w:val="18"/>
          <w:color w:val="auto"/>
        </w:rPr>
      </w:pPr>
    </w:p>
    <w:p>
      <w:pPr>
        <w:ind w:left="1300" w:hanging="66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“Issuance Date” </w:t>
      </w:r>
      <w:r>
        <w:rPr>
          <w:rFonts w:ascii="Arial" w:cs="Arial" w:eastAsia="Arial" w:hAnsi="Arial"/>
          <w:sz w:val="18"/>
          <w:szCs w:val="18"/>
          <w:color w:val="auto"/>
        </w:rPr>
        <w:t>has the meaning set forth in Section 4.10(b).</w:t>
      </w:r>
    </w:p>
    <w:p>
      <w:pPr>
        <w:spacing w:after="0" w:line="225" w:lineRule="exact"/>
        <w:rPr>
          <w:rFonts w:ascii="Arial" w:cs="Arial" w:eastAsia="Arial" w:hAnsi="Arial"/>
          <w:sz w:val="18"/>
          <w:szCs w:val="18"/>
          <w:color w:val="auto"/>
        </w:rPr>
      </w:pPr>
    </w:p>
    <w:p>
      <w:pPr>
        <w:ind w:left="1300" w:hanging="66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“Micron Public Offering Lock-up” </w:t>
      </w:r>
      <w:r>
        <w:rPr>
          <w:rFonts w:ascii="Arial" w:cs="Arial" w:eastAsia="Arial" w:hAnsi="Arial"/>
          <w:sz w:val="18"/>
          <w:szCs w:val="18"/>
          <w:color w:val="auto"/>
        </w:rPr>
        <w:t>has the meanings specified in Section 4.9(b).</w:t>
      </w:r>
    </w:p>
    <w:p>
      <w:pPr>
        <w:spacing w:after="0" w:line="225" w:lineRule="exact"/>
        <w:rPr>
          <w:rFonts w:ascii="Arial" w:cs="Arial" w:eastAsia="Arial" w:hAnsi="Arial"/>
          <w:sz w:val="18"/>
          <w:szCs w:val="18"/>
          <w:color w:val="auto"/>
        </w:rPr>
      </w:pPr>
    </w:p>
    <w:p>
      <w:pPr>
        <w:ind w:left="1280" w:hanging="644"/>
        <w:spacing w:after="0"/>
        <w:tabs>
          <w:tab w:leader="none" w:pos="128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has the meaning set forth in Section 3.1(b).</w:t>
      </w:r>
    </w:p>
    <w:p>
      <w:pPr>
        <w:spacing w:after="0" w:line="225" w:lineRule="exact"/>
        <w:rPr>
          <w:rFonts w:ascii="Arial" w:cs="Arial" w:eastAsia="Arial" w:hAnsi="Arial"/>
          <w:sz w:val="18"/>
          <w:szCs w:val="18"/>
          <w:color w:val="auto"/>
        </w:rPr>
      </w:pPr>
    </w:p>
    <w:p>
      <w:pPr>
        <w:ind w:left="-20" w:right="180" w:firstLine="656"/>
        <w:spacing w:after="0" w:line="282" w:lineRule="auto"/>
        <w:tabs>
          <w:tab w:leader="none" w:pos="1284"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shall mean any person, individual, corporation, partnership, trust or other nongovernmental entity or any governmental agency,</w:t>
      </w:r>
      <w:r>
        <w:rPr>
          <w:rFonts w:ascii="Arial" w:cs="Arial" w:eastAsia="Arial" w:hAnsi="Arial"/>
          <w:sz w:val="18"/>
          <w:szCs w:val="18"/>
          <w:b w:val="1"/>
          <w:bCs w:val="1"/>
          <w:color w:val="auto"/>
        </w:rPr>
        <w:t xml:space="preserve"> </w:t>
      </w:r>
      <w:r>
        <w:rPr>
          <w:rFonts w:ascii="Arial" w:cs="Arial" w:eastAsia="Arial" w:hAnsi="Arial"/>
          <w:sz w:val="18"/>
          <w:szCs w:val="18"/>
          <w:color w:val="auto"/>
        </w:rPr>
        <w:t>court, authority or other body (whether foreign, federal, state, local or otherwise).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267575"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300" w:hanging="66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“Piggyback Market Cut-Back” </w:t>
      </w:r>
      <w:r>
        <w:rPr>
          <w:rFonts w:ascii="Arial" w:cs="Arial" w:eastAsia="Arial" w:hAnsi="Arial"/>
          <w:sz w:val="18"/>
          <w:szCs w:val="18"/>
          <w:color w:val="auto"/>
        </w:rPr>
        <w:t>has the meaning set forth in Section 4.3(c).</w:t>
      </w:r>
    </w:p>
    <w:p>
      <w:pPr>
        <w:spacing w:after="0" w:line="225" w:lineRule="exact"/>
        <w:rPr>
          <w:rFonts w:ascii="Arial" w:cs="Arial" w:eastAsia="Arial" w:hAnsi="Arial"/>
          <w:sz w:val="18"/>
          <w:szCs w:val="18"/>
          <w:color w:val="auto"/>
        </w:rPr>
      </w:pPr>
    </w:p>
    <w:p>
      <w:pPr>
        <w:ind w:left="1300" w:hanging="66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“Piggyback Registrable Securities” </w:t>
      </w:r>
      <w:r>
        <w:rPr>
          <w:rFonts w:ascii="Arial" w:cs="Arial" w:eastAsia="Arial" w:hAnsi="Arial"/>
          <w:sz w:val="18"/>
          <w:szCs w:val="18"/>
          <w:color w:val="auto"/>
        </w:rPr>
        <w:t>has the meaning set forth in Section 4.3(a).</w:t>
      </w:r>
    </w:p>
    <w:p>
      <w:pPr>
        <w:spacing w:after="0" w:line="225" w:lineRule="exact"/>
        <w:rPr>
          <w:rFonts w:ascii="Arial" w:cs="Arial" w:eastAsia="Arial" w:hAnsi="Arial"/>
          <w:sz w:val="18"/>
          <w:szCs w:val="18"/>
          <w:color w:val="auto"/>
        </w:rPr>
      </w:pPr>
    </w:p>
    <w:p>
      <w:pPr>
        <w:ind w:left="1300" w:hanging="66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“Piggyback Registration Statement” </w:t>
      </w:r>
      <w:r>
        <w:rPr>
          <w:rFonts w:ascii="Arial" w:cs="Arial" w:eastAsia="Arial" w:hAnsi="Arial"/>
          <w:sz w:val="18"/>
          <w:szCs w:val="18"/>
          <w:color w:val="auto"/>
        </w:rPr>
        <w:t>has the meaning set forth in Section 4.3(a).</w:t>
      </w:r>
    </w:p>
    <w:p>
      <w:pPr>
        <w:spacing w:after="0" w:line="225" w:lineRule="exact"/>
        <w:rPr>
          <w:rFonts w:ascii="Arial" w:cs="Arial" w:eastAsia="Arial" w:hAnsi="Arial"/>
          <w:sz w:val="18"/>
          <w:szCs w:val="18"/>
          <w:color w:val="auto"/>
        </w:rPr>
      </w:pPr>
    </w:p>
    <w:p>
      <w:pPr>
        <w:ind w:left="1320" w:hanging="684"/>
        <w:spacing w:after="0"/>
        <w:tabs>
          <w:tab w:leader="none" w:pos="13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“Piggyback Request” </w:t>
      </w:r>
      <w:r>
        <w:rPr>
          <w:rFonts w:ascii="Arial" w:cs="Arial" w:eastAsia="Arial" w:hAnsi="Arial"/>
          <w:sz w:val="18"/>
          <w:szCs w:val="18"/>
          <w:color w:val="auto"/>
        </w:rPr>
        <w:t>has the meaning set forth in Section 4.3(a).</w:t>
      </w:r>
    </w:p>
    <w:p>
      <w:pPr>
        <w:spacing w:after="0" w:line="225" w:lineRule="exact"/>
        <w:rPr>
          <w:rFonts w:ascii="Arial" w:cs="Arial" w:eastAsia="Arial" w:hAnsi="Arial"/>
          <w:sz w:val="18"/>
          <w:szCs w:val="18"/>
          <w:color w:val="auto"/>
        </w:rPr>
      </w:pPr>
    </w:p>
    <w:p>
      <w:pPr>
        <w:ind w:left="1300" w:hanging="66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“Piggyback Underwriting Agreement” </w:t>
      </w:r>
      <w:r>
        <w:rPr>
          <w:rFonts w:ascii="Arial" w:cs="Arial" w:eastAsia="Arial" w:hAnsi="Arial"/>
          <w:sz w:val="18"/>
          <w:szCs w:val="18"/>
          <w:color w:val="auto"/>
        </w:rPr>
        <w:t>has the meaning set forth in Section 4.3(b).</w:t>
      </w:r>
    </w:p>
    <w:p>
      <w:pPr>
        <w:spacing w:after="0" w:line="225" w:lineRule="exact"/>
        <w:rPr>
          <w:rFonts w:ascii="Arial" w:cs="Arial" w:eastAsia="Arial" w:hAnsi="Arial"/>
          <w:sz w:val="18"/>
          <w:szCs w:val="18"/>
          <w:color w:val="auto"/>
        </w:rPr>
      </w:pPr>
    </w:p>
    <w:p>
      <w:pPr>
        <w:ind w:left="-20" w:right="220" w:firstLine="656"/>
        <w:spacing w:after="0" w:line="282" w:lineRule="auto"/>
        <w:tabs>
          <w:tab w:leader="none" w:pos="1301"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“Qualified Subsidiary” </w:t>
      </w:r>
      <w:r>
        <w:rPr>
          <w:rFonts w:ascii="Arial" w:cs="Arial" w:eastAsia="Arial" w:hAnsi="Arial"/>
          <w:sz w:val="18"/>
          <w:szCs w:val="18"/>
          <w:color w:val="auto"/>
        </w:rPr>
        <w:t>shall mean a corporation or other Person, at least 90% of the outstanding Voting Securities of which are owned,</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or indirectly, by Parent.</w:t>
      </w:r>
    </w:p>
    <w:p>
      <w:pPr>
        <w:spacing w:after="0" w:line="162" w:lineRule="exact"/>
        <w:rPr>
          <w:sz w:val="20"/>
          <w:szCs w:val="20"/>
          <w:color w:val="auto"/>
        </w:rPr>
      </w:pPr>
    </w:p>
    <w:p>
      <w:pPr>
        <w:ind w:left="-20" w:right="160" w:firstLine="656"/>
        <w:spacing w:after="0" w:line="282" w:lineRule="auto"/>
        <w:tabs>
          <w:tab w:leader="none" w:pos="1286"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“Register,” “registered” </w:t>
      </w:r>
      <w:r>
        <w:rPr>
          <w:rFonts w:ascii="Arial" w:cs="Arial" w:eastAsia="Arial" w:hAnsi="Arial"/>
          <w:sz w:val="18"/>
          <w:szCs w:val="18"/>
          <w:color w:val="auto"/>
        </w:rPr>
        <w:t>and</w:t>
      </w:r>
      <w:r>
        <w:rPr>
          <w:rFonts w:ascii="Arial" w:cs="Arial" w:eastAsia="Arial" w:hAnsi="Arial"/>
          <w:sz w:val="18"/>
          <w:szCs w:val="18"/>
          <w:b w:val="1"/>
          <w:bCs w:val="1"/>
          <w:color w:val="auto"/>
        </w:rPr>
        <w:t xml:space="preserve"> “registration” </w:t>
      </w:r>
      <w:r>
        <w:rPr>
          <w:rFonts w:ascii="Arial" w:cs="Arial" w:eastAsia="Arial" w:hAnsi="Arial"/>
          <w:sz w:val="18"/>
          <w:szCs w:val="18"/>
          <w:color w:val="auto"/>
        </w:rPr>
        <w:t>refer to a registration effected by preparing and filing a registration statement in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Securities Act, and the declaration or ordering of the effectiveness of such registration statement.</w:t>
      </w:r>
    </w:p>
    <w:p>
      <w:pPr>
        <w:spacing w:after="0" w:line="161" w:lineRule="exact"/>
        <w:rPr>
          <w:rFonts w:ascii="Arial" w:cs="Arial" w:eastAsia="Arial" w:hAnsi="Arial"/>
          <w:sz w:val="18"/>
          <w:szCs w:val="18"/>
          <w:color w:val="auto"/>
        </w:rPr>
      </w:pPr>
    </w:p>
    <w:p>
      <w:pPr>
        <w:ind w:left="-20" w:firstLine="656"/>
        <w:spacing w:after="0" w:line="255" w:lineRule="auto"/>
        <w:tabs>
          <w:tab w:leader="none" w:pos="1279"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“Registrable Securities” </w:t>
      </w:r>
      <w:r>
        <w:rPr>
          <w:rFonts w:ascii="Arial" w:cs="Arial" w:eastAsia="Arial" w:hAnsi="Arial"/>
          <w:sz w:val="18"/>
          <w:szCs w:val="18"/>
          <w:color w:val="auto"/>
        </w:rPr>
        <w:t>means (i) (1) all the shares of Common Stock of Micron issued or issuable upon conversion, exchange or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Rights or any Additional Adjustment Rights (as defined in the Securities Purchase Agreement), and (2) any shares of Common Stock of Micron issued as (or issuable upon the conversion, exchange or exercise of any warrant, right or other security which is issued as) a dividend or other distribution with respect to, or in exchange for or in replacement of, any such securities described in clause (1) of this subsection (bb). Notwithstanding the foregoing, Registrable Securities shall exclude any Registrable Securities sold by a Person in a transaction in which rights under Section 4 hereof are not assigned in accordance with this Agreement or any Registrable Securities sold in a public offering, whether sold pursuant to Rule 144 promulgated under the Securities Act, in a registered offering, or otherwise.</w:t>
      </w:r>
    </w:p>
    <w:p>
      <w:pPr>
        <w:spacing w:after="0" w:line="189" w:lineRule="exact"/>
        <w:rPr>
          <w:rFonts w:ascii="Arial" w:cs="Arial" w:eastAsia="Arial" w:hAnsi="Arial"/>
          <w:sz w:val="18"/>
          <w:szCs w:val="18"/>
          <w:color w:val="auto"/>
        </w:rPr>
      </w:pPr>
    </w:p>
    <w:p>
      <w:pPr>
        <w:ind w:left="1300" w:hanging="66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“Registration Expenses” </w:t>
      </w:r>
      <w:r>
        <w:rPr>
          <w:rFonts w:ascii="Arial" w:cs="Arial" w:eastAsia="Arial" w:hAnsi="Arial"/>
          <w:sz w:val="18"/>
          <w:szCs w:val="18"/>
          <w:color w:val="auto"/>
        </w:rPr>
        <w:t>has the meaning set forth in Section 4.5(a).</w:t>
      </w:r>
    </w:p>
    <w:p>
      <w:pPr>
        <w:spacing w:after="0" w:line="225" w:lineRule="exact"/>
        <w:rPr>
          <w:rFonts w:ascii="Arial" w:cs="Arial" w:eastAsia="Arial" w:hAnsi="Arial"/>
          <w:sz w:val="18"/>
          <w:szCs w:val="18"/>
          <w:color w:val="auto"/>
        </w:rPr>
      </w:pPr>
    </w:p>
    <w:p>
      <w:pPr>
        <w:ind w:left="1280" w:hanging="644"/>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“Restricted Securities” </w:t>
      </w:r>
      <w:r>
        <w:rPr>
          <w:rFonts w:ascii="Arial" w:cs="Arial" w:eastAsia="Arial" w:hAnsi="Arial"/>
          <w:sz w:val="18"/>
          <w:szCs w:val="18"/>
          <w:color w:val="auto"/>
        </w:rPr>
        <w:t>has the meaning set forth in Section 3.2(a).</w:t>
      </w:r>
    </w:p>
    <w:p>
      <w:pPr>
        <w:spacing w:after="0" w:line="225" w:lineRule="exact"/>
        <w:rPr>
          <w:rFonts w:ascii="Arial" w:cs="Arial" w:eastAsia="Arial" w:hAnsi="Arial"/>
          <w:sz w:val="18"/>
          <w:szCs w:val="18"/>
          <w:color w:val="auto"/>
        </w:rPr>
      </w:pPr>
    </w:p>
    <w:p>
      <w:pPr>
        <w:ind w:left="1300" w:hanging="66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“Rights” </w:t>
      </w:r>
      <w:r>
        <w:rPr>
          <w:rFonts w:ascii="Arial" w:cs="Arial" w:eastAsia="Arial" w:hAnsi="Arial"/>
          <w:sz w:val="18"/>
          <w:szCs w:val="18"/>
          <w:color w:val="auto"/>
        </w:rPr>
        <w:t>has the meaning set forth in paragraph A of the recitals hereto.</w:t>
      </w:r>
    </w:p>
    <w:p>
      <w:pPr>
        <w:spacing w:after="0" w:line="225" w:lineRule="exact"/>
        <w:rPr>
          <w:rFonts w:ascii="Arial" w:cs="Arial" w:eastAsia="Arial" w:hAnsi="Arial"/>
          <w:sz w:val="18"/>
          <w:szCs w:val="18"/>
          <w:color w:val="auto"/>
        </w:rPr>
      </w:pPr>
    </w:p>
    <w:p>
      <w:pPr>
        <w:ind w:left="1300" w:hanging="664"/>
        <w:spacing w:after="0"/>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 xml:space="preserve">“SEC” </w:t>
      </w:r>
      <w:r>
        <w:rPr>
          <w:rFonts w:ascii="Arial" w:cs="Arial" w:eastAsia="Arial" w:hAnsi="Arial"/>
          <w:sz w:val="17"/>
          <w:szCs w:val="17"/>
          <w:color w:val="auto"/>
        </w:rPr>
        <w:t>means the Securities and Exchange Commission or any other federal agency at the time administering the Securities Act.</w:t>
      </w:r>
    </w:p>
    <w:p>
      <w:pPr>
        <w:spacing w:after="0" w:line="236" w:lineRule="exact"/>
        <w:rPr>
          <w:rFonts w:ascii="Arial" w:cs="Arial" w:eastAsia="Arial" w:hAnsi="Arial"/>
          <w:sz w:val="17"/>
          <w:szCs w:val="17"/>
          <w:color w:val="auto"/>
        </w:rPr>
      </w:pPr>
    </w:p>
    <w:p>
      <w:pPr>
        <w:ind w:left="1280" w:hanging="644"/>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Securities Act of 1933, as amended.</w:t>
      </w:r>
    </w:p>
    <w:p>
      <w:pPr>
        <w:spacing w:after="0" w:line="225" w:lineRule="exact"/>
        <w:rPr>
          <w:rFonts w:ascii="Arial" w:cs="Arial" w:eastAsia="Arial" w:hAnsi="Arial"/>
          <w:sz w:val="18"/>
          <w:szCs w:val="18"/>
          <w:color w:val="auto"/>
        </w:rPr>
      </w:pPr>
    </w:p>
    <w:p>
      <w:pPr>
        <w:ind w:left="1280" w:hanging="644"/>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“Securities Purchase Agreement” </w:t>
      </w:r>
      <w:r>
        <w:rPr>
          <w:rFonts w:ascii="Arial" w:cs="Arial" w:eastAsia="Arial" w:hAnsi="Arial"/>
          <w:sz w:val="18"/>
          <w:szCs w:val="18"/>
          <w:color w:val="auto"/>
        </w:rPr>
        <w:t>has the meaning set forth in paragraph A of the recitals hereto.</w:t>
      </w:r>
    </w:p>
    <w:p>
      <w:pPr>
        <w:spacing w:after="0" w:line="225" w:lineRule="exact"/>
        <w:rPr>
          <w:rFonts w:ascii="Arial" w:cs="Arial" w:eastAsia="Arial" w:hAnsi="Arial"/>
          <w:sz w:val="18"/>
          <w:szCs w:val="18"/>
          <w:color w:val="auto"/>
        </w:rPr>
      </w:pPr>
    </w:p>
    <w:p>
      <w:pPr>
        <w:ind w:left="-20" w:right="640" w:firstLine="656"/>
        <w:spacing w:after="0" w:line="282" w:lineRule="auto"/>
        <w:tabs>
          <w:tab w:leader="none" w:pos="1307"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means the shares of Common Stock of Micron issued or issuable upon exercise, exchange or conversion of the Rights or</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Adjustment Rights pursuant to the Securities Purchase Agreement and the Business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267575"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60" w:top="12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20" w:hanging="684"/>
        <w:spacing w:after="0"/>
        <w:tabs>
          <w:tab w:leader="none" w:pos="132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“Shelf Registrable Securities” </w:t>
      </w:r>
      <w:r>
        <w:rPr>
          <w:rFonts w:ascii="Arial" w:cs="Arial" w:eastAsia="Arial" w:hAnsi="Arial"/>
          <w:sz w:val="16"/>
          <w:szCs w:val="16"/>
          <w:color w:val="auto"/>
        </w:rPr>
        <w:t>has the meaning set forth in Section 4.2(a).</w:t>
      </w:r>
    </w:p>
    <w:p>
      <w:pPr>
        <w:sectPr>
          <w:pgSz w:w="11900" w:h="16838" w:orient="portrait"/>
          <w:cols w:equalWidth="0" w:num="1">
            <w:col w:w="11380"/>
          </w:cols>
          <w:pgMar w:left="260" w:top="121" w:right="259" w:bottom="0" w:gutter="0" w:footer="0" w:header="0"/>
          <w:type w:val="continuous"/>
        </w:sectPr>
      </w:pPr>
    </w:p>
    <w:bookmarkStart w:id="33" w:name="page34"/>
    <w:bookmarkEnd w:id="33"/>
    <w:p>
      <w:pPr>
        <w:ind w:left="1340" w:hanging="684"/>
        <w:spacing w:after="0"/>
        <w:tabs>
          <w:tab w:leader="none" w:pos="1340" w:val="left"/>
        </w:tabs>
        <w:numPr>
          <w:ilvl w:val="1"/>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“Shelf Registration Statement” </w:t>
      </w:r>
      <w:r>
        <w:rPr>
          <w:rFonts w:ascii="Arial" w:cs="Arial" w:eastAsia="Arial" w:hAnsi="Arial"/>
          <w:sz w:val="18"/>
          <w:szCs w:val="18"/>
          <w:color w:val="auto"/>
        </w:rPr>
        <w:t>has the meaning set forth in Section 4.2(a).</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1"/>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“Shelf Request” </w:t>
      </w:r>
      <w:r>
        <w:rPr>
          <w:rFonts w:ascii="Arial" w:cs="Arial" w:eastAsia="Arial" w:hAnsi="Arial"/>
          <w:sz w:val="18"/>
          <w:szCs w:val="18"/>
          <w:color w:val="auto"/>
        </w:rPr>
        <w:t>has the meaning set forth in Section 4.2(a).</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1"/>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“Stock Rights Agreement” </w:t>
      </w:r>
      <w:r>
        <w:rPr>
          <w:rFonts w:ascii="Arial" w:cs="Arial" w:eastAsia="Arial" w:hAnsi="Arial"/>
          <w:sz w:val="18"/>
          <w:szCs w:val="18"/>
          <w:color w:val="auto"/>
        </w:rPr>
        <w:t>has the meaning set forth in paragraph A of the recitals hereto.</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“Suspension Condition” </w:t>
      </w:r>
      <w:r>
        <w:rPr>
          <w:rFonts w:ascii="Arial" w:cs="Arial" w:eastAsia="Arial" w:hAnsi="Arial"/>
          <w:sz w:val="18"/>
          <w:szCs w:val="18"/>
          <w:color w:val="auto"/>
        </w:rPr>
        <w:t>has the meaning set forth in Section 4.4(f).</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“Tranche Registrable Securities” </w:t>
      </w:r>
      <w:r>
        <w:rPr>
          <w:rFonts w:ascii="Arial" w:cs="Arial" w:eastAsia="Arial" w:hAnsi="Arial"/>
          <w:sz w:val="18"/>
          <w:szCs w:val="18"/>
          <w:color w:val="auto"/>
        </w:rPr>
        <w:t>has the meaning set forth in Section 4.2(b).</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“Tranche Request” </w:t>
      </w:r>
      <w:r>
        <w:rPr>
          <w:rFonts w:ascii="Arial" w:cs="Arial" w:eastAsia="Arial" w:hAnsi="Arial"/>
          <w:sz w:val="18"/>
          <w:szCs w:val="18"/>
          <w:color w:val="auto"/>
        </w:rPr>
        <w:t>has the meaning set forth in Section 4.2(b).</w:t>
      </w:r>
    </w:p>
    <w:p>
      <w:pPr>
        <w:spacing w:after="0" w:line="225" w:lineRule="exact"/>
        <w:rPr>
          <w:rFonts w:ascii="Arial" w:cs="Arial" w:eastAsia="Arial" w:hAnsi="Arial"/>
          <w:sz w:val="18"/>
          <w:szCs w:val="18"/>
          <w:color w:val="auto"/>
        </w:rPr>
      </w:pPr>
    </w:p>
    <w:p>
      <w:pPr>
        <w:jc w:val="both"/>
        <w:ind w:right="340" w:firstLine="656"/>
        <w:spacing w:after="0" w:line="314" w:lineRule="auto"/>
        <w:tabs>
          <w:tab w:leader="none" w:pos="1299" w:val="left"/>
        </w:tabs>
        <w:numPr>
          <w:ilvl w:val="1"/>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“Transaction Related Securities” </w:t>
      </w:r>
      <w:r>
        <w:rPr>
          <w:rFonts w:ascii="Arial" w:cs="Arial" w:eastAsia="Arial" w:hAnsi="Arial"/>
          <w:sz w:val="16"/>
          <w:szCs w:val="16"/>
          <w:color w:val="auto"/>
        </w:rPr>
        <w:t>means (i) Shares, (ii) the Rights, (iii) the Additional Adjustment Rights, and (iv) shares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and other securities of Micron issued as (or issuable upon conversion, exchange or exercise of any warrant, right or other security as) a dividend or other distribution with respect to or in exchange for or in replacement of, or upon conversion, exchange or exercise of any such securities.</w:t>
      </w:r>
    </w:p>
    <w:p>
      <w:pPr>
        <w:spacing w:after="0" w:line="142" w:lineRule="exact"/>
        <w:rPr>
          <w:rFonts w:ascii="Arial" w:cs="Arial" w:eastAsia="Arial" w:hAnsi="Arial"/>
          <w:sz w:val="16"/>
          <w:szCs w:val="16"/>
          <w:color w:val="auto"/>
        </w:rPr>
      </w:pPr>
    </w:p>
    <w:p>
      <w:pPr>
        <w:ind w:right="20" w:firstLine="656"/>
        <w:spacing w:after="0" w:line="292" w:lineRule="auto"/>
        <w:tabs>
          <w:tab w:leader="none" w:pos="1320" w:val="left"/>
        </w:tabs>
        <w:numPr>
          <w:ilvl w:val="1"/>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“Voting Power” </w:t>
      </w:r>
      <w:r>
        <w:rPr>
          <w:rFonts w:ascii="Arial" w:cs="Arial" w:eastAsia="Arial" w:hAnsi="Arial"/>
          <w:sz w:val="16"/>
          <w:szCs w:val="16"/>
          <w:color w:val="auto"/>
        </w:rPr>
        <w:t>or</w:t>
      </w:r>
      <w:r>
        <w:rPr>
          <w:rFonts w:ascii="Arial" w:cs="Arial" w:eastAsia="Arial" w:hAnsi="Arial"/>
          <w:sz w:val="16"/>
          <w:szCs w:val="16"/>
          <w:b w:val="1"/>
          <w:bCs w:val="1"/>
          <w:color w:val="auto"/>
        </w:rPr>
        <w:t xml:space="preserve"> “Total Voting Power” </w:t>
      </w:r>
      <w:r>
        <w:rPr>
          <w:rFonts w:ascii="Arial" w:cs="Arial" w:eastAsia="Arial" w:hAnsi="Arial"/>
          <w:sz w:val="16"/>
          <w:szCs w:val="16"/>
          <w:color w:val="auto"/>
        </w:rPr>
        <w:t>of Micron (or any other corporation) refer to the votes or total number of votes which at the</w:t>
      </w:r>
      <w:r>
        <w:rPr>
          <w:rFonts w:ascii="Arial" w:cs="Arial" w:eastAsia="Arial" w:hAnsi="Arial"/>
          <w:sz w:val="16"/>
          <w:szCs w:val="16"/>
          <w:b w:val="1"/>
          <w:bCs w:val="1"/>
          <w:color w:val="auto"/>
        </w:rPr>
        <w:t xml:space="preserve"> </w:t>
      </w:r>
      <w:r>
        <w:rPr>
          <w:rFonts w:ascii="Arial" w:cs="Arial" w:eastAsia="Arial" w:hAnsi="Arial"/>
          <w:sz w:val="16"/>
          <w:szCs w:val="16"/>
          <w:color w:val="auto"/>
        </w:rPr>
        <w:t>time of calculation may be cast in the election of directors of Micron (or such corporation) at any meeting of stockholders of Micron (or such corporation) if all securities entitled to vote in the election of directors of Micron (or such corporation) were present and voted at such meeting; provided that for purposes of references herein made to any Person’s “Voting Power” or percentage beneficial ownership of “Total Voting Power,” any rights (other than rights referred to in any rights plan of Micron (or any such other corporation) or a successor to such rights plan so long as such rights can only be transferred together with the Voting Securities to which they attach) of such Person to acquire Voting Securities (whether or not the exercise, exchange or conversion of any such right shall be conditioned upon the passage of time or any other contingency) shall be deemed to have been exercised, exchanged or converted in full.</w:t>
      </w:r>
    </w:p>
    <w:p>
      <w:pPr>
        <w:spacing w:after="0" w:line="161" w:lineRule="exact"/>
        <w:rPr>
          <w:rFonts w:ascii="Arial" w:cs="Arial" w:eastAsia="Arial" w:hAnsi="Arial"/>
          <w:sz w:val="16"/>
          <w:szCs w:val="16"/>
          <w:color w:val="auto"/>
        </w:rPr>
      </w:pPr>
    </w:p>
    <w:p>
      <w:pPr>
        <w:ind w:left="1300" w:hanging="644"/>
        <w:spacing w:after="0"/>
        <w:tabs>
          <w:tab w:leader="none" w:pos="1300" w:val="left"/>
        </w:tabs>
        <w:numPr>
          <w:ilvl w:val="1"/>
          <w:numId w:val="50"/>
        </w:numPr>
        <w:rPr>
          <w:rFonts w:ascii="Arial" w:cs="Arial" w:eastAsia="Arial" w:hAnsi="Arial"/>
          <w:sz w:val="17"/>
          <w:szCs w:val="17"/>
          <w:color w:val="auto"/>
        </w:rPr>
      </w:pPr>
      <w:r>
        <w:rPr>
          <w:rFonts w:ascii="Arial" w:cs="Arial" w:eastAsia="Arial" w:hAnsi="Arial"/>
          <w:sz w:val="17"/>
          <w:szCs w:val="17"/>
          <w:b w:val="1"/>
          <w:bCs w:val="1"/>
          <w:color w:val="auto"/>
        </w:rPr>
        <w:t xml:space="preserve">“Voting Securities” </w:t>
      </w:r>
      <w:r>
        <w:rPr>
          <w:rFonts w:ascii="Arial" w:cs="Arial" w:eastAsia="Arial" w:hAnsi="Arial"/>
          <w:sz w:val="17"/>
          <w:szCs w:val="17"/>
          <w:color w:val="auto"/>
        </w:rPr>
        <w:t>means (i) all securities of Micron, entitled in the ordinary course, to vote in the election of directors of Micron and</w:t>
      </w:r>
    </w:p>
    <w:p>
      <w:pPr>
        <w:spacing w:after="0" w:line="38" w:lineRule="exact"/>
        <w:rPr>
          <w:rFonts w:ascii="Arial" w:cs="Arial" w:eastAsia="Arial" w:hAnsi="Arial"/>
          <w:sz w:val="17"/>
          <w:szCs w:val="17"/>
          <w:color w:val="auto"/>
        </w:rPr>
      </w:pPr>
    </w:p>
    <w:p>
      <w:pPr>
        <w:ind w:left="280" w:hanging="272"/>
        <w:spacing w:after="0"/>
        <w:tabs>
          <w:tab w:leader="none" w:pos="2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for the purposes of this Agreement only, all securities of Micron, directly or indirectly, convertible into or exchangeable or exercisable for shares of</w:t>
      </w:r>
    </w:p>
    <w:p>
      <w:pPr>
        <w:spacing w:after="0" w:line="20" w:lineRule="exact"/>
        <w:rPr>
          <w:rFonts w:ascii="Arial" w:cs="Arial" w:eastAsia="Arial" w:hAnsi="Arial"/>
          <w:sz w:val="17"/>
          <w:szCs w:val="17"/>
          <w:color w:val="auto"/>
        </w:rPr>
      </w:pPr>
    </w:p>
    <w:p>
      <w:pPr>
        <w:ind w:right="160"/>
        <w:spacing w:after="0" w:line="253" w:lineRule="auto"/>
        <w:rPr>
          <w:rFonts w:ascii="Arial" w:cs="Arial" w:eastAsia="Arial" w:hAnsi="Arial"/>
          <w:sz w:val="17"/>
          <w:szCs w:val="17"/>
          <w:color w:val="auto"/>
        </w:rPr>
      </w:pPr>
      <w:r>
        <w:rPr>
          <w:rFonts w:ascii="Arial" w:cs="Arial" w:eastAsia="Arial" w:hAnsi="Arial"/>
          <w:sz w:val="18"/>
          <w:szCs w:val="18"/>
          <w:color w:val="auto"/>
        </w:rPr>
        <w:t>Common Stock (including the Rights and any Additional Adjustment Rights), the Voting Power of which shall be deemed equal to the number of shares of Common Stock, directly or indirectly, issuable upon the conversion, exchange or exercise of such securities. Voting Securities shall not include stockholder rights or other comparable securities having Voting Power only upon the happening of a trigger event or comparable contingency and which can only be transferred together with the Voting Securities to which they attach. References herein to meetings of holders of Voting Securities shall include meetings of any class or type thereof.</w:t>
      </w:r>
    </w:p>
    <w:p>
      <w:pPr>
        <w:spacing w:after="0" w:line="187" w:lineRule="exact"/>
        <w:rPr>
          <w:rFonts w:ascii="Arial" w:cs="Arial" w:eastAsia="Arial" w:hAnsi="Arial"/>
          <w:sz w:val="17"/>
          <w:szCs w:val="17"/>
          <w:color w:val="auto"/>
        </w:rPr>
      </w:pPr>
    </w:p>
    <w:p>
      <w:pPr>
        <w:ind w:left="1300" w:hanging="644"/>
        <w:spacing w:after="0"/>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“180-Day Limitation” </w:t>
      </w:r>
      <w:r>
        <w:rPr>
          <w:rFonts w:ascii="Arial" w:cs="Arial" w:eastAsia="Arial" w:hAnsi="Arial"/>
          <w:sz w:val="18"/>
          <w:szCs w:val="18"/>
          <w:color w:val="auto"/>
        </w:rPr>
        <w:t>has the meaning set forth in Section 4.4(a).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All capitalized terms used and not defined herein shall have the respective meanings assigned to such terms in the Securities Purchase Agreement.</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STANDSTILL AND RELATED COVENANTS</w:t>
      </w:r>
    </w:p>
    <w:p>
      <w:pPr>
        <w:spacing w:after="0" w:line="21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Intel Capital Ownership of Micron Securities</w:t>
      </w:r>
      <w:r>
        <w:rPr>
          <w:rFonts w:ascii="Arial" w:cs="Arial" w:eastAsia="Arial" w:hAnsi="Arial"/>
          <w:sz w:val="18"/>
          <w:szCs w:val="18"/>
          <w:color w:val="auto"/>
        </w:rPr>
        <w:t>. On the date hereof, and without giving effect to the transactions contemplated by the Securities Purchase Agreement, neither Intel Capital nor any Affiliate of Intel Capital beneficially owns any Voting Securities of Micron, other than Voting Securities held in equity index funds or by employee benefit plans or pension plans.</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Standstill Provisions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0" w:lineRule="auto"/>
        <w:tabs>
          <w:tab w:leader="none" w:pos="1307"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Intel Capital shall not acquire, directly or indirectly, and shall not cause or permit any Affiliate of Intel Capital to acquire, directly or indirectly (through market purchases or otherwise), record or beneficial ownership of any Voting Securities of Micron representing, when taken together with all securities owned by such Persons, in excess of a percentage greater than nineteen and ninety nine hundredths (19.99%) (the </w:t>
      </w:r>
      <w:r>
        <w:rPr>
          <w:rFonts w:ascii="Arial" w:cs="Arial" w:eastAsia="Arial" w:hAnsi="Arial"/>
          <w:sz w:val="17"/>
          <w:szCs w:val="17"/>
          <w:b w:val="1"/>
          <w:bCs w:val="1"/>
          <w:color w:val="auto"/>
        </w:rPr>
        <w:t>“Standstill Percentage”</w:t>
      </w:r>
      <w:r>
        <w:rPr>
          <w:rFonts w:ascii="Arial" w:cs="Arial" w:eastAsia="Arial" w:hAnsi="Arial"/>
          <w:sz w:val="17"/>
          <w:szCs w:val="17"/>
          <w:color w:val="auto"/>
        </w:rPr>
        <w:t xml:space="preserve">) of the Total Voting Power of Micron without the prior written consent or approval of Micron’s Board of Directors;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prior written consent or approval of the Board of Directors of Micron shall not be required for the acquisition of any Voting Securities of Micron pursuant to the conversion, exchange or exercise of any of the Rights or any of the Additional Adjustment Rights or resulting from a stock split, stock dividend or similar recapitalization by Micron or resulting from any issuance to Intel Capital of Common Stock or other securities of Micron pursuant to the terms and conditions of the Business Agreement. Nothing contained in this Section 2.2 shall adversely affect any right of Intel Capital to acquire record or beneficial ownership of Voting Securities of Micron pursuant to any rights plan instituted by Micron. Ownership of Voting Securities by employee benefit plans or pension plans shall not be beneficial ownership by Intel Capital for purposes of this Section 2.2.</w:t>
      </w:r>
    </w:p>
    <w:p>
      <w:pPr>
        <w:spacing w:after="0" w:line="177" w:lineRule="exact"/>
        <w:rPr>
          <w:rFonts w:ascii="Arial" w:cs="Arial" w:eastAsia="Arial" w:hAnsi="Arial"/>
          <w:sz w:val="17"/>
          <w:szCs w:val="17"/>
          <w:color w:val="auto"/>
        </w:rPr>
      </w:pPr>
    </w:p>
    <w:p>
      <w:pPr>
        <w:ind w:firstLine="656"/>
        <w:spacing w:after="0" w:line="255" w:lineRule="auto"/>
        <w:tabs>
          <w:tab w:leader="none" w:pos="1304"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Intel Capital and its Affiliates will not be obliged to dispose of any Voting Securities to the extent that the aggregate percentage of the Total Voting Power of Micron represented by Voting Securities beneficially owned by Intel Capital and its Affiliates or which Intel Capital and its Affiliates has a right to acquire is increased beyond the Standstill Percentage (i) as a result of a recapitalization of Micron or a repurchase or exchange of securities by Micron or its Affiliates; (ii) as a result of any issuance to Intel Capital of Common Stock or other securities of Micron pursuant to the terms and conditions of the Business Agreement; (iii) as a result of an equity index transaction, provided that Intel Capital and its Affiliates shall not vote such shares; (iv) by way of stock dividends or other distributions or rights or offerings made available to holders of shares of Voting Securities generally; or (v) with the prior written consent or approval of Micron’s Board of Directors.</w:t>
      </w:r>
    </w:p>
    <w:p>
      <w:pPr>
        <w:spacing w:after="0" w:line="18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Voting Trust</w:t>
      </w:r>
      <w:r>
        <w:rPr>
          <w:rFonts w:ascii="Arial" w:cs="Arial" w:eastAsia="Arial" w:hAnsi="Arial"/>
          <w:sz w:val="18"/>
          <w:szCs w:val="18"/>
          <w:color w:val="auto"/>
        </w:rPr>
        <w:t>. Intel Capital shall not, and shall not cause or permit any Affiliate of Intel Capital to, deposit any Voting Securities of Micron in a voting trust or, except as otherwise provided herein, subject any Voting Securities of Micron to any arrangement or agreement with respect to the voting of such Voting Securities of Micron.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37" w:right="259" w:bottom="181" w:gutter="0" w:footer="0" w:header="0"/>
        </w:sectPr>
      </w:pPr>
    </w:p>
    <w:bookmarkStart w:id="34" w:name="page35"/>
    <w:bookmarkEnd w:id="34"/>
    <w:p>
      <w:pPr>
        <w:ind w:right="160" w:firstLine="648"/>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Solicitation of Proxies</w:t>
      </w:r>
      <w:r>
        <w:rPr>
          <w:rFonts w:ascii="Arial" w:cs="Arial" w:eastAsia="Arial" w:hAnsi="Arial"/>
          <w:sz w:val="17"/>
          <w:szCs w:val="17"/>
          <w:color w:val="auto"/>
        </w:rPr>
        <w:t xml:space="preserve">. Without the prior written consent or approval of Micron’s Board of Directors, Intel Capital shall not, and shall not cause or permit any Affiliate of Intel Capital to, directly or indirectly (i) initiate, propose or otherwise solicit Micron stockholders for the approval of one or more stockholder proposals with respect to Micron or induce or attempt to induce any other Person to initiate any stockholder proposal, (ii) make, or in any way participate in, any </w:t>
      </w:r>
      <w:r>
        <w:rPr>
          <w:rFonts w:ascii="Arial" w:cs="Arial" w:eastAsia="Arial" w:hAnsi="Arial"/>
          <w:sz w:val="17"/>
          <w:szCs w:val="17"/>
          <w:b w:val="1"/>
          <w:bCs w:val="1"/>
          <w:color w:val="auto"/>
        </w:rPr>
        <w:t>“solicitation”</w:t>
      </w:r>
      <w:r>
        <w:rPr>
          <w:rFonts w:ascii="Arial" w:cs="Arial" w:eastAsia="Arial" w:hAnsi="Arial"/>
          <w:sz w:val="17"/>
          <w:szCs w:val="17"/>
          <w:color w:val="auto"/>
        </w:rPr>
        <w:t xml:space="preserve"> of </w:t>
      </w:r>
      <w:r>
        <w:rPr>
          <w:rFonts w:ascii="Arial" w:cs="Arial" w:eastAsia="Arial" w:hAnsi="Arial"/>
          <w:sz w:val="17"/>
          <w:szCs w:val="17"/>
          <w:b w:val="1"/>
          <w:bCs w:val="1"/>
          <w:color w:val="auto"/>
        </w:rPr>
        <w:t>“proxies”</w:t>
      </w:r>
      <w:r>
        <w:rPr>
          <w:rFonts w:ascii="Arial" w:cs="Arial" w:eastAsia="Arial" w:hAnsi="Arial"/>
          <w:sz w:val="17"/>
          <w:szCs w:val="17"/>
          <w:color w:val="auto"/>
        </w:rPr>
        <w:t xml:space="preserve"> (as such terms are defined or used in Rule 14a-1 under the Exchange Act) with respect to any Voting Securities of Micron, or become a </w:t>
      </w:r>
      <w:r>
        <w:rPr>
          <w:rFonts w:ascii="Arial" w:cs="Arial" w:eastAsia="Arial" w:hAnsi="Arial"/>
          <w:sz w:val="17"/>
          <w:szCs w:val="17"/>
          <w:b w:val="1"/>
          <w:bCs w:val="1"/>
          <w:color w:val="auto"/>
        </w:rPr>
        <w:t>“participant”</w:t>
      </w:r>
      <w:r>
        <w:rPr>
          <w:rFonts w:ascii="Arial" w:cs="Arial" w:eastAsia="Arial" w:hAnsi="Arial"/>
          <w:sz w:val="17"/>
          <w:szCs w:val="17"/>
          <w:color w:val="auto"/>
        </w:rPr>
        <w:t xml:space="preserve"> in any </w:t>
      </w:r>
      <w:r>
        <w:rPr>
          <w:rFonts w:ascii="Arial" w:cs="Arial" w:eastAsia="Arial" w:hAnsi="Arial"/>
          <w:sz w:val="17"/>
          <w:szCs w:val="17"/>
          <w:b w:val="1"/>
          <w:bCs w:val="1"/>
          <w:color w:val="auto"/>
        </w:rPr>
        <w:t>“election contest”</w:t>
      </w:r>
      <w:r>
        <w:rPr>
          <w:rFonts w:ascii="Arial" w:cs="Arial" w:eastAsia="Arial" w:hAnsi="Arial"/>
          <w:sz w:val="17"/>
          <w:szCs w:val="17"/>
          <w:color w:val="auto"/>
        </w:rPr>
        <w:t xml:space="preserve"> (as such terms are used in the proxy rules of the SEC), with respect to Micron or (iii) call or seek to have called any meeting of the holders of Voting Securities of Micron.</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Acts in Concert with Others</w:t>
      </w:r>
      <w:r>
        <w:rPr>
          <w:rFonts w:ascii="Arial" w:cs="Arial" w:eastAsia="Arial" w:hAnsi="Arial"/>
          <w:sz w:val="16"/>
          <w:szCs w:val="16"/>
          <w:color w:val="auto"/>
        </w:rPr>
        <w:t>. Except as contemplated herein, Intel Capital shall not, and shall not cause or permit any Affiliate of Intel Capital to, participate in the formation of any Person which owns or seeks to acquire beneficial ownership of, or otherwise acts in concert in respect of the voting or disposition of, Voting Securities of Micron. Without limiting the generality of the foregoing, and except as contemplated herein, Intel Capital shall not, and shall not cause or permit any Affiliate of Intel Capital to: (i) join a partnership, limited partnership, syndicate or other group, or otherwise act in concert with any third person, for the purpose of acquiring, holding, or disposing of Voting Securities of Micron; (ii) seek election to or seek to place a representative on the Board of Directors of Micron; (iii) seek the removal of any member of the Board of Directors of Micron; (iv) otherwise seek control of the management, Board of Directors or policies of Micron; (v) solicit, propose or seek to effect any form of business combination transaction with Micron or any Affiliate thereof, or any restructuring, recapitalization or similar transaction with respect to Micron or any Affiliate thereof; (vi) solicit, make or propose or announce an intent to make, any tender offer or exchange offer for any Voting Securities of Micron; (vii) disclose an intent, purpose, plan or proposal with respect to Micron or any Voting Securities of Micron inconsistent with the provisions of this Agreement, including an intent, purpose, plan or proposal that is conditioned on or would require Micron to waive the benefit of or amend any provision of this Agreement; or (vii) assist, participate in, or solicit any effort or attempt by any Person to do or seek to do any of the foregoing. Intel Capital shall not, and shall not cause or permit any Affiliate of Intel Capital to, make any recommendation or proposal to any Person to engage in any of the actions covered by Section 2.4 hereof and this Section 2.5.</w:t>
      </w:r>
    </w:p>
    <w:p>
      <w:pPr>
        <w:spacing w:after="0" w:line="17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Termination</w:t>
      </w:r>
      <w:r>
        <w:rPr>
          <w:rFonts w:ascii="Arial" w:cs="Arial" w:eastAsia="Arial" w:hAnsi="Arial"/>
          <w:sz w:val="18"/>
          <w:szCs w:val="18"/>
          <w:color w:val="auto"/>
        </w:rPr>
        <w:t>. The provisions of this Section 2 shall terminate upon the earlier to occur of: (i) such time as Intel Capital (together with all Affiliates of Intel Capital) beneficially owns in the aggregate Voting Securities of Micron representing less than three percent (3%) of the Total Voting Power of Micron, or (ii) the closing or other completion of a Change in Control of Micron.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RESTRICTIONS ON TRANSFER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COMPLIANCE WITH SECURITIES LAWS</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Restrictions on Transfer of Voting Securities of Micron</w:t>
      </w:r>
      <w:r>
        <w:rPr>
          <w:rFonts w:ascii="Arial" w:cs="Arial" w:eastAsia="Arial" w:hAnsi="Arial"/>
          <w:sz w:val="18"/>
          <w:szCs w:val="18"/>
          <w:color w:val="auto"/>
        </w:rPr>
        <w:t>. Intel Capital shall not, and shall not cause or permit any Affiliate of Intel Capital to, directly or indirectly, offer to sell, contract to sell, make any short sale of, or otherwise sell, dispose of, loan, gift, pledge or grant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any options or rights with respect to, any Transaction Related Securities of Micron, now or hereafter acquired, or with respect to which Intel Capital (or any Affiliate of Intel Capital) has or hereafter acquires the power of disposition (or enter into any agreement or understanding with respect to the foregoing), except as set forth in the following clauses (a) through (g):</w:t>
      </w:r>
    </w:p>
    <w:p>
      <w:pPr>
        <w:spacing w:after="0" w:line="181" w:lineRule="exact"/>
        <w:rPr>
          <w:sz w:val="20"/>
          <w:szCs w:val="20"/>
          <w:color w:val="auto"/>
        </w:rPr>
      </w:pPr>
    </w:p>
    <w:p>
      <w:pPr>
        <w:ind w:left="1320" w:hanging="664"/>
        <w:spacing w:after="0"/>
        <w:tabs>
          <w:tab w:leader="none" w:pos="13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to Micron, or any Person or group approved in writing in advance by Micron’s Board of Directors;</w:t>
      </w:r>
    </w:p>
    <w:p>
      <w:pPr>
        <w:spacing w:after="0" w:line="221" w:lineRule="exact"/>
        <w:rPr>
          <w:rFonts w:ascii="Arial" w:cs="Arial" w:eastAsia="Arial" w:hAnsi="Arial"/>
          <w:sz w:val="18"/>
          <w:szCs w:val="18"/>
          <w:color w:val="auto"/>
        </w:rPr>
      </w:pPr>
    </w:p>
    <w:p>
      <w:pPr>
        <w:ind w:right="80" w:firstLine="656"/>
        <w:spacing w:after="0" w:line="261" w:lineRule="auto"/>
        <w:tabs>
          <w:tab w:leader="none" w:pos="1304" w:val="left"/>
        </w:tabs>
        <w:numPr>
          <w:ilvl w:val="1"/>
          <w:numId w:val="53"/>
        </w:numPr>
        <w:rPr>
          <w:rFonts w:ascii="Arial" w:cs="Arial" w:eastAsia="Arial" w:hAnsi="Arial"/>
          <w:sz w:val="18"/>
          <w:szCs w:val="18"/>
          <w:color w:val="auto"/>
        </w:rPr>
      </w:pPr>
      <w:r>
        <w:rPr>
          <w:rFonts w:ascii="Arial" w:cs="Arial" w:eastAsia="Arial" w:hAnsi="Arial"/>
          <w:sz w:val="18"/>
          <w:szCs w:val="18"/>
          <w:color w:val="auto"/>
        </w:rPr>
        <w:t>to any Qualified Subsidiary or Intel Corporation, a Delaware corporation (</w:t>
      </w:r>
      <w:r>
        <w:rPr>
          <w:rFonts w:ascii="Arial" w:cs="Arial" w:eastAsia="Arial" w:hAnsi="Arial"/>
          <w:sz w:val="18"/>
          <w:szCs w:val="18"/>
          <w:b w:val="1"/>
          <w:bCs w:val="1"/>
          <w:color w:val="auto"/>
        </w:rPr>
        <w:t>“Parent”</w:t>
      </w:r>
      <w:r>
        <w:rPr>
          <w:rFonts w:ascii="Arial" w:cs="Arial" w:eastAsia="Arial" w:hAnsi="Arial"/>
          <w:sz w:val="18"/>
          <w:szCs w:val="18"/>
          <w:color w:val="auto"/>
        </w:rPr>
        <w:t>), so long as such subsidiary or Parent agrees in writing (in form reasonably acceptable to counsel for Micron) to hold such Voting Securities of Micron subject to all the provisions of this Agreement, and also agrees to transfer such Voting Securities of Micron to Intel Capital or another Qualified Subsidiary of Parent or to Parent if it ceases to be a Qualified Subsidiary of Parent;</w:t>
      </w:r>
    </w:p>
    <w:p>
      <w:pPr>
        <w:spacing w:after="0" w:line="184" w:lineRule="exact"/>
        <w:rPr>
          <w:rFonts w:ascii="Arial" w:cs="Arial" w:eastAsia="Arial" w:hAnsi="Arial"/>
          <w:sz w:val="18"/>
          <w:szCs w:val="18"/>
          <w:color w:val="auto"/>
        </w:rPr>
      </w:pPr>
    </w:p>
    <w:p>
      <w:pPr>
        <w:jc w:val="both"/>
        <w:ind w:left="120" w:right="60" w:firstLine="536"/>
        <w:spacing w:after="0" w:line="302" w:lineRule="auto"/>
        <w:tabs>
          <w:tab w:leader="none" w:pos="1319"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pursuant to a public offering of Voting Securities of Micron registered under the Securities Act;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offering is structured to distribute such securities in accordance with procedures reasonably designed to ensure that beneficial ownership of the Voting Securities of Micron with aggregate Voting Power of more than five percent (5%) of the Total Voting Power of Micron then in effect shall not be transferred during such distribution to any single Person or group, unless such Person or group is an institutional investor that acquires such Voting Securities solely for investment;</w:t>
      </w:r>
    </w:p>
    <w:p>
      <w:pPr>
        <w:spacing w:after="0" w:line="154" w:lineRule="exact"/>
        <w:rPr>
          <w:rFonts w:ascii="Arial" w:cs="Arial" w:eastAsia="Arial" w:hAnsi="Arial"/>
          <w:sz w:val="16"/>
          <w:szCs w:val="16"/>
          <w:color w:val="auto"/>
        </w:rPr>
      </w:pPr>
    </w:p>
    <w:p>
      <w:pPr>
        <w:ind w:left="1320" w:hanging="664"/>
        <w:spacing w:after="0"/>
        <w:tabs>
          <w:tab w:leader="none" w:pos="1320" w:val="left"/>
        </w:tabs>
        <w:numPr>
          <w:ilvl w:val="1"/>
          <w:numId w:val="53"/>
        </w:numPr>
        <w:rPr>
          <w:rFonts w:ascii="Arial" w:cs="Arial" w:eastAsia="Arial" w:hAnsi="Arial"/>
          <w:sz w:val="17"/>
          <w:szCs w:val="17"/>
          <w:color w:val="auto"/>
        </w:rPr>
      </w:pPr>
      <w:r>
        <w:rPr>
          <w:rFonts w:ascii="Arial" w:cs="Arial" w:eastAsia="Arial" w:hAnsi="Arial"/>
          <w:sz w:val="17"/>
          <w:szCs w:val="17"/>
          <w:color w:val="auto"/>
        </w:rPr>
        <w:t xml:space="preserve">through a sale of Voting Securities of Micron pursuant to Rule 144 under the Securities Act;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such sale</w:t>
      </w:r>
    </w:p>
    <w:p>
      <w:pPr>
        <w:spacing w:after="0" w:line="34" w:lineRule="exact"/>
        <w:rPr>
          <w:rFonts w:ascii="Arial" w:cs="Arial" w:eastAsia="Arial" w:hAnsi="Arial"/>
          <w:sz w:val="17"/>
          <w:szCs w:val="17"/>
          <w:color w:val="auto"/>
        </w:rPr>
      </w:pPr>
    </w:p>
    <w:p>
      <w:pPr>
        <w:ind w:left="120" w:hanging="4"/>
        <w:spacing w:after="0" w:line="267" w:lineRule="auto"/>
        <w:tabs>
          <w:tab w:leader="none" w:pos="335"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complies with the manner of sale provisions under paragraph (f) of Rule 144 or (ii) is of securities with Voting Power aggregating less than five percent (5%) of the Total Voting Power of Micron and is not made knowingly directly or indirectly to: (A) any Person or group which has theretofore filed a Schedule 13D with the SEC with respect to any class of </w:t>
      </w:r>
      <w:r>
        <w:rPr>
          <w:rFonts w:ascii="Arial" w:cs="Arial" w:eastAsia="Arial" w:hAnsi="Arial"/>
          <w:sz w:val="17"/>
          <w:szCs w:val="17"/>
          <w:b w:val="1"/>
          <w:bCs w:val="1"/>
          <w:color w:val="auto"/>
        </w:rPr>
        <w:t>“equity security”</w:t>
      </w:r>
      <w:r>
        <w:rPr>
          <w:rFonts w:ascii="Arial" w:cs="Arial" w:eastAsia="Arial" w:hAnsi="Arial"/>
          <w:sz w:val="17"/>
          <w:szCs w:val="17"/>
          <w:color w:val="auto"/>
        </w:rPr>
        <w:t xml:space="preserve"> (as defined in Rule 13a11-1 under the Exchange Act) of Micron and which, at the time of such sale, continues to reflect beneficial ownership in excess of five percent (5%) of the Total Voting Power of Micron, unless such Person or group is an institutional investor that acquires such Voting Securities solely for investment; (B) any Person or group known to Intel Capital (without inquiry or investigation) to beneficially own in excess of five percent (5%) of any Voting Securities of Micron or to be accumulating stock on behalf of or acting in concert with any such Person or group or a Person or group contemplated by clause (A) above, unless such Person or group is an institutional investor that acquires such Voting Securities solely for investment; or (C) any Person or group that has announced or commenced an unsolicited offer for any Voting Securities of Micron or publicly initiated, proposed or otherwise solicited Micron stockholders for the approval of one or more stockholder proposals with respect to Micron or publicly made, or in any way participated in, any </w:t>
      </w:r>
      <w:r>
        <w:rPr>
          <w:rFonts w:ascii="Arial" w:cs="Arial" w:eastAsia="Arial" w:hAnsi="Arial"/>
          <w:sz w:val="17"/>
          <w:szCs w:val="17"/>
          <w:b w:val="1"/>
          <w:bCs w:val="1"/>
          <w:color w:val="auto"/>
        </w:rPr>
        <w:t>“solicitation”</w:t>
      </w:r>
      <w:r>
        <w:rPr>
          <w:rFonts w:ascii="Arial" w:cs="Arial" w:eastAsia="Arial" w:hAnsi="Arial"/>
          <w:sz w:val="17"/>
          <w:szCs w:val="17"/>
          <w:color w:val="auto"/>
        </w:rPr>
        <w:t xml:space="preserve"> of </w:t>
      </w:r>
      <w:r>
        <w:rPr>
          <w:rFonts w:ascii="Arial" w:cs="Arial" w:eastAsia="Arial" w:hAnsi="Arial"/>
          <w:sz w:val="17"/>
          <w:szCs w:val="17"/>
          <w:b w:val="1"/>
          <w:bCs w:val="1"/>
          <w:color w:val="auto"/>
        </w:rPr>
        <w:t>“proxies”</w:t>
      </w:r>
      <w:r>
        <w:rPr>
          <w:rFonts w:ascii="Arial" w:cs="Arial" w:eastAsia="Arial" w:hAnsi="Arial"/>
          <w:sz w:val="17"/>
          <w:szCs w:val="17"/>
          <w:color w:val="auto"/>
        </w:rPr>
        <w:t xml:space="preserve"> (as such terms are defined or used in Regulation 14A under the Exchange Act) with respect to any Voting Securities of Micron, or become a </w:t>
      </w:r>
      <w:r>
        <w:rPr>
          <w:rFonts w:ascii="Arial" w:cs="Arial" w:eastAsia="Arial" w:hAnsi="Arial"/>
          <w:sz w:val="17"/>
          <w:szCs w:val="17"/>
          <w:b w:val="1"/>
          <w:bCs w:val="1"/>
          <w:color w:val="auto"/>
        </w:rPr>
        <w:t>“participant”</w:t>
      </w:r>
      <w:r>
        <w:rPr>
          <w:rFonts w:ascii="Arial" w:cs="Arial" w:eastAsia="Arial" w:hAnsi="Arial"/>
          <w:sz w:val="17"/>
          <w:szCs w:val="17"/>
          <w:color w:val="auto"/>
        </w:rPr>
        <w:t xml:space="preserve"> in any </w:t>
      </w:r>
      <w:r>
        <w:rPr>
          <w:rFonts w:ascii="Arial" w:cs="Arial" w:eastAsia="Arial" w:hAnsi="Arial"/>
          <w:sz w:val="17"/>
          <w:szCs w:val="17"/>
          <w:b w:val="1"/>
          <w:bCs w:val="1"/>
          <w:color w:val="auto"/>
        </w:rPr>
        <w:t>“election contest”</w:t>
      </w:r>
      <w:r>
        <w:rPr>
          <w:rFonts w:ascii="Arial" w:cs="Arial" w:eastAsia="Arial" w:hAnsi="Arial"/>
          <w:sz w:val="17"/>
          <w:szCs w:val="17"/>
          <w:color w:val="auto"/>
        </w:rPr>
        <w:t xml:space="preserve"> (as such terms are used in the proxy rules of the SEC);</w:t>
      </w:r>
    </w:p>
    <w:p>
      <w:pPr>
        <w:spacing w:after="0" w:line="185" w:lineRule="exact"/>
        <w:rPr>
          <w:rFonts w:ascii="Arial" w:cs="Arial" w:eastAsia="Arial" w:hAnsi="Arial"/>
          <w:sz w:val="17"/>
          <w:szCs w:val="17"/>
          <w:color w:val="auto"/>
        </w:rPr>
      </w:pPr>
    </w:p>
    <w:p>
      <w:pPr>
        <w:ind w:left="120" w:right="300" w:firstLine="536"/>
        <w:spacing w:after="0" w:line="277" w:lineRule="auto"/>
        <w:tabs>
          <w:tab w:leader="none" w:pos="1319" w:val="left"/>
        </w:tabs>
        <w:numPr>
          <w:ilvl w:val="1"/>
          <w:numId w:val="54"/>
        </w:numPr>
        <w:rPr>
          <w:rFonts w:ascii="Arial" w:cs="Arial" w:eastAsia="Arial" w:hAnsi="Arial"/>
          <w:sz w:val="18"/>
          <w:szCs w:val="18"/>
          <w:color w:val="auto"/>
        </w:rPr>
      </w:pPr>
      <w:r>
        <w:rPr>
          <w:rFonts w:ascii="Arial" w:cs="Arial" w:eastAsia="Arial" w:hAnsi="Arial"/>
          <w:sz w:val="18"/>
          <w:szCs w:val="18"/>
          <w:color w:val="auto"/>
        </w:rPr>
        <w:t>pursuant to any private sale of Voting Securities of Micron exempt from the registration requirements under the Securities Act, provided that no such sale may be made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any Person or group which, after giving effect to such sale, will beneficially own or have the right to acquire Voting Securities of Micron with aggregate Voting Power of more than five percent (5%) of the Total Voting Power of Micron unless such Person or group is an institutional investor that acquires such</w:t>
      </w:r>
    </w:p>
    <w:p>
      <w:pPr>
        <w:sectPr>
          <w:pgSz w:w="11900" w:h="16838" w:orient="portrait"/>
          <w:cols w:equalWidth="0" w:num="1">
            <w:col w:w="11420"/>
          </w:cols>
          <w:pgMar w:left="240" w:top="341" w:right="239" w:bottom="0" w:gutter="0" w:footer="0" w:header="0"/>
        </w:sectPr>
      </w:pPr>
    </w:p>
    <w:bookmarkStart w:id="35" w:name="page36"/>
    <w:bookmarkEnd w:id="35"/>
    <w:p>
      <w:pPr>
        <w:ind w:right="120"/>
        <w:spacing w:after="0" w:line="254" w:lineRule="auto"/>
        <w:rPr>
          <w:sz w:val="20"/>
          <w:szCs w:val="20"/>
          <w:color w:val="auto"/>
        </w:rPr>
      </w:pPr>
      <w:r>
        <w:rPr>
          <w:rFonts w:ascii="Arial" w:cs="Arial" w:eastAsia="Arial" w:hAnsi="Arial"/>
          <w:sz w:val="18"/>
          <w:szCs w:val="18"/>
          <w:color w:val="auto"/>
        </w:rPr>
        <w:t>Voting Securities solely for investment, in which case the total number of Voting Securities that may be sold to such Person or group shall be limited so that such Person or group shall not own or have the right to acquire more than ten percent (10%) of the Total Voting Power of Micron after giving effect to the proposed sale; and, provided, further, that, if such securities are “restricted securities” as defined in Rule 144, any such purchaser (and any transferee of such purchaser) shall agree to take and hold such securities subject to the provisions and upon the conditions specified in this Section 3, and it will be a condition precedent to the effectiveness of any such transfer that Intel Capital shall have delivered to Micron a written agreement of such purchaser to that effect in form and substance reasonably satisfactory to Micron (which may contain a representation by such purchaser as to the beneficial ownership of Voting Securities of Micron, which may be relied upon by Intel Capital (absent actual knowledge to the contrary) for purposes of compliance with the applicable requirements of this Section 3.1(e));</w:t>
      </w:r>
    </w:p>
    <w:p>
      <w:pPr>
        <w:spacing w:after="0" w:line="192" w:lineRule="exact"/>
        <w:rPr>
          <w:sz w:val="20"/>
          <w:szCs w:val="20"/>
          <w:color w:val="auto"/>
        </w:rPr>
      </w:pPr>
    </w:p>
    <w:p>
      <w:pPr>
        <w:ind w:left="120" w:right="160" w:firstLine="536"/>
        <w:spacing w:after="0" w:line="302" w:lineRule="auto"/>
        <w:tabs>
          <w:tab w:leader="none" w:pos="1326"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response to an offer to purchase or exchange for cash or other consideration any Voting Securities, in any case which is not opposed by the Board of Directors of Micron within the time such Board is required, pursuant to regulations under the Exchange Act, to advise the stockholders of Micron of such Board’s position with respect to such offer, or, if no such regulations are applicable, within ten (10) business days of the commencement of such offer, or pursuant to a merger, consolidation or other business combination involving Micron approved by the Board of Directors of Micron; or</w:t>
      </w:r>
    </w:p>
    <w:p>
      <w:pPr>
        <w:spacing w:after="0" w:line="154" w:lineRule="exact"/>
        <w:rPr>
          <w:rFonts w:ascii="Arial" w:cs="Arial" w:eastAsia="Arial" w:hAnsi="Arial"/>
          <w:sz w:val="16"/>
          <w:szCs w:val="16"/>
          <w:color w:val="auto"/>
        </w:rPr>
      </w:pPr>
    </w:p>
    <w:p>
      <w:pPr>
        <w:ind w:left="120" w:right="20" w:firstLine="536"/>
        <w:spacing w:after="0" w:line="257" w:lineRule="auto"/>
        <w:tabs>
          <w:tab w:leader="none" w:pos="1316"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subject to Micron’s prior consent (which shall not be unreasonably withheld), pursuant to bona fide pledges of such Voting Securities to institutional lenders (provided that the number of such lenders to which, or for the benefit of which, such pledges may be made, shall not exceed twenty (20) in the aggregate), to secure a loan, guarantee, letter of credit facility or other indebtedness or financial support; provided that each such lender to which, or for the benefit of which, such pledge is made agrees in writing to hold such Voting Securities subject to all provisions of this Agreement, including the limitations on any sale or other disposition of such Voting Securities.</w:t>
      </w:r>
    </w:p>
    <w:p>
      <w:pPr>
        <w:spacing w:after="0" w:line="188"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Subject to Section 4.10 of the Securities Purchase Agreement, nothing in this Section 3.1 shall be construed to prohibit Hedging Transactions with respect to securities of Micron provided that such transactions do not result in non-compliance with the foregoing restrictions insofar such provisions relate to, and are limited in their application to, the Transaction Related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Restrictive Legends</w:t>
      </w:r>
      <w:r>
        <w:rPr>
          <w:rFonts w:ascii="Arial" w:cs="Arial" w:eastAsia="Arial" w:hAnsi="Arial"/>
          <w:sz w:val="16"/>
          <w:szCs w:val="16"/>
          <w:color w:val="auto"/>
        </w:rPr>
        <w:t>.</w:t>
      </w:r>
    </w:p>
    <w:p>
      <w:pPr>
        <w:spacing w:after="0" w:line="225" w:lineRule="exact"/>
        <w:rPr>
          <w:sz w:val="20"/>
          <w:szCs w:val="20"/>
          <w:color w:val="auto"/>
        </w:rPr>
      </w:pPr>
    </w:p>
    <w:p>
      <w:pPr>
        <w:ind w:right="180" w:firstLine="656"/>
        <w:spacing w:after="0" w:line="259" w:lineRule="auto"/>
        <w:tabs>
          <w:tab w:leader="none" w:pos="1307"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certificate or certificates representing the (i) the Shares, (ii) the Rights, including any Additional Adjustment Rights, and (iii) any securities issued in respect of the foregoing as a result of any stock split, stock dividend, recapitalization, reclassification or similar transaction (collectively, the </w:t>
      </w:r>
      <w:r>
        <w:rPr>
          <w:rFonts w:ascii="Arial" w:cs="Arial" w:eastAsia="Arial" w:hAnsi="Arial"/>
          <w:sz w:val="18"/>
          <w:szCs w:val="18"/>
          <w:b w:val="1"/>
          <w:bCs w:val="1"/>
          <w:color w:val="auto"/>
        </w:rPr>
        <w:t>“Restricted Securities”</w:t>
      </w:r>
      <w:r>
        <w:rPr>
          <w:rFonts w:ascii="Arial" w:cs="Arial" w:eastAsia="Arial" w:hAnsi="Arial"/>
          <w:sz w:val="18"/>
          <w:szCs w:val="18"/>
          <w:color w:val="auto"/>
        </w:rPr>
        <w:t>) shall be stamped or otherwise imprinted with a legend substantially in the following form (in addition to any legend required under applicable state securities laws):</w:t>
      </w:r>
    </w:p>
    <w:p>
      <w:pPr>
        <w:spacing w:after="0" w:line="187"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THE SECURITIES REPRESENTED BY THIS CERTIFICATE HAVE BEEN ACQUIRED FOR INVESTMENT AND HAVE NOT BEEN REGISTERED UNDER THE SECURITIES ACT OF 1933. SUCH SECURITIES MAY NOT BE SOLD OR TRANSFERRED IN THE ABSENCE OF SUCH REGISTRATION OR AN OPINION OF COUNSEL SATISFACTORY TO THE ISSUER AS TO THE AVAILABILITY OF AN EXEMPTION FROM REGISTRATION.</w:t>
      </w:r>
    </w:p>
    <w:p>
      <w:pPr>
        <w:spacing w:after="0" w:line="187" w:lineRule="exact"/>
        <w:rPr>
          <w:sz w:val="20"/>
          <w:szCs w:val="20"/>
          <w:color w:val="auto"/>
        </w:rPr>
      </w:pPr>
    </w:p>
    <w:p>
      <w:pPr>
        <w:ind w:right="80" w:firstLine="656"/>
        <w:spacing w:after="0" w:line="277" w:lineRule="auto"/>
        <w:tabs>
          <w:tab w:leader="none" w:pos="130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certificate or certificates representing the Restricted Securities also shall be stamped or otherwise imprinted with a legend substantially in the following form:</w:t>
      </w:r>
    </w:p>
    <w:p>
      <w:pPr>
        <w:spacing w:after="0" w:line="170"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THE SECURITIES REPRESENTED BY THIS CERTIFICATE ARE SUBJECT TO RESTRICTIONS ON TRANSFER, INCLUDING ANY SALE, PLEDGE OR OTHER HYPOTHECATION, SET FORTH IN AN AGREEMENT BETWEEN THE ISSUER AND INTEL CAPITAL CORPORATION, A COPY OF WHICH AGREEMENT MAY BE OBTAINED AT NO COST BY WRITTEN REQUEST MADE BY THE HOLDER OF RECORD OF THIS CERTIFICATE TO THE SECRETARY OF THE COMPANY AT ITS PRINCIPAL EXECUTIVE OFFICES.</w:t>
      </w:r>
    </w:p>
    <w:p>
      <w:pPr>
        <w:spacing w:after="0" w:line="171" w:lineRule="exact"/>
        <w:rPr>
          <w:sz w:val="20"/>
          <w:szCs w:val="20"/>
          <w:color w:val="auto"/>
        </w:rPr>
      </w:pPr>
    </w:p>
    <w:p>
      <w:pPr>
        <w:ind w:right="240" w:firstLine="656"/>
        <w:spacing w:after="0" w:line="277" w:lineRule="auto"/>
        <w:tabs>
          <w:tab w:leader="none" w:pos="130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certificate or certificates representing the Rights and any Additional Adjustment Rights also shall be stamped or otherwise imprinted with a legend substantially in the following form:</w:t>
      </w:r>
    </w:p>
    <w:p>
      <w:pPr>
        <w:spacing w:after="0" w:line="170" w:lineRule="exact"/>
        <w:rPr>
          <w:sz w:val="20"/>
          <w:szCs w:val="20"/>
          <w:color w:val="auto"/>
        </w:rPr>
      </w:pPr>
    </w:p>
    <w:p>
      <w:pPr>
        <w:jc w:val="both"/>
        <w:ind w:left="660" w:right="320"/>
        <w:spacing w:after="0" w:line="279" w:lineRule="auto"/>
        <w:rPr>
          <w:sz w:val="20"/>
          <w:szCs w:val="20"/>
          <w:color w:val="auto"/>
        </w:rPr>
      </w:pPr>
      <w:r>
        <w:rPr>
          <w:rFonts w:ascii="Arial" w:cs="Arial" w:eastAsia="Arial" w:hAnsi="Arial"/>
          <w:sz w:val="17"/>
          <w:szCs w:val="17"/>
          <w:color w:val="auto"/>
        </w:rPr>
        <w:t>THE SECURITIES REPRESENTED BY THIS CERTIFICATE ARE SUBJECT TO PROVISIONS OF THE STOCK RIGHTS AGREEMENT WHICH CONTAINS CERTAIN RESTRICTIONS ON TRANSFER AND OTHER RIGHTS AND OBLIGATIONS. COPIES OF THE STOCK RIGHTS AGREEMENT MAY BE OBTAINED AT NO COST BY WRITTEN REQUEST MADE BY THE HOLDER OF RECORD OF THIS CERTIFICATE TO THE SECRETARY OF THE COMPANY AT ITS PRINCIPAL EXECUTIVE OFFICES.</w:t>
      </w:r>
    </w:p>
    <w:p>
      <w:pPr>
        <w:spacing w:after="0" w:line="17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Procedures for Certain Transfers</w:t>
      </w:r>
      <w:r>
        <w:rPr>
          <w:rFonts w:ascii="Arial" w:cs="Arial" w:eastAsia="Arial" w:hAnsi="Arial"/>
          <w:sz w:val="16"/>
          <w:szCs w:val="16"/>
          <w:color w:val="auto"/>
        </w:rPr>
        <w:t>.</w:t>
      </w:r>
    </w:p>
    <w:p>
      <w:pPr>
        <w:spacing w:after="0" w:line="225" w:lineRule="exact"/>
        <w:rPr>
          <w:sz w:val="20"/>
          <w:szCs w:val="20"/>
          <w:color w:val="auto"/>
        </w:rPr>
      </w:pPr>
    </w:p>
    <w:p>
      <w:pPr>
        <w:ind w:left="1320" w:hanging="664"/>
        <w:spacing w:after="0"/>
        <w:tabs>
          <w:tab w:leader="none" w:pos="1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holder of each certificate representing Restricted Securities, by acceptance thereof, agrees to comply in all respects with the provisions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this Section 3.</w:t>
      </w:r>
    </w:p>
    <w:p>
      <w:pPr>
        <w:spacing w:after="0" w:line="210" w:lineRule="exact"/>
        <w:rPr>
          <w:rFonts w:ascii="Arial" w:cs="Arial" w:eastAsia="Arial" w:hAnsi="Arial"/>
          <w:sz w:val="16"/>
          <w:szCs w:val="16"/>
          <w:color w:val="auto"/>
        </w:rPr>
      </w:pPr>
    </w:p>
    <w:p>
      <w:pPr>
        <w:ind w:right="20" w:firstLine="656"/>
        <w:spacing w:after="0" w:line="264" w:lineRule="auto"/>
        <w:tabs>
          <w:tab w:leader="none" w:pos="13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Prior to any proposed transfer of any Restricted Securities pursuant to Sections 3.1(a), (b), (e) and (g) hereof, Intel Capital shall give written notice to Micron of its intention to effect such transfer. Each such notice shall describe the manner and circumstances of the proposed transfer in sufficient detail, and shall be accompanied by either: (i) a written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opinion of legal counsel (including in-house counsel), who shall be reasonably satisfactory to Micron, addressed to Micron and reasonably satisfactory in form and substance to Micron’s counsel, to the effect that the proposed transfer of the Restricted Securities may be effected without registration under the Securities Act; or (ii) a “no action” letter from the SEC and a copy of any request by Intel Capital (together with all supplements or amendments thereto), which shall have been provided to Micron at or prior to the time of first delivery to the SEC’s staff, to the effect that the transfer of such securities without registration will not result in a recommendation by the staff of the SEC that action be taken with respect thereto, whereupon Micron shall be entitled to transfer such Restricted Securities in accordance with the terms of the notice delivered by Intel Capital to Micron.</w:t>
      </w:r>
    </w:p>
    <w:p>
      <w:pPr>
        <w:sectPr>
          <w:pgSz w:w="11900" w:h="16838" w:orient="portrait"/>
          <w:cols w:equalWidth="0" w:num="1">
            <w:col w:w="11420"/>
          </w:cols>
          <w:pgMar w:left="240" w:top="125" w:right="239" w:bottom="0" w:gutter="0" w:footer="0" w:header="0"/>
        </w:sectPr>
      </w:pPr>
    </w:p>
    <w:bookmarkStart w:id="36" w:name="page37"/>
    <w:bookmarkEnd w:id="36"/>
    <w:p>
      <w:pPr>
        <w:ind w:right="260" w:firstLine="656"/>
        <w:spacing w:after="0" w:line="264" w:lineRule="auto"/>
        <w:tabs>
          <w:tab w:leader="none" w:pos="13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connection with any proposed transfer of Restricted Securities pursuant to Section 3.1(d) hereof, Intel Capital shall comply with all applicable requirements of Rule 144 under the Securities Act and the reasonable requirements of Micron’s transfer agent with respect to sales of Restricted Securities pursuant to Rule 144.</w:t>
      </w:r>
    </w:p>
    <w:p>
      <w:pPr>
        <w:spacing w:after="0" w:line="181" w:lineRule="exact"/>
        <w:rPr>
          <w:rFonts w:ascii="Arial" w:cs="Arial" w:eastAsia="Arial" w:hAnsi="Arial"/>
          <w:sz w:val="18"/>
          <w:szCs w:val="18"/>
          <w:color w:val="auto"/>
        </w:rPr>
      </w:pPr>
    </w:p>
    <w:p>
      <w:pPr>
        <w:ind w:right="180" w:firstLine="656"/>
        <w:spacing w:after="0" w:line="290" w:lineRule="auto"/>
        <w:tabs>
          <w:tab w:leader="none" w:pos="1304"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Each certificate evidencing the Restricted Securities transferred as herein provided (other than a transfer pursuant to Section 3.1(c)) shall bear the appropriate restrictive legend set forth in Section 3.3(a) above, except that such certificate shall not bear such restrictive legend if: (i) in the opinion of counsel for Micron, such legend is not required in order to establish compliance with any provisions of the Securities Act; (ii) the Restricted Securities have been held by the holder for more than two years, and the holder represents to counsel for Micron that it has not been an </w:t>
      </w:r>
      <w:r>
        <w:rPr>
          <w:rFonts w:ascii="Arial" w:cs="Arial" w:eastAsia="Arial" w:hAnsi="Arial"/>
          <w:sz w:val="16"/>
          <w:szCs w:val="16"/>
          <w:b w:val="1"/>
          <w:bCs w:val="1"/>
          <w:color w:val="auto"/>
        </w:rPr>
        <w:t>“affiliate”</w:t>
      </w:r>
      <w:r>
        <w:rPr>
          <w:rFonts w:ascii="Arial" w:cs="Arial" w:eastAsia="Arial" w:hAnsi="Arial"/>
          <w:sz w:val="16"/>
          <w:szCs w:val="16"/>
          <w:color w:val="auto"/>
        </w:rPr>
        <w:t xml:space="preserve"> (as such term is defined for purposes of Rule 144) of Micron during the three-month period prior to the sale and shall not become an affiliate (as such term is defined for purposes of Rule 144) of Micron without resubmitting the Restricted Securities for reimposition of the legend; (iii) the Restricted Securities have been sold pursuant to Rule 144 and in compliance with Section 3.1(d). In addition, each certificate evidencing the Restricted Securities transferred pursuant to this Section 3 (other than transfers pursuant to Sections 3.1(c) and 3.1(d)) hereof shall bear the legend set forth in Section 3.2(b) above.</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Covenant Regarding Exchange Act Filings</w:t>
      </w:r>
      <w:r>
        <w:rPr>
          <w:rFonts w:ascii="Arial" w:cs="Arial" w:eastAsia="Arial" w:hAnsi="Arial"/>
          <w:sz w:val="18"/>
          <w:szCs w:val="18"/>
          <w:color w:val="auto"/>
        </w:rPr>
        <w:t>. With a view to making available to Intel Capital the benefits of Rule 144 promulgated under the Securities Act, and any other rules or regulations of the SEC which may at any time permit Intel Capital to sell any Restricted Securities without registration, until the date of termination of this Agreement, Micron agrees to use commercially reasonable efforts to file with the SEC in a timely manner all reports and other documents required to be filed under the Exchange Act.</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Termination</w:t>
      </w:r>
      <w:r>
        <w:rPr>
          <w:rFonts w:ascii="Arial" w:cs="Arial" w:eastAsia="Arial" w:hAnsi="Arial"/>
          <w:sz w:val="18"/>
          <w:szCs w:val="18"/>
          <w:color w:val="auto"/>
        </w:rPr>
        <w:t>. The provisions of this Section 3 (other than Sections 3.2 and 3.3) shall terminate upon the later to occur of: (i) the fifth anniversary date of this Agreement and (ii) such time as Intel Capital (together with all Affiliates of Intel Capital) beneficially owns in the aggregate Voting Securities of Micron representing less than five percent (5%) of the Total Voting Power of Micron or upon the closing or other completion of a Change in Control of Micron.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RIGHTS</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21" w:lineRule="exact"/>
        <w:rPr>
          <w:sz w:val="20"/>
          <w:szCs w:val="20"/>
          <w:color w:val="auto"/>
        </w:rPr>
      </w:pPr>
    </w:p>
    <w:p>
      <w:pPr>
        <w:ind w:right="80" w:firstLine="656"/>
        <w:spacing w:after="0" w:line="283" w:lineRule="auto"/>
        <w:tabs>
          <w:tab w:leader="none" w:pos="1307"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If at any time after ninety (90) days after the date hereof, Micron shall receive from Intel Capital a written request (a </w:t>
      </w:r>
      <w:r>
        <w:rPr>
          <w:rFonts w:ascii="Arial" w:cs="Arial" w:eastAsia="Arial" w:hAnsi="Arial"/>
          <w:sz w:val="16"/>
          <w:szCs w:val="16"/>
          <w:b w:val="1"/>
          <w:bCs w:val="1"/>
          <w:color w:val="auto"/>
        </w:rPr>
        <w:t>“Demand Request”</w:t>
      </w:r>
      <w:r>
        <w:rPr>
          <w:rFonts w:ascii="Arial" w:cs="Arial" w:eastAsia="Arial" w:hAnsi="Arial"/>
          <w:sz w:val="16"/>
          <w:szCs w:val="16"/>
          <w:color w:val="auto"/>
        </w:rPr>
        <w:t xml:space="preserve">) that Micron register on Form S-3 under the Securities Act (or if such form is not available, any registration statement form then available to Micron) Registrable Securities equal to at least the lesser of two percent (2%) of the Voting Securities outstanding on the date of such Demand Request and securities having an aggregate market value of $100 million or more on such date, then Micron shall use commercially reasonable efforts to cause the Registrable Securities specified in such Demand Request (the </w:t>
      </w:r>
      <w:r>
        <w:rPr>
          <w:rFonts w:ascii="Arial" w:cs="Arial" w:eastAsia="Arial" w:hAnsi="Arial"/>
          <w:sz w:val="16"/>
          <w:szCs w:val="16"/>
          <w:b w:val="1"/>
          <w:bCs w:val="1"/>
          <w:color w:val="auto"/>
        </w:rPr>
        <w:t>“Demand Registrable Securities”</w:t>
      </w:r>
      <w:r>
        <w:rPr>
          <w:rFonts w:ascii="Arial" w:cs="Arial" w:eastAsia="Arial" w:hAnsi="Arial"/>
          <w:sz w:val="16"/>
          <w:szCs w:val="16"/>
          <w:color w:val="auto"/>
        </w:rPr>
        <w:t xml:space="preserve">) to be registered as soon as reasonably practicable so as to permit the offering and sale thereof and, in connection therewith, shall prepare and file with the SEC as soon as practicable after receipt of such Demand Request, a registration statement (a </w:t>
      </w:r>
      <w:r>
        <w:rPr>
          <w:rFonts w:ascii="Arial" w:cs="Arial" w:eastAsia="Arial" w:hAnsi="Arial"/>
          <w:sz w:val="16"/>
          <w:szCs w:val="16"/>
          <w:b w:val="1"/>
          <w:bCs w:val="1"/>
          <w:color w:val="auto"/>
        </w:rPr>
        <w:t>“Demand Registration Statement”</w:t>
      </w:r>
      <w:r>
        <w:rPr>
          <w:rFonts w:ascii="Arial" w:cs="Arial" w:eastAsia="Arial" w:hAnsi="Arial"/>
          <w:sz w:val="16"/>
          <w:szCs w:val="16"/>
          <w:color w:val="auto"/>
        </w:rPr>
        <w:t xml:space="preserve">) to effect such registration, and to obtain any desired acceleration of the effective date of such Demand Registration Statement;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such Demand Request shall: (i) specify the number of Demand Registrable Securities intended to be offered and sold by Intel Capital pursuant thereto (which number of Demand Registrable Securities shall not be less than the lesser of two percent (2%) of the Voting Securities outstanding on the date of such Demand Request and securities having an aggregate market value in excess of $100 million on such date); (ii) express the present intention of Intel Capital to offer or cause the offering of such Demand Registrable Securities pursuant to such Demand Registration Statement, (iii) describe the nature or method of distribution of such Demand Registrable Securities pursuant to such Demand Registration Statement (including, in particular, whether Intel Capital plans to effect such distribution by means of an underwritten offering or other method); and</w:t>
      </w:r>
    </w:p>
    <w:p>
      <w:pPr>
        <w:spacing w:after="0" w:line="7" w:lineRule="exact"/>
        <w:rPr>
          <w:rFonts w:ascii="Arial" w:cs="Arial" w:eastAsia="Arial" w:hAnsi="Arial"/>
          <w:sz w:val="16"/>
          <w:szCs w:val="16"/>
          <w:color w:val="auto"/>
        </w:rPr>
      </w:pPr>
    </w:p>
    <w:p>
      <w:pPr>
        <w:ind w:right="460" w:firstLine="8"/>
        <w:spacing w:after="0" w:line="323" w:lineRule="auto"/>
        <w:tabs>
          <w:tab w:leader="none" w:pos="305"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contain the undertaking of Intel Capital to provide all such information and materials and take all such actions as may be required in order to permit Micron to comply with all applicable requirements of the Securities Act, the Exchange Act and the rules and regulations of the SEC thereunder.</w:t>
      </w:r>
    </w:p>
    <w:p>
      <w:pPr>
        <w:spacing w:after="0" w:line="138" w:lineRule="exact"/>
        <w:rPr>
          <w:rFonts w:ascii="Arial" w:cs="Arial" w:eastAsia="Arial" w:hAnsi="Arial"/>
          <w:sz w:val="16"/>
          <w:szCs w:val="16"/>
          <w:color w:val="auto"/>
        </w:rPr>
      </w:pPr>
    </w:p>
    <w:p>
      <w:pPr>
        <w:jc w:val="both"/>
        <w:ind w:right="440" w:firstLine="656"/>
        <w:spacing w:after="0" w:line="264" w:lineRule="auto"/>
        <w:tabs>
          <w:tab w:leader="none" w:pos="1304"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procedures to be followed by Micron and Intel Capital, and the respective rights and obligations of Micron and Intel Capital, with respect to the preparation, filing and effectiveness of Demand Registration Statements and the distribution of Demand Registrable Securities pursuant to Demand Registration Statements under this Section 4.1 are set forth in Section 4.4 hereof.</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Shelf Registration</w:t>
      </w:r>
      <w:r>
        <w:rPr>
          <w:rFonts w:ascii="Arial" w:cs="Arial" w:eastAsia="Arial" w:hAnsi="Arial"/>
          <w:sz w:val="16"/>
          <w:szCs w:val="16"/>
          <w:color w:val="auto"/>
        </w:rPr>
        <w:t>.</w:t>
      </w:r>
    </w:p>
    <w:p>
      <w:pPr>
        <w:spacing w:after="0" w:line="221" w:lineRule="exact"/>
        <w:rPr>
          <w:sz w:val="20"/>
          <w:szCs w:val="20"/>
          <w:color w:val="auto"/>
        </w:rPr>
      </w:pPr>
    </w:p>
    <w:p>
      <w:pPr>
        <w:ind w:right="40" w:firstLine="656"/>
        <w:spacing w:after="0" w:line="287" w:lineRule="auto"/>
        <w:tabs>
          <w:tab w:leader="none" w:pos="1307"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If at any time after ninety (90) days after the date hereof, Micron shall receive from Intel Capital a written request (a </w:t>
      </w:r>
      <w:r>
        <w:rPr>
          <w:rFonts w:ascii="Arial" w:cs="Arial" w:eastAsia="Arial" w:hAnsi="Arial"/>
          <w:sz w:val="16"/>
          <w:szCs w:val="16"/>
          <w:b w:val="1"/>
          <w:bCs w:val="1"/>
          <w:color w:val="auto"/>
        </w:rPr>
        <w:t>“Shelf Request”</w:t>
      </w:r>
      <w:r>
        <w:rPr>
          <w:rFonts w:ascii="Arial" w:cs="Arial" w:eastAsia="Arial" w:hAnsi="Arial"/>
          <w:sz w:val="16"/>
          <w:szCs w:val="16"/>
          <w:color w:val="auto"/>
        </w:rPr>
        <w:t xml:space="preserve">) that Micron register pursuant to Rule 415(a)(1)(i) under the Securities Act (or any successor rule with similar effect) a delayed offering of all Registrable Securities held by Intel Capital, then Micron shall use commercially reasonable efforts to cause the Registrable Securities specified in such Shelf Request (the </w:t>
      </w:r>
      <w:r>
        <w:rPr>
          <w:rFonts w:ascii="Arial" w:cs="Arial" w:eastAsia="Arial" w:hAnsi="Arial"/>
          <w:sz w:val="16"/>
          <w:szCs w:val="16"/>
          <w:b w:val="1"/>
          <w:bCs w:val="1"/>
          <w:color w:val="auto"/>
        </w:rPr>
        <w:t>“Shelf Registrable Securities”</w:t>
      </w:r>
      <w:r>
        <w:rPr>
          <w:rFonts w:ascii="Arial" w:cs="Arial" w:eastAsia="Arial" w:hAnsi="Arial"/>
          <w:sz w:val="16"/>
          <w:szCs w:val="16"/>
          <w:color w:val="auto"/>
        </w:rPr>
        <w:t>) to be registered as soon as reasonably practicable so as to permit the sale thereof and, in connection therewith, shall</w:t>
      </w:r>
    </w:p>
    <w:p>
      <w:pPr>
        <w:spacing w:after="0" w:line="2" w:lineRule="exact"/>
        <w:rPr>
          <w:rFonts w:ascii="Arial" w:cs="Arial" w:eastAsia="Arial" w:hAnsi="Arial"/>
          <w:sz w:val="16"/>
          <w:szCs w:val="16"/>
          <w:color w:val="auto"/>
        </w:rPr>
      </w:pPr>
    </w:p>
    <w:p>
      <w:pPr>
        <w:ind w:left="220" w:hanging="212"/>
        <w:spacing w:after="0"/>
        <w:tabs>
          <w:tab w:leader="none" w:pos="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prepare and file with the SEC as soon as practicable after receipt of such Shelf Request, a shelf registration statement on Form S-3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relating to such Shelf Registrable Securities, if such Form S-3 is available for use by Micron (or any successor form of registration statement to such Form S-3), to effect such registration (a </w:t>
      </w:r>
      <w:r>
        <w:rPr>
          <w:rFonts w:ascii="Arial" w:cs="Arial" w:eastAsia="Arial" w:hAnsi="Arial"/>
          <w:sz w:val="16"/>
          <w:szCs w:val="16"/>
          <w:b w:val="1"/>
          <w:bCs w:val="1"/>
          <w:color w:val="auto"/>
        </w:rPr>
        <w:t>“Shelf Registration Statement”</w:t>
      </w:r>
      <w:r>
        <w:rPr>
          <w:rFonts w:ascii="Arial" w:cs="Arial" w:eastAsia="Arial" w:hAnsi="Arial"/>
          <w:sz w:val="16"/>
          <w:szCs w:val="16"/>
          <w:color w:val="auto"/>
        </w:rPr>
        <w:t xml:space="preserve">), to enable the distribution of such Shelf Registrable Securities, and to obtain any desired acceleration of the effective date of such Shelf Registration Statement;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such Shelf Request shall: (i) express the intention of Intel Capital to offer or cause the offering of such Shelf Registrable Securities pursuant to such Shelf Registration Statement on a delayed basis in the future;</w:t>
      </w:r>
    </w:p>
    <w:p>
      <w:pPr>
        <w:spacing w:after="0" w:line="2" w:lineRule="exact"/>
        <w:rPr>
          <w:sz w:val="20"/>
          <w:szCs w:val="20"/>
          <w:color w:val="auto"/>
        </w:rPr>
      </w:pPr>
    </w:p>
    <w:p>
      <w:pPr>
        <w:ind w:right="40" w:firstLine="8"/>
        <w:spacing w:after="0" w:line="253" w:lineRule="auto"/>
        <w:tabs>
          <w:tab w:leader="none" w:pos="265"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describe the nature or method of the proposed offer and sale of such Shelf Registrable Securities pursuant to such Shelf Registration Statement (including, in particular, whether Intel Capital plans to effect such distribution by means of an underwritten offering or other method); and (iii) contain the undertaking of Intel Capital to provide all such information and materials and take all such actions as may be required in order to permit Micron to comply with all applicable requirements of the Securities Act, the Exchange Act and the rules and regulations of the SEC thereunder. Intel Capital shall not be entitled to make more than one Shelf Request during any three hundred sixty-five (365) day period.</w:t>
      </w:r>
    </w:p>
    <w:p>
      <w:pPr>
        <w:spacing w:after="0" w:line="191" w:lineRule="exact"/>
        <w:rPr>
          <w:rFonts w:ascii="Arial" w:cs="Arial" w:eastAsia="Arial" w:hAnsi="Arial"/>
          <w:sz w:val="18"/>
          <w:szCs w:val="18"/>
          <w:color w:val="auto"/>
        </w:rPr>
      </w:pPr>
    </w:p>
    <w:p>
      <w:pPr>
        <w:ind w:right="240" w:firstLine="656"/>
        <w:spacing w:after="0" w:line="342" w:lineRule="auto"/>
        <w:tabs>
          <w:tab w:leader="none" w:pos="1304" w:val="left"/>
        </w:tabs>
        <w:numPr>
          <w:ilvl w:val="1"/>
          <w:numId w:val="65"/>
        </w:numPr>
        <w:rPr>
          <w:rFonts w:ascii="Arial" w:cs="Arial" w:eastAsia="Arial" w:hAnsi="Arial"/>
          <w:sz w:val="16"/>
          <w:szCs w:val="16"/>
          <w:color w:val="auto"/>
        </w:rPr>
      </w:pPr>
      <w:r>
        <w:rPr>
          <w:rFonts w:ascii="Arial" w:cs="Arial" w:eastAsia="Arial" w:hAnsi="Arial"/>
          <w:sz w:val="16"/>
          <w:szCs w:val="16"/>
          <w:color w:val="auto"/>
        </w:rPr>
        <w:t>It is expressly agreed by the parties that the sole purpose of Micron filing and maintaining an effective a Shelf Registration Statement for the delayed offering of Shelf Registrable Securities by Intel Capital is to make the process of distributing Registrable Securities by Intel Capital more</w:t>
      </w:r>
    </w:p>
    <w:p>
      <w:pPr>
        <w:sectPr>
          <w:pgSz w:w="11900" w:h="16838" w:orient="portrait"/>
          <w:cols w:equalWidth="0" w:num="1">
            <w:col w:w="11420"/>
          </w:cols>
          <w:pgMar w:left="240" w:top="125" w:right="239" w:bottom="0" w:gutter="0" w:footer="0" w:header="0"/>
        </w:sectPr>
      </w:pPr>
    </w:p>
    <w:bookmarkStart w:id="37" w:name="page38"/>
    <w:bookmarkEnd w:id="37"/>
    <w:p>
      <w:pPr>
        <w:ind w:right="20"/>
        <w:spacing w:after="0" w:line="283" w:lineRule="auto"/>
        <w:rPr>
          <w:sz w:val="20"/>
          <w:szCs w:val="20"/>
          <w:color w:val="auto"/>
        </w:rPr>
      </w:pPr>
      <w:r>
        <w:rPr>
          <w:rFonts w:ascii="Arial" w:cs="Arial" w:eastAsia="Arial" w:hAnsi="Arial"/>
          <w:sz w:val="16"/>
          <w:szCs w:val="16"/>
          <w:color w:val="auto"/>
        </w:rPr>
        <w:t xml:space="preserve">convenient for both parties by reducing or eliminating the need to file a new Demand Registration Statement each time that Intel Capital decides to sell Registrable Securities. After a Shelf Registration Statement has been declared effective under the Securities Act by the SEC, then, upon the written request of Intel Capital (a </w:t>
      </w:r>
      <w:r>
        <w:rPr>
          <w:rFonts w:ascii="Arial" w:cs="Arial" w:eastAsia="Arial" w:hAnsi="Arial"/>
          <w:sz w:val="16"/>
          <w:szCs w:val="16"/>
          <w:b w:val="1"/>
          <w:bCs w:val="1"/>
          <w:color w:val="auto"/>
        </w:rPr>
        <w:t>“Tranche Request”</w:t>
      </w:r>
      <w:r>
        <w:rPr>
          <w:rFonts w:ascii="Arial" w:cs="Arial" w:eastAsia="Arial" w:hAnsi="Arial"/>
          <w:sz w:val="16"/>
          <w:szCs w:val="16"/>
          <w:color w:val="auto"/>
        </w:rPr>
        <w:t xml:space="preserve">), Micron shall prepare such amendments to such Shelf Registration Statement (including post-effective amendments), if any, and such amendments or supplements to the prospectus relating to the Registrable Securities to be offered thereunder pursuant to such Tranche Request (the </w:t>
      </w:r>
      <w:r>
        <w:rPr>
          <w:rFonts w:ascii="Arial" w:cs="Arial" w:eastAsia="Arial" w:hAnsi="Arial"/>
          <w:sz w:val="16"/>
          <w:szCs w:val="16"/>
          <w:b w:val="1"/>
          <w:bCs w:val="1"/>
          <w:color w:val="auto"/>
        </w:rPr>
        <w:t>“Tranche Registrable Securities”</w:t>
      </w:r>
      <w:r>
        <w:rPr>
          <w:rFonts w:ascii="Arial" w:cs="Arial" w:eastAsia="Arial" w:hAnsi="Arial"/>
          <w:sz w:val="16"/>
          <w:szCs w:val="16"/>
          <w:color w:val="auto"/>
        </w:rPr>
        <w:t xml:space="preserve">), as is necessary to facilitate the distribution of such Tranche Registrable Securities pursuant to such Tranche Request;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Tranche Request shall: (i) specify the number of Tranche Registrable Securities intended to be offered and sold by Intel Capital pursuant thereto (which number of Tranche Registrable Securities shall not be less than the lesser of two percent (2%) of the Voting Securities outstanding on the date of such Tranche Request and securities having an aggregate market value in excess of $100 million on such date); (ii) express the present intention of Intel Capital to offer or cause the offering of such Tranche Registrable Securities pursuant to the Shelf Registration Statement,</w:t>
      </w:r>
    </w:p>
    <w:p>
      <w:pPr>
        <w:spacing w:after="0" w:line="7" w:lineRule="exact"/>
        <w:rPr>
          <w:sz w:val="20"/>
          <w:szCs w:val="20"/>
          <w:color w:val="auto"/>
        </w:rPr>
      </w:pPr>
    </w:p>
    <w:p>
      <w:pPr>
        <w:jc w:val="both"/>
        <w:ind w:right="60" w:firstLine="8"/>
        <w:spacing w:after="0" w:line="273" w:lineRule="auto"/>
        <w:tabs>
          <w:tab w:leader="none" w:pos="315" w:val="left"/>
        </w:tabs>
        <w:numPr>
          <w:ilvl w:val="0"/>
          <w:numId w:val="66"/>
        </w:numPr>
        <w:rPr>
          <w:rFonts w:ascii="Arial" w:cs="Arial" w:eastAsia="Arial" w:hAnsi="Arial"/>
          <w:sz w:val="17"/>
          <w:szCs w:val="17"/>
          <w:color w:val="auto"/>
        </w:rPr>
      </w:pPr>
      <w:r>
        <w:rPr>
          <w:rFonts w:ascii="Arial" w:cs="Arial" w:eastAsia="Arial" w:hAnsi="Arial"/>
          <w:sz w:val="17"/>
          <w:szCs w:val="17"/>
          <w:color w:val="auto"/>
        </w:rPr>
        <w:t>describe the nature or method of distribution of such Tranche Registrable Securities pursuant to the Shelf Registration Statement (including, in particular, whether Intel Capital plans to effect such distribution by means of an underwritten offering or other method); and (iv) contain the undertaking of Intel Capital to provide all such information and materials and take all such actions as may be required in order to permit Micron to comply with all applicable requirements of the Securities Act, the Exchange Act and the rules and regulations of the SEC thereunder.</w:t>
      </w:r>
    </w:p>
    <w:p>
      <w:pPr>
        <w:spacing w:after="0" w:line="176" w:lineRule="exact"/>
        <w:rPr>
          <w:rFonts w:ascii="Arial" w:cs="Arial" w:eastAsia="Arial" w:hAnsi="Arial"/>
          <w:sz w:val="17"/>
          <w:szCs w:val="17"/>
          <w:color w:val="auto"/>
        </w:rPr>
      </w:pPr>
    </w:p>
    <w:p>
      <w:pPr>
        <w:ind w:right="280" w:firstLine="656"/>
        <w:spacing w:after="0" w:line="264" w:lineRule="auto"/>
        <w:tabs>
          <w:tab w:leader="none" w:pos="1307"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procedures to be followed by Micron and Intel Capital, and the respective rights and obligations of Micron and Intel Capital, with respect to the preparation, filing and effectiveness of Shelf Registration Statements and the distribution of Tranche Registrable Securities pursuant to Shelf Registration Statements under this Section 4.2 are set forth in Section 4.4 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Piggyback Registration</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69" w:lineRule="auto"/>
        <w:tabs>
          <w:tab w:leader="none" w:pos="1307"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If at any time after ninety (90) days after the date hereof, Micron shall determine to register any of its equity or equity-linked securities (other than registration statements relating to (i) employee, consultant or distributor compensation or incentive arrangements (including employee benefit plans), (ii) acquisitions or any transaction or transactions under Rule 145 under the Securities Act (or any successor rule with similar effect), (iii) distributions by principal stockholders, their Affiliates or transferees (unless consented to by such principal stockholders, Affiliates or transferees), or (iv) pursuant to Rule 415 under the Securities Act), then Micron will promptly give Intel Capital written notice thereof and include in such Micron-initiated, non-shelf, registration statement (a </w:t>
      </w:r>
      <w:r>
        <w:rPr>
          <w:rFonts w:ascii="Arial" w:cs="Arial" w:eastAsia="Arial" w:hAnsi="Arial"/>
          <w:sz w:val="17"/>
          <w:szCs w:val="17"/>
          <w:b w:val="1"/>
          <w:bCs w:val="1"/>
          <w:color w:val="auto"/>
        </w:rPr>
        <w:t>“Piggyback Registration Statement”</w:t>
      </w:r>
      <w:r>
        <w:rPr>
          <w:rFonts w:ascii="Arial" w:cs="Arial" w:eastAsia="Arial" w:hAnsi="Arial"/>
          <w:sz w:val="17"/>
          <w:szCs w:val="17"/>
          <w:color w:val="auto"/>
        </w:rPr>
        <w:t xml:space="preserve">), and in any underwriting involved therein, all Registrable Securities (the </w:t>
      </w:r>
      <w:r>
        <w:rPr>
          <w:rFonts w:ascii="Arial" w:cs="Arial" w:eastAsia="Arial" w:hAnsi="Arial"/>
          <w:sz w:val="17"/>
          <w:szCs w:val="17"/>
          <w:b w:val="1"/>
          <w:bCs w:val="1"/>
          <w:color w:val="auto"/>
        </w:rPr>
        <w:t>“Piggyback Registrable</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specified in a written request made by Intel Capital (a</w:t>
      </w:r>
      <w:r>
        <w:rPr>
          <w:rFonts w:ascii="Arial" w:cs="Arial" w:eastAsia="Arial" w:hAnsi="Arial"/>
          <w:sz w:val="17"/>
          <w:szCs w:val="17"/>
          <w:b w:val="1"/>
          <w:bCs w:val="1"/>
          <w:color w:val="auto"/>
        </w:rPr>
        <w:t xml:space="preserve"> “Piggyback Request”</w:t>
      </w:r>
      <w:r>
        <w:rPr>
          <w:rFonts w:ascii="Arial" w:cs="Arial" w:eastAsia="Arial" w:hAnsi="Arial"/>
          <w:sz w:val="17"/>
          <w:szCs w:val="17"/>
          <w:color w:val="auto"/>
        </w:rPr>
        <w:t>) within five (5) business days after receipt of such written notice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from Micron;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in this Section 4.3(a), or any other provision of this Agreement, shall be construed to limit the absolute right of Micron, for any reason and in its sole discretion: (i) to delay, suspend or terminate the filing of any Piggyback Registration Statement; (ii) to delay the effectiveness of any Piggyback Registration Statement; (iii) to terminate or reduce the number of Piggyback Registrable Securities to be distributed pursuant to any Piggyback Registration Statement (including, without limitation, pursuant to Section 4.3(c) hereof); or (iv) to withdraw such Piggyback Registration Statement.</w:t>
      </w:r>
    </w:p>
    <w:p>
      <w:pPr>
        <w:spacing w:after="0" w:line="179" w:lineRule="exact"/>
        <w:rPr>
          <w:rFonts w:ascii="Arial" w:cs="Arial" w:eastAsia="Arial" w:hAnsi="Arial"/>
          <w:sz w:val="17"/>
          <w:szCs w:val="17"/>
          <w:color w:val="auto"/>
        </w:rPr>
      </w:pPr>
    </w:p>
    <w:p>
      <w:pPr>
        <w:ind w:firstLine="656"/>
        <w:spacing w:after="0" w:line="255" w:lineRule="auto"/>
        <w:tabs>
          <w:tab w:leader="none" w:pos="13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If the Piggyback Registration Statement of which Micron gives notice is for an underwritten offering, Micron shall so advise Intel Capital as a part of the written notice given pursuant to Section 4.3(a). In such event, the right of Intel Capital to registration pursuant to this Section 4.3 shall be conditioned upon the agreement of Intel Capital to participate in such underwriting and in the inclusion of such Piggyback Registrable Securities in the underwriting to the extent provided herein. Intel Capital shall (together with Micron and any other holders distributing securities in such Piggyback Registration Statement, if any) enter into an underwriting agreement (the </w:t>
      </w:r>
      <w:r>
        <w:rPr>
          <w:rFonts w:ascii="Arial" w:cs="Arial" w:eastAsia="Arial" w:hAnsi="Arial"/>
          <w:sz w:val="18"/>
          <w:szCs w:val="18"/>
          <w:b w:val="1"/>
          <w:bCs w:val="1"/>
          <w:color w:val="auto"/>
        </w:rPr>
        <w:t>“Piggyback Underwriting Agreement”</w:t>
      </w:r>
      <w:r>
        <w:rPr>
          <w:rFonts w:ascii="Arial" w:cs="Arial" w:eastAsia="Arial" w:hAnsi="Arial"/>
          <w:sz w:val="18"/>
          <w:szCs w:val="18"/>
          <w:color w:val="auto"/>
        </w:rPr>
        <w:t>) in customary form with the underwriter or underwriters selected for such underwriting by Micron.</w:t>
      </w:r>
    </w:p>
    <w:p>
      <w:pPr>
        <w:spacing w:after="0" w:line="193" w:lineRule="exact"/>
        <w:rPr>
          <w:rFonts w:ascii="Arial" w:cs="Arial" w:eastAsia="Arial" w:hAnsi="Arial"/>
          <w:sz w:val="18"/>
          <w:szCs w:val="18"/>
          <w:color w:val="auto"/>
        </w:rPr>
      </w:pPr>
    </w:p>
    <w:p>
      <w:pPr>
        <w:ind w:firstLine="656"/>
        <w:spacing w:after="0" w:line="271" w:lineRule="auto"/>
        <w:tabs>
          <w:tab w:leader="none" w:pos="1307"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of this Agreement, if the managing underwriters of any underwritten offering pursuant to a Piggyback Request determine, in their sole discretion that, after including all the shares to be offered by Micron and all the shares of any other Persons entitled to registration rights with respect to such Piggyback Registration Statement (pursuant to other agreements with Micron), marketing factors require a limitation of the number of Piggyback Registrable Securities to be underwritten, the managing underwriters of such offering may exclude any and all of the Piggyback Registrable Securities, provided that such cut-back is made pro rata with respect to any other securities proposed to be included in such registration statement pursuant to “piggy-back” registration rights (a </w:t>
      </w:r>
      <w:r>
        <w:rPr>
          <w:rFonts w:ascii="Arial" w:cs="Arial" w:eastAsia="Arial" w:hAnsi="Arial"/>
          <w:sz w:val="17"/>
          <w:szCs w:val="17"/>
          <w:b w:val="1"/>
          <w:bCs w:val="1"/>
          <w:color w:val="auto"/>
        </w:rPr>
        <w:t>“Piggyback Market Cut-Back”</w:t>
      </w:r>
      <w:r>
        <w:rPr>
          <w:rFonts w:ascii="Arial" w:cs="Arial" w:eastAsia="Arial" w:hAnsi="Arial"/>
          <w:sz w:val="17"/>
          <w:szCs w:val="17"/>
          <w:color w:val="auto"/>
        </w:rPr>
        <w:t>). If Intel Capital disapproves of the terms of any such underwriting, it may elect to withdraw therefrom by written notice to Micron and the managing underwriters. Any Piggyback Registrable Securities excluded or withdrawn from such underwriting shall be withdrawn from such Piggyback Registration Statement.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firstLine="656"/>
        <w:spacing w:after="0" w:line="279" w:lineRule="auto"/>
        <w:tabs>
          <w:tab w:leader="none" w:pos="1304" w:val="left"/>
        </w:tabs>
        <w:numPr>
          <w:ilvl w:val="0"/>
          <w:numId w:val="68"/>
        </w:numPr>
        <w:rPr>
          <w:rFonts w:ascii="Arial" w:cs="Arial" w:eastAsia="Arial" w:hAnsi="Arial"/>
          <w:sz w:val="17"/>
          <w:szCs w:val="17"/>
          <w:color w:val="auto"/>
        </w:rPr>
      </w:pPr>
      <w:r>
        <w:rPr>
          <w:rFonts w:ascii="Arial" w:cs="Arial" w:eastAsia="Arial" w:hAnsi="Arial"/>
          <w:sz w:val="17"/>
          <w:szCs w:val="17"/>
          <w:color w:val="auto"/>
        </w:rPr>
        <w:t>Except to the extent specifically provided in this Section 4.3 hereof, the procedures to be followed by Micron and Intel Capital, and the respective rights and obligations of Micron and Intel Capital, with respect to the distribution of any Piggyback Registrable Securities by Intel Capital pursuant to any Piggyback Registration Statement filed by Micron shall be as set forth in the Piggyback Underwriting Agreement, or any other agreement or agreements governing the distribution of such Piggyback Registrable Securities pursuant to such Piggyback Registration Statement.</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Demand and Shelf Registration Procedures, Rights and Obligations</w:t>
      </w:r>
      <w:r>
        <w:rPr>
          <w:rFonts w:ascii="Arial" w:cs="Arial" w:eastAsia="Arial" w:hAnsi="Arial"/>
          <w:sz w:val="18"/>
          <w:szCs w:val="18"/>
          <w:color w:val="auto"/>
        </w:rPr>
        <w:t>. The procedures to be followed by Micron and Intel Capital, and the respective rights and obligations of Micron and Intel Capital, with respect to the preparation, filing and effectiveness of Demand Registration Statements and Shelf Registration Statements, respectively, and the distribution of Demand Registrable Securities and Tranche Registrable Securities, respectively, pursuant thereto, are as follows:</w:t>
      </w:r>
    </w:p>
    <w:p>
      <w:pPr>
        <w:spacing w:after="0" w:line="187" w:lineRule="exact"/>
        <w:rPr>
          <w:sz w:val="20"/>
          <w:szCs w:val="20"/>
          <w:color w:val="auto"/>
        </w:rPr>
      </w:pPr>
    </w:p>
    <w:p>
      <w:pPr>
        <w:ind w:right="40" w:firstLine="656"/>
        <w:spacing w:after="0" w:line="285" w:lineRule="auto"/>
        <w:tabs>
          <w:tab w:leader="none" w:pos="1307"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Intel Capital shall not be entitled to make more than one Demand Request or Tranche Request during any one hundred eighty (180) day period (the </w:t>
      </w:r>
      <w:r>
        <w:rPr>
          <w:rFonts w:ascii="Arial" w:cs="Arial" w:eastAsia="Arial" w:hAnsi="Arial"/>
          <w:sz w:val="16"/>
          <w:szCs w:val="16"/>
          <w:b w:val="1"/>
          <w:bCs w:val="1"/>
          <w:color w:val="auto"/>
        </w:rPr>
        <w:t>“180-Day Limitation”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(i) any Demand Request that: (A) does not result in the corresponding Demand Registration Statement being declared effective by the SEC; (B) is withdrawn by Intel Capital following the imposition of a stop order by the SEC with respect to the corresponding Demand Registration Statement; (C) is withdrawn by Intel Capital as a result of the exercise by Micron of its suspension rights pursuant to Sections 4.4(e) or (f) hereof; or (D) is withdrawn by Intel Capital as a result of a Demand/Tranche Market Cut-Back (as defined in Section 4.4(d) hereof); and</w:t>
      </w:r>
    </w:p>
    <w:p>
      <w:pPr>
        <w:spacing w:after="0" w:line="2" w:lineRule="exact"/>
        <w:rPr>
          <w:rFonts w:ascii="Arial" w:cs="Arial" w:eastAsia="Arial" w:hAnsi="Arial"/>
          <w:sz w:val="16"/>
          <w:szCs w:val="16"/>
          <w:color w:val="auto"/>
        </w:rPr>
      </w:pPr>
    </w:p>
    <w:p>
      <w:pPr>
        <w:ind w:right="180" w:firstLine="8"/>
        <w:spacing w:after="0" w:line="281" w:lineRule="auto"/>
        <w:tabs>
          <w:tab w:leader="none" w:pos="265"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Tranche Request that: (A) is withdrawn by Intel Capital following the imposition of a stop order by the SEC with respect to the corresponding Shelf Registration Statement; (B) is withdrawn by Intel Capital as a result of the exercise by Micron of its suspension rights pursuant to Sections 4.4(e) or</w:t>
      </w:r>
    </w:p>
    <w:p>
      <w:pPr>
        <w:spacing w:after="0" w:line="1" w:lineRule="exact"/>
        <w:rPr>
          <w:rFonts w:ascii="Arial" w:cs="Arial" w:eastAsia="Arial" w:hAnsi="Arial"/>
          <w:sz w:val="16"/>
          <w:szCs w:val="16"/>
          <w:color w:val="auto"/>
        </w:rPr>
      </w:pPr>
    </w:p>
    <w:p>
      <w:pPr>
        <w:ind w:right="40" w:firstLine="8"/>
        <w:spacing w:after="0" w:line="323" w:lineRule="auto"/>
        <w:tabs>
          <w:tab w:leader="none" w:pos="225" w:val="left"/>
        </w:tabs>
        <w:numPr>
          <w:ilvl w:val="0"/>
          <w:numId w:val="71"/>
        </w:numPr>
        <w:rPr>
          <w:rFonts w:ascii="Arial" w:cs="Arial" w:eastAsia="Arial" w:hAnsi="Arial"/>
          <w:sz w:val="16"/>
          <w:szCs w:val="16"/>
          <w:color w:val="auto"/>
        </w:rPr>
      </w:pPr>
      <w:r>
        <w:rPr>
          <w:rFonts w:ascii="Arial" w:cs="Arial" w:eastAsia="Arial" w:hAnsi="Arial"/>
          <w:sz w:val="16"/>
          <w:szCs w:val="16"/>
          <w:color w:val="auto"/>
        </w:rPr>
        <w:t>hereof; or (C) is withdrawn by Intel Capital as a result of a Demand/Tranche Market Cut-Back, shall not count for the purposes of determining compliance with the 180-Day Limitation. Any Demand Request or Tranche Request that is withdrawn by Intel Capital for any reason other than as set forth in the</w:t>
      </w:r>
    </w:p>
    <w:p>
      <w:pPr>
        <w:sectPr>
          <w:pgSz w:w="11900" w:h="16838" w:orient="portrait"/>
          <w:cols w:equalWidth="0" w:num="1">
            <w:col w:w="11420"/>
          </w:cols>
          <w:pgMar w:left="240" w:top="125" w:right="239" w:bottom="0" w:gutter="0" w:footer="0" w:header="0"/>
        </w:sectPr>
      </w:pPr>
    </w:p>
    <w:bookmarkStart w:id="38" w:name="page39"/>
    <w:bookmarkEnd w:id="38"/>
    <w:p>
      <w:pPr>
        <w:spacing w:after="0" w:line="272" w:lineRule="auto"/>
        <w:rPr>
          <w:sz w:val="20"/>
          <w:szCs w:val="20"/>
          <w:color w:val="auto"/>
        </w:rPr>
      </w:pPr>
      <w:r>
        <w:rPr>
          <w:rFonts w:ascii="Arial" w:cs="Arial" w:eastAsia="Arial" w:hAnsi="Arial"/>
          <w:sz w:val="17"/>
          <w:szCs w:val="17"/>
          <w:color w:val="auto"/>
        </w:rPr>
        <w:t>previous sentence shall count for purposes of determining compliance with the 180-Day Limitation. Piggyback Requests shall not count for purposes of determining compliance with the 180-Day Limitation regardless of whether a Piggyback Registration Statement is filed, declared effective or withdrawn or whether any distribution of Piggyback Registrable Securities is effected, terminated or cut back (pursuant to Section 4.3(c) hereof, or otherwise). Intel Capital shall not be entitled to offer or sell any securities pursuant to a Demand Registration Statement or Shelf Registration Statement unless and until, following a Demand Request or a Tranche Request, as applicable, Micron has made all required filings with the SEC with respect to the distribution of Registrable Securities contemplated by such Demand Request or Tranche Request, as applicable, such filings have become effective and Micron has promptly notified Intel Capital of the foregoing and that no Suspension Condition then exists.</w:t>
      </w:r>
    </w:p>
    <w:p>
      <w:pPr>
        <w:spacing w:after="0" w:line="178" w:lineRule="exact"/>
        <w:rPr>
          <w:sz w:val="20"/>
          <w:szCs w:val="20"/>
          <w:color w:val="auto"/>
        </w:rPr>
      </w:pPr>
    </w:p>
    <w:p>
      <w:pPr>
        <w:jc w:val="both"/>
        <w:ind w:firstLine="656"/>
        <w:spacing w:after="0" w:line="259" w:lineRule="auto"/>
        <w:tabs>
          <w:tab w:leader="none" w:pos="1304" w:val="left"/>
        </w:tabs>
        <w:numPr>
          <w:ilvl w:val="0"/>
          <w:numId w:val="72"/>
        </w:numPr>
        <w:rPr>
          <w:rFonts w:ascii="Arial" w:cs="Arial" w:eastAsia="Arial" w:hAnsi="Arial"/>
          <w:sz w:val="18"/>
          <w:szCs w:val="18"/>
          <w:color w:val="auto"/>
        </w:rPr>
      </w:pPr>
      <w:r>
        <w:rPr>
          <w:rFonts w:ascii="Arial" w:cs="Arial" w:eastAsia="Arial" w:hAnsi="Arial"/>
          <w:sz w:val="18"/>
          <w:szCs w:val="18"/>
          <w:color w:val="auto"/>
        </w:rPr>
        <w:t>Micron shall use commercially reasonable efforts to cause each Demand Registration Statement and Shelf Registration Statement to be declared effective promptly and to keep such Demand Registration Statement and Shelf Registration Statement continuously effective until the earlier to occur of: (i) the sale or other disposition of the Registrable Securities so registered; (ii) (X) in the case of a firmly committed, underwritten offering, sixty (60) days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after (A) if pursuant to a Demand Registration Statement, the effective date of any Demand Registration Statement or (B) if pursuant to a Tranche Request, the date of the final prospectus used to confirm sales in connection with the underwritten offering of Tranche Registrable Securities, and (Y) in the case of all other plans of distribution, (A) if pursuant to a Demand Registration Statement, fifteen (15) business days after the effective date of such Demand Registration Statement or (B) if pursuant to a Tranche Request, fifteen (15) business days after the earlier of the effectiveness of the amendment to the Shelf Registration Statement or the filing of the amendment or supplement to the prospectus included in such registration statement required to facilitate such distribution and the date of the notice required by the last sentence of Section 4.4(a) hereof if no such amendment or supplement is so required; and (iii) the termination of Intel Capital’s registration rights pursuant to Section 4.10 hereof. Micron shall prepare and file with the SEC such amendments and supplements to each Demand Registration Statement and Shelf Registration Statement and each prospectus used in connection therewith as may be necessary to make and to keep such Demand Registration Statement and Shelf Registration Statement effective and to comply with the provisions of the Securities Act with respect to the sale or other disposition of all Registrable Securities proposed to be distributed pursuant to such Demand Registration Statement and Shelf Registration Statement until the earlier to occur of (i) the sale or other disposition of the Registrable Securities so registered; (ii) (X) in the case of a firmly committed, underwritten offering, sixty (60) days after (A) if pursuant to a Demand Registration Statement, the effective date of any Demand Registration Statement or (B) if pursuant to a Tranche Request, the date of the final prospectus used to confirm sales in connection with the underwritten offering of Tranche Registrable Securities, and (Y) in the case of all other plans of distribution, (a) if pursuant to a Demand Registration Statement, fifteen (15) business days after the effective date of such Demand Registration Statement or (b) if pursuant to a Tranche Request, fifteen (15) business days after the earlier of the effectiveness of the amendment to the Shelf Registration Statement or the filing of the amendment or supplement to the prospectus included in such registration statement required to facilitate such distribution and the date of the notice required by the last sentence of Section 4.4(a) hereof if no such amendment or supplement is so required; and (iii) the termination of Intel Capital’s registration rights pursuant to Section 4.10 hereof.</w:t>
      </w:r>
    </w:p>
    <w:p>
      <w:pPr>
        <w:spacing w:after="0" w:line="173" w:lineRule="exact"/>
        <w:rPr>
          <w:sz w:val="20"/>
          <w:szCs w:val="20"/>
          <w:color w:val="auto"/>
        </w:rPr>
      </w:pPr>
    </w:p>
    <w:p>
      <w:pPr>
        <w:ind w:firstLine="656"/>
        <w:spacing w:after="0" w:line="288" w:lineRule="auto"/>
        <w:tabs>
          <w:tab w:leader="none" w:pos="1307"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In connection with any underwritten offering pursuant to a Demand Registration Statement or a Shelf Registration Statement which Intel Capital has requested be underwritten, Micron, on the one hand, and Intel Capital, on the other hand, shall each select one investment banking firm to serve as co-manager of such offering. The co-manager selected by Micron shall be subject to the prior approval of Intel Capital, which approval shall not be unreasonably withheld, and the co-manager selected by Intel Capital shall be subject to the prior approval of Micron, which approval shall not be unreasonably withheld. Each of the co-managers so selected by Micron and Intel Capital are hereinafter collectively referred to as the </w:t>
      </w:r>
      <w:r>
        <w:rPr>
          <w:rFonts w:ascii="Arial" w:cs="Arial" w:eastAsia="Arial" w:hAnsi="Arial"/>
          <w:sz w:val="16"/>
          <w:szCs w:val="16"/>
          <w:b w:val="1"/>
          <w:bCs w:val="1"/>
          <w:color w:val="auto"/>
        </w:rPr>
        <w:t>“Demand/Tranche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Managing Underwriters.” </w:t>
      </w:r>
      <w:r>
        <w:rPr>
          <w:rFonts w:ascii="Arial" w:cs="Arial" w:eastAsia="Arial" w:hAnsi="Arial"/>
          <w:sz w:val="16"/>
          <w:szCs w:val="16"/>
          <w:color w:val="auto"/>
        </w:rPr>
        <w:t>The Demand/Tranche Underwriter selected by Intel Capital shall be the lead Demand/Tranche Managing Underwriter, whose</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shall include running the “books” for any offering. Micron shall, together with Intel Capital, enter into an underwriting agreement with the Demand/Tranche Managing Underwriters, which agreement shall contain representations, warranties, indemnities and agreements then customarily included by an issuer in underwriting agreements with respect to secondary distributions under demand registration statements or shelf registration statements, as the case may be, and shall stipulate that the Demand/Tranche Managing Underwriters will receive equal commissions and fees and other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remuneration in connection with the distribution of any Demand Registrable Securities or Tranche Registrable Securities thereunder.</w:t>
      </w:r>
    </w:p>
    <w:p>
      <w:pPr>
        <w:spacing w:after="0" w:line="225" w:lineRule="exact"/>
        <w:rPr>
          <w:sz w:val="20"/>
          <w:szCs w:val="20"/>
          <w:color w:val="auto"/>
        </w:rPr>
      </w:pPr>
    </w:p>
    <w:p>
      <w:pPr>
        <w:ind w:firstLine="656"/>
        <w:spacing w:after="0" w:line="270" w:lineRule="auto"/>
        <w:tabs>
          <w:tab w:leader="none" w:pos="1304" w:val="left"/>
        </w:tabs>
        <w:numPr>
          <w:ilvl w:val="1"/>
          <w:numId w:val="74"/>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of this Agreement, in connection with any underwritten offering, the number of Demand Registrable Securities or Tranche Registrable Securities proposed to be distributed by Intel Capital pursuant to any Demand Request or Tranche Request may be limited by the Demand/Tranche Managing Underwriters if such Demand/Tranche Managing Underwriters determine that the sale of such Demand Registrable Securities or Tranche Registrable Securities would significantly and adversely affect the market price of the Common Stock (a </w:t>
      </w:r>
      <w:r>
        <w:rPr>
          <w:rFonts w:ascii="Arial" w:cs="Arial" w:eastAsia="Arial" w:hAnsi="Arial"/>
          <w:sz w:val="17"/>
          <w:szCs w:val="17"/>
          <w:b w:val="1"/>
          <w:bCs w:val="1"/>
          <w:color w:val="auto"/>
        </w:rPr>
        <w:t>“Demand/Tranche Market</w:t>
      </w:r>
      <w:r>
        <w:rPr>
          <w:rFonts w:ascii="Arial" w:cs="Arial" w:eastAsia="Arial" w:hAnsi="Arial"/>
          <w:sz w:val="17"/>
          <w:szCs w:val="17"/>
          <w:color w:val="auto"/>
        </w:rPr>
        <w:t xml:space="preserve"> </w:t>
      </w:r>
      <w:r>
        <w:rPr>
          <w:rFonts w:ascii="Arial" w:cs="Arial" w:eastAsia="Arial" w:hAnsi="Arial"/>
          <w:sz w:val="17"/>
          <w:szCs w:val="17"/>
          <w:b w:val="1"/>
          <w:bCs w:val="1"/>
          <w:color w:val="auto"/>
        </w:rPr>
        <w:t>Cut-Back”</w:t>
      </w:r>
      <w:r>
        <w:rPr>
          <w:rFonts w:ascii="Arial" w:cs="Arial" w:eastAsia="Arial" w:hAnsi="Arial"/>
          <w:sz w:val="17"/>
          <w:szCs w:val="17"/>
          <w:color w:val="auto"/>
        </w:rPr>
        <w:t>). If Intel Capital disapproves of the terms of any proposed underwritten offering under a Demand Registration Statement or a Shelf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(including, without limitation, any reduction in the number of Demand Registrable Securities or Tranche Registrable Securities, as the case may be, to be sold by Intel Capital thereunder pursuant to this Section 4.4(d)), Intel Capital may elect to withdraw therefrom by written notice to Micron and the Demand/Tranche Managing Underwriters. Any Demand Registrable Securities excluded or withdrawn from such underwriting shall also be withdrawn from any applicable Demand Registration Statement.</w:t>
      </w:r>
    </w:p>
    <w:p>
      <w:pPr>
        <w:spacing w:after="0" w:line="181" w:lineRule="exact"/>
        <w:rPr>
          <w:rFonts w:ascii="Arial" w:cs="Arial" w:eastAsia="Arial" w:hAnsi="Arial"/>
          <w:sz w:val="17"/>
          <w:szCs w:val="17"/>
          <w:color w:val="auto"/>
        </w:rPr>
      </w:pPr>
    </w:p>
    <w:p>
      <w:pPr>
        <w:ind w:right="40" w:firstLine="656"/>
        <w:spacing w:after="0" w:line="286" w:lineRule="auto"/>
        <w:tabs>
          <w:tab w:leader="none" w:pos="1307" w:val="left"/>
        </w:tabs>
        <w:numPr>
          <w:ilvl w:val="1"/>
          <w:numId w:val="74"/>
        </w:numPr>
        <w:rPr>
          <w:rFonts w:ascii="Arial" w:cs="Arial" w:eastAsia="Arial" w:hAnsi="Arial"/>
          <w:sz w:val="16"/>
          <w:szCs w:val="16"/>
          <w:color w:val="auto"/>
        </w:rPr>
      </w:pPr>
      <w:r>
        <w:rPr>
          <w:rFonts w:ascii="Arial" w:cs="Arial" w:eastAsia="Arial" w:hAnsi="Arial"/>
          <w:sz w:val="16"/>
          <w:szCs w:val="16"/>
          <w:color w:val="auto"/>
        </w:rPr>
        <w:t>Notwithstanding any other provisions of this Agreement, in the event that Micron receives a Demand Request, Shelf Request or Tranche Request at a time when Micron (i) shall have filed, or has a bona fide intention to promptly file, a registration statement with respect to a proposed public offering of equity or equity-linked securities or (ii) has commenced, or has a bona fide intention to promptly commence, a public offering of equity or equity-linked securities pursuant to an existing effective shelf or other registration statement, then Micron shall be entitled to suspend, for a period of up to ninety</w:t>
      </w:r>
    </w:p>
    <w:p>
      <w:pPr>
        <w:spacing w:after="0" w:line="1" w:lineRule="exact"/>
        <w:rPr>
          <w:rFonts w:ascii="Arial" w:cs="Arial" w:eastAsia="Arial" w:hAnsi="Arial"/>
          <w:sz w:val="16"/>
          <w:szCs w:val="16"/>
          <w:color w:val="auto"/>
        </w:rPr>
      </w:pPr>
    </w:p>
    <w:p>
      <w:pPr>
        <w:ind w:right="140" w:firstLine="8"/>
        <w:spacing w:after="0" w:line="261" w:lineRule="auto"/>
        <w:tabs>
          <w:tab w:leader="none" w:pos="345" w:val="left"/>
        </w:tabs>
        <w:numPr>
          <w:ilvl w:val="0"/>
          <w:numId w:val="75"/>
        </w:numPr>
        <w:rPr>
          <w:rFonts w:ascii="Arial" w:cs="Arial" w:eastAsia="Arial" w:hAnsi="Arial"/>
          <w:sz w:val="18"/>
          <w:szCs w:val="18"/>
          <w:color w:val="auto"/>
        </w:rPr>
      </w:pPr>
      <w:r>
        <w:rPr>
          <w:rFonts w:ascii="Arial" w:cs="Arial" w:eastAsia="Arial" w:hAnsi="Arial"/>
          <w:sz w:val="18"/>
          <w:szCs w:val="18"/>
          <w:color w:val="auto"/>
        </w:rPr>
        <w:t>days after the receipt by Micron of such Demand Request, Shelf Request or Tranche Request, the filing of any Demand Registration Statement or Shelf Registration Statement or the implementation of any Tranche Request.</w:t>
      </w:r>
    </w:p>
    <w:p>
      <w:pPr>
        <w:spacing w:after="0" w:line="183" w:lineRule="exact"/>
        <w:rPr>
          <w:rFonts w:ascii="Arial" w:cs="Arial" w:eastAsia="Arial" w:hAnsi="Arial"/>
          <w:sz w:val="18"/>
          <w:szCs w:val="18"/>
          <w:color w:val="auto"/>
        </w:rPr>
      </w:pPr>
    </w:p>
    <w:p>
      <w:pPr>
        <w:ind w:right="80" w:firstLine="656"/>
        <w:spacing w:after="0" w:line="293" w:lineRule="auto"/>
        <w:tabs>
          <w:tab w:leader="none" w:pos="1314" w:val="left"/>
        </w:tabs>
        <w:numPr>
          <w:ilvl w:val="1"/>
          <w:numId w:val="75"/>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in the event that Micron determines that: (i) non-public material information regarding Micron exists, the immediate disclosure of which would be significantly disadvantageous to Micron; (ii) the prospectus constituting a part of any Demand Registration Statement or Shelf Registration Statement covering the distribution of any Demand Registrable Securities or Tranche Securities contains an untrue statement of a material fact or omits to state a material fact required to be stated therein or necessary to make the statements therein, in the light of the circumstances under which they were made, not misleading; or (iii) an offering of Demand Registrable Securities or Tranche Registrable Securities would materially interfere with any proposed material acquisition, disposition or other similar corporate transaction or event involving Micron</w:t>
      </w:r>
    </w:p>
    <w:p>
      <w:pPr>
        <w:sectPr>
          <w:pgSz w:w="11900" w:h="16838" w:orient="portrait"/>
          <w:cols w:equalWidth="0" w:num="1">
            <w:col w:w="11400"/>
          </w:cols>
          <w:pgMar w:left="240" w:top="125" w:right="259" w:bottom="0" w:gutter="0" w:footer="0" w:header="0"/>
        </w:sectPr>
      </w:pPr>
    </w:p>
    <w:bookmarkStart w:id="39" w:name="page40"/>
    <w:bookmarkEnd w:id="39"/>
    <w:p>
      <w:pPr>
        <w:ind w:right="20"/>
        <w:spacing w:after="0" w:line="274" w:lineRule="auto"/>
        <w:rPr>
          <w:sz w:val="20"/>
          <w:szCs w:val="20"/>
          <w:color w:val="auto"/>
        </w:rPr>
      </w:pPr>
      <w:r>
        <w:rPr>
          <w:rFonts w:ascii="Arial" w:cs="Arial" w:eastAsia="Arial" w:hAnsi="Arial"/>
          <w:sz w:val="17"/>
          <w:szCs w:val="17"/>
          <w:color w:val="auto"/>
        </w:rPr>
        <w:t xml:space="preserve">(each of the events or conditions referred to in clauses (i), (ii) and (iii) of this sentence is hereinafter referred to as a </w:t>
      </w:r>
      <w:r>
        <w:rPr>
          <w:rFonts w:ascii="Arial" w:cs="Arial" w:eastAsia="Arial" w:hAnsi="Arial"/>
          <w:sz w:val="17"/>
          <w:szCs w:val="17"/>
          <w:b w:val="1"/>
          <w:bCs w:val="1"/>
          <w:color w:val="auto"/>
        </w:rPr>
        <w:t>“Suspension Condition”</w:t>
      </w:r>
      <w:r>
        <w:rPr>
          <w:rFonts w:ascii="Arial" w:cs="Arial" w:eastAsia="Arial" w:hAnsi="Arial"/>
          <w:sz w:val="17"/>
          <w:szCs w:val="17"/>
          <w:color w:val="auto"/>
        </w:rPr>
        <w:t>), then Micron shall have the right to suspend the filing or effectiveness of any Demand Registration Statement or Shelf Registration Statement or to suspend any distribution of Demand Registrable Securities or Tranche Registrable Securities pursuant to any effective Demand Registration Statement or Shelf Registration Statement for so long as such Suspension Condition exists. Micron will as promptly as practicable provide written notice to Intel Capital when a Suspension Condition arises and when it ceases to exist. Upon receipt of notice from Micron of the existence of any Suspension Condition, Intel Capital shall forthwith discontinue efforts to: (i) file or cause any Demand Registration Statement or Shelf Registration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Statement to be declared effective by the SEC (in the event that such Demand Registration Statement or Shelf Registration Statement has not been filed, or has been filed but not declared effective, at the time Intel Capital receives notice that a Suspension Condition has arisen); or (ii) offer or sell Demand Registrable Securities or Tranche Registrable Securities (in the event that such Demand Registration Statement or Shelf Registration Statement has been declared effective at the time Intel Capital receives notice that a Suspension Condition has arisen). In the event that Intel Capital had previously commenced or was about to commence the distribution of Demand Registrable Securities or Tranche Registrable Securities pursuant to a prospectus under an effective Demand Registration Statement or Shelf Registration Statement, then Micron shall, as promptly as practicable after the Suspension Condition ceases to exist, make available to Intel Capital (and to each underwriter, if any, participating in such distribution) an amendment or supplement to such prospectus. If so directed by Micron, Intel Capital shall deliver to Micron all copies, other than permanent file copies then in Intel Capital’s possession, of the most recent prospectus covering such Demand Registrable Securities or Tranche Registrable Securities at the time of receipt of such notice.</w:t>
      </w:r>
    </w:p>
    <w:p>
      <w:pPr>
        <w:spacing w:after="0" w:line="167" w:lineRule="exact"/>
        <w:rPr>
          <w:sz w:val="20"/>
          <w:szCs w:val="20"/>
          <w:color w:val="auto"/>
        </w:rPr>
      </w:pPr>
    </w:p>
    <w:p>
      <w:pPr>
        <w:ind w:right="300" w:firstLine="656"/>
        <w:spacing w:after="0" w:line="257" w:lineRule="auto"/>
        <w:tabs>
          <w:tab w:leader="none" w:pos="1304"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Micron shall not be permitted to postpone (i) the filing or effectiveness of any Demand Registration Statement or Shelf Registration Statement or (ii) the distribution of any Demand Registrable Securities or Tranche Registrable Securities pursuant to an effective Demand Registration Statement or an effective Shelf Registration Statement pursuant to Sections 4.4(e), 4.4(f) or 4.9(a) hereof for an aggregate of more than one hundred thirty-five (135) days in any one hundred eighty day (180) day period (including any market standoff periods applicable to Intel Capital pursuant to Section 4.9(a) hereof).</w:t>
      </w:r>
    </w:p>
    <w:p>
      <w:pPr>
        <w:spacing w:after="0" w:line="188" w:lineRule="exact"/>
        <w:rPr>
          <w:rFonts w:ascii="Arial" w:cs="Arial" w:eastAsia="Arial" w:hAnsi="Arial"/>
          <w:sz w:val="18"/>
          <w:szCs w:val="18"/>
          <w:color w:val="auto"/>
        </w:rPr>
      </w:pPr>
    </w:p>
    <w:p>
      <w:pPr>
        <w:ind w:right="400" w:firstLine="656"/>
        <w:spacing w:after="0" w:line="264" w:lineRule="auto"/>
        <w:tabs>
          <w:tab w:leader="none" w:pos="1304" w:val="left"/>
        </w:tabs>
        <w:numPr>
          <w:ilvl w:val="0"/>
          <w:numId w:val="76"/>
        </w:numPr>
        <w:rPr>
          <w:rFonts w:ascii="Arial" w:cs="Arial" w:eastAsia="Arial" w:hAnsi="Arial"/>
          <w:sz w:val="18"/>
          <w:szCs w:val="18"/>
          <w:color w:val="auto"/>
        </w:rPr>
      </w:pPr>
      <w:r>
        <w:rPr>
          <w:rFonts w:ascii="Arial" w:cs="Arial" w:eastAsia="Arial" w:hAnsi="Arial"/>
          <w:sz w:val="18"/>
          <w:szCs w:val="18"/>
          <w:color w:val="auto"/>
        </w:rPr>
        <w:t>Micron shall promptly notify Intel Capital of any stop order issued or, to Micron’s knowledge, threatened to be issued by the SEC with respect to any Demand Registration Statement or Shelf Registration Statement as to which a Tranche Request is pending, and will use its best efforts to prevent the entry of such stop order or to remove it if entered at the earliest possible date.</w:t>
      </w:r>
    </w:p>
    <w:p>
      <w:pPr>
        <w:spacing w:after="0" w:line="181" w:lineRule="exact"/>
        <w:rPr>
          <w:rFonts w:ascii="Arial" w:cs="Arial" w:eastAsia="Arial" w:hAnsi="Arial"/>
          <w:sz w:val="18"/>
          <w:szCs w:val="18"/>
          <w:color w:val="auto"/>
        </w:rPr>
      </w:pPr>
    </w:p>
    <w:p>
      <w:pPr>
        <w:ind w:right="20" w:firstLine="656"/>
        <w:spacing w:after="0" w:line="255" w:lineRule="auto"/>
        <w:tabs>
          <w:tab w:leader="none" w:pos="1318" w:val="left"/>
        </w:tabs>
        <w:numPr>
          <w:ilvl w:val="0"/>
          <w:numId w:val="76"/>
        </w:numPr>
        <w:rPr>
          <w:rFonts w:ascii="Arial" w:cs="Arial" w:eastAsia="Arial" w:hAnsi="Arial"/>
          <w:sz w:val="18"/>
          <w:szCs w:val="18"/>
          <w:color w:val="auto"/>
        </w:rPr>
      </w:pPr>
      <w:r>
        <w:rPr>
          <w:rFonts w:ascii="Arial" w:cs="Arial" w:eastAsia="Arial" w:hAnsi="Arial"/>
          <w:sz w:val="18"/>
          <w:szCs w:val="18"/>
          <w:color w:val="auto"/>
        </w:rPr>
        <w:t>Micron shall furnish to Intel Capital (and any underwriters in connection with any underwritten offering) such number of copies of any prospectus (including any preliminary prospectus and any amended or supplemented prospectus), in conformity with the requirements of the Securities Act, as Intel Capital (and such underwriters) shall reasonably request in order to effect the offering and sale of any Demand Registrable Securities or Tranche Registrable Securities to be offered and sold, but only while Micron shall be required under the provisions hereof to cause the Demand Registration Statement or Shelf Registration Statement pursuant to which such Demand Registrable Securities or Tranche Registrable Securities are intended to be distributed to remain current.</w:t>
      </w:r>
    </w:p>
    <w:p>
      <w:pPr>
        <w:spacing w:after="0" w:line="193" w:lineRule="exact"/>
        <w:rPr>
          <w:rFonts w:ascii="Arial" w:cs="Arial" w:eastAsia="Arial" w:hAnsi="Arial"/>
          <w:sz w:val="18"/>
          <w:szCs w:val="18"/>
          <w:color w:val="auto"/>
        </w:rPr>
      </w:pPr>
    </w:p>
    <w:p>
      <w:pPr>
        <w:ind w:right="280" w:firstLine="656"/>
        <w:spacing w:after="0" w:line="279" w:lineRule="auto"/>
        <w:tabs>
          <w:tab w:leader="none" w:pos="1318" w:val="left"/>
        </w:tabs>
        <w:numPr>
          <w:ilvl w:val="0"/>
          <w:numId w:val="76"/>
        </w:numPr>
        <w:rPr>
          <w:rFonts w:ascii="Arial" w:cs="Arial" w:eastAsia="Arial" w:hAnsi="Arial"/>
          <w:sz w:val="17"/>
          <w:szCs w:val="17"/>
          <w:color w:val="auto"/>
        </w:rPr>
      </w:pPr>
      <w:r>
        <w:rPr>
          <w:rFonts w:ascii="Arial" w:cs="Arial" w:eastAsia="Arial" w:hAnsi="Arial"/>
          <w:sz w:val="17"/>
          <w:szCs w:val="17"/>
          <w:color w:val="auto"/>
        </w:rPr>
        <w:t>Micron shall use commercially reasonable efforts to register or qualify the Demand Registrable Securities and Tranche Registrable Securities covered by each Demand Registration Statement and Shelf Registration Statement, respectively, under the state securities or “blue sky” laws of such states as Intel Capital shall reasonably request, maintain any such registration or qualification current, until the earlier to occur of: (i) the sale or other disposition of the Registrable Securities so registered; (ii) (X) in the case of a firmly committed,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underwritten offering, sixty (60) days after (A) if pursuant to a Demand Registration Statement, the effective date of any Demand Registration Statement or</w:t>
      </w:r>
    </w:p>
    <w:p>
      <w:pPr>
        <w:spacing w:after="0" w:line="46" w:lineRule="exact"/>
        <w:rPr>
          <w:sz w:val="20"/>
          <w:szCs w:val="20"/>
          <w:color w:val="auto"/>
        </w:rPr>
      </w:pPr>
    </w:p>
    <w:p>
      <w:pPr>
        <w:ind w:right="20" w:firstLine="8"/>
        <w:spacing w:after="0" w:line="268" w:lineRule="auto"/>
        <w:tabs>
          <w:tab w:leader="none" w:pos="285"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if pursuant to a Tranche Request, the date of the final prospectus used to confirm sales in connection with the underwritten offering of Tranche Registrable Securities, and (Y) in the case of all other plans of distribution, (A) if pursuant to a Demand Registration Statement, thirty (30) business days after the effective date of such Demand Registration Statement or (B) if pursuant to a Tranche Request, thirty (30) business days after the earlier of the effectiveness of the amendment to the Shelf Registration Statement or the filing of the amendment or supplement to the prospectus included in such registration statement required to facilitate such distribution and the date of the notice required by the last sentence of Section 4.4(a) hereof if no such amendment or supplement is so required; and (iii) the termination of Intel Capital’s registration rights pursuant to Section 4.10 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Micron shall not be required to take any action that would subject it to the general jurisdiction of the courts of any jurisdiction in which it is not so subject or to qualify as a foreign corporation in any jurisdiction where Micron is not so qualified.</w:t>
      </w:r>
    </w:p>
    <w:p>
      <w:pPr>
        <w:spacing w:after="0" w:line="184" w:lineRule="exact"/>
        <w:rPr>
          <w:rFonts w:ascii="Arial" w:cs="Arial" w:eastAsia="Arial" w:hAnsi="Arial"/>
          <w:sz w:val="17"/>
          <w:szCs w:val="17"/>
          <w:color w:val="auto"/>
        </w:rPr>
      </w:pPr>
    </w:p>
    <w:p>
      <w:pPr>
        <w:ind w:firstLine="656"/>
        <w:spacing w:after="0" w:line="257" w:lineRule="auto"/>
        <w:tabs>
          <w:tab w:leader="none" w:pos="1317" w:val="left"/>
        </w:tabs>
        <w:numPr>
          <w:ilvl w:val="1"/>
          <w:numId w:val="77"/>
        </w:numPr>
        <w:rPr>
          <w:rFonts w:ascii="Arial" w:cs="Arial" w:eastAsia="Arial" w:hAnsi="Arial"/>
          <w:sz w:val="18"/>
          <w:szCs w:val="18"/>
          <w:color w:val="auto"/>
        </w:rPr>
      </w:pPr>
      <w:r>
        <w:rPr>
          <w:rFonts w:ascii="Arial" w:cs="Arial" w:eastAsia="Arial" w:hAnsi="Arial"/>
          <w:sz w:val="18"/>
          <w:szCs w:val="18"/>
          <w:color w:val="auto"/>
        </w:rPr>
        <w:t>Micron shall furnish to Intel Capital and to each underwriter engaged in an underwritten offering of Demand Registrable Securities or Tranche Registrable Securities, a signed counterpart, addressed to Intel Capital or such underwriter, of (i) an opinion or opinions of counsel to Micron (with respect to Micron and securities law compliance by Micron) and (ii) a comfort letter or comfort letters from Micron’s independent public accountants, each in customary form and covering such matters of the type customarily covered by opinions or comfort letters, as the case may be, as Intel Capital or the managing underwriters may reasonably request.</w:t>
      </w:r>
    </w:p>
    <w:p>
      <w:pPr>
        <w:spacing w:after="0" w:line="188" w:lineRule="exact"/>
        <w:rPr>
          <w:rFonts w:ascii="Arial" w:cs="Arial" w:eastAsia="Arial" w:hAnsi="Arial"/>
          <w:sz w:val="18"/>
          <w:szCs w:val="18"/>
          <w:color w:val="auto"/>
        </w:rPr>
      </w:pPr>
    </w:p>
    <w:p>
      <w:pPr>
        <w:jc w:val="both"/>
        <w:ind w:right="140" w:firstLine="656"/>
        <w:spacing w:after="0" w:line="264" w:lineRule="auto"/>
        <w:tabs>
          <w:tab w:leader="none" w:pos="1318" w:val="left"/>
        </w:tabs>
        <w:numPr>
          <w:ilvl w:val="1"/>
          <w:numId w:val="77"/>
        </w:numPr>
        <w:rPr>
          <w:rFonts w:ascii="Arial" w:cs="Arial" w:eastAsia="Arial" w:hAnsi="Arial"/>
          <w:sz w:val="18"/>
          <w:szCs w:val="18"/>
          <w:color w:val="auto"/>
        </w:rPr>
      </w:pPr>
      <w:r>
        <w:rPr>
          <w:rFonts w:ascii="Arial" w:cs="Arial" w:eastAsia="Arial" w:hAnsi="Arial"/>
          <w:sz w:val="18"/>
          <w:szCs w:val="18"/>
          <w:color w:val="auto"/>
        </w:rPr>
        <w:t>Micron shall use commercially reasonable efforts to make appropriate members of its management reasonably available for due diligence purposes, “road show” presentations and analyst presentations in connection with any distributions of Demand Registrable Securities or Tranche Registrable Securities pursuant to a Demand Registration Statement or a Shelf Registration Statement.</w:t>
      </w:r>
    </w:p>
    <w:p>
      <w:pPr>
        <w:spacing w:after="0" w:line="181" w:lineRule="exact"/>
        <w:rPr>
          <w:rFonts w:ascii="Arial" w:cs="Arial" w:eastAsia="Arial" w:hAnsi="Arial"/>
          <w:sz w:val="18"/>
          <w:szCs w:val="18"/>
          <w:color w:val="auto"/>
        </w:rPr>
      </w:pPr>
    </w:p>
    <w:p>
      <w:pPr>
        <w:ind w:firstLine="656"/>
        <w:spacing w:after="0" w:line="277" w:lineRule="auto"/>
        <w:tabs>
          <w:tab w:leader="none" w:pos="1327" w:val="left"/>
        </w:tabs>
        <w:numPr>
          <w:ilvl w:val="1"/>
          <w:numId w:val="77"/>
        </w:numPr>
        <w:rPr>
          <w:rFonts w:ascii="Arial" w:cs="Arial" w:eastAsia="Arial" w:hAnsi="Arial"/>
          <w:sz w:val="18"/>
          <w:szCs w:val="18"/>
          <w:color w:val="auto"/>
        </w:rPr>
      </w:pPr>
      <w:r>
        <w:rPr>
          <w:rFonts w:ascii="Arial" w:cs="Arial" w:eastAsia="Arial" w:hAnsi="Arial"/>
          <w:sz w:val="18"/>
          <w:szCs w:val="18"/>
          <w:color w:val="auto"/>
        </w:rPr>
        <w:t>Micron shall use commercially reasonable efforts to cause all Demand Registrable Securities and Tranche Registrable Securities to be listed on each securities exchange on which similar securities of Micron are then listed.</w:t>
      </w:r>
    </w:p>
    <w:p>
      <w:pPr>
        <w:spacing w:after="0" w:line="170" w:lineRule="exact"/>
        <w:rPr>
          <w:rFonts w:ascii="Arial" w:cs="Arial" w:eastAsia="Arial" w:hAnsi="Arial"/>
          <w:sz w:val="18"/>
          <w:szCs w:val="18"/>
          <w:color w:val="auto"/>
        </w:rPr>
      </w:pPr>
    </w:p>
    <w:p>
      <w:pPr>
        <w:ind w:right="80" w:firstLine="656"/>
        <w:spacing w:after="0" w:line="259" w:lineRule="auto"/>
        <w:tabs>
          <w:tab w:leader="none" w:pos="1304" w:val="left"/>
        </w:tabs>
        <w:numPr>
          <w:ilvl w:val="1"/>
          <w:numId w:val="77"/>
        </w:numPr>
        <w:rPr>
          <w:rFonts w:ascii="Arial" w:cs="Arial" w:eastAsia="Arial" w:hAnsi="Arial"/>
          <w:sz w:val="18"/>
          <w:szCs w:val="18"/>
          <w:color w:val="auto"/>
        </w:rPr>
      </w:pPr>
      <w:r>
        <w:rPr>
          <w:rFonts w:ascii="Arial" w:cs="Arial" w:eastAsia="Arial" w:hAnsi="Arial"/>
          <w:sz w:val="18"/>
          <w:szCs w:val="18"/>
          <w:color w:val="auto"/>
        </w:rPr>
        <w:t>Micron shall make generally available to its securityholders, as soon as reasonably practicable, an earnings statement covering a period of twelve (12) months, beginning three months after the effective date of any Demand Registration Statement relating to the distribution of Demand Registrable Securities or the date of any final prospectus used to confirm sales in connection with any offering of Tranche Registrable Securities, which earnings statement shall satisfy the provisions of Section 11(a) of the Securities Act.</w:t>
      </w:r>
    </w:p>
    <w:p>
      <w:pPr>
        <w:sectPr>
          <w:pgSz w:w="11900" w:h="16838" w:orient="portrait"/>
          <w:cols w:equalWidth="0" w:num="1">
            <w:col w:w="11420"/>
          </w:cols>
          <w:pgMar w:left="240" w:top="121" w:right="239" w:bottom="142" w:gutter="0" w:footer="0" w:header="0"/>
        </w:sectPr>
      </w:pPr>
    </w:p>
    <w:bookmarkStart w:id="40" w:name="page41"/>
    <w:bookmarkEnd w:id="40"/>
    <w:p>
      <w:pPr>
        <w:ind w:right="80" w:firstLine="656"/>
        <w:spacing w:after="0" w:line="277" w:lineRule="auto"/>
        <w:tabs>
          <w:tab w:leader="none" w:pos="1304" w:val="left"/>
        </w:tabs>
        <w:numPr>
          <w:ilvl w:val="0"/>
          <w:numId w:val="78"/>
        </w:numPr>
        <w:rPr>
          <w:rFonts w:ascii="Arial" w:cs="Arial" w:eastAsia="Arial" w:hAnsi="Arial"/>
          <w:sz w:val="18"/>
          <w:szCs w:val="18"/>
          <w:color w:val="auto"/>
        </w:rPr>
      </w:pPr>
      <w:r>
        <w:rPr>
          <w:rFonts w:ascii="Arial" w:cs="Arial" w:eastAsia="Arial" w:hAnsi="Arial"/>
          <w:sz w:val="18"/>
          <w:szCs w:val="18"/>
          <w:color w:val="auto"/>
        </w:rPr>
        <w:t>Micron shall take all such other actions either reasonably necessary or desirable to permit the Registrable Securities held by Intel Capital to be registered and disposed of in accordance with the methods of disposition described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5"/>
          <w:szCs w:val="15"/>
          <w:u w:val="single" w:color="auto"/>
          <w:color w:val="auto"/>
        </w:rPr>
        <w:t>Expenses</w:t>
      </w:r>
      <w:r>
        <w:rPr>
          <w:rFonts w:ascii="Arial" w:cs="Arial" w:eastAsia="Arial" w:hAnsi="Arial"/>
          <w:sz w:val="15"/>
          <w:szCs w:val="15"/>
          <w:color w:val="auto"/>
        </w:rPr>
        <w:t>.</w:t>
      </w:r>
    </w:p>
    <w:p>
      <w:pPr>
        <w:spacing w:after="0" w:line="225" w:lineRule="exact"/>
        <w:rPr>
          <w:sz w:val="20"/>
          <w:szCs w:val="20"/>
          <w:color w:val="auto"/>
        </w:rPr>
      </w:pPr>
    </w:p>
    <w:p>
      <w:pPr>
        <w:ind w:right="20" w:firstLine="656"/>
        <w:spacing w:after="0" w:line="269" w:lineRule="auto"/>
        <w:tabs>
          <w:tab w:leader="none" w:pos="1307"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All of the out-of-pocket costs and expenses incurred by Micron in connection with any registration pursuant to Sections 4.1 and 4.2 (up to $100,000 in the case of a Demand Registration Statement, $75,000 in the case of a Shelf Registration Statement and $50,000 in the case of any amendments or supplements required in connection with a Tranche Request, plus, in all instances, the actual amount of any filing fees) shall (subject to Section 4.7) be borne by Intel Capital; provided that Intel Capital shall not be required to reimburse Micron for compensation of Micron’s officers and employees, regular audit expenses, and normal corporate costs incurred in connection with such registration. The costs and expenses of any such registration shall include, without limitation, the reasonable fees and expenses of Micron’s counsel and its accountants and all other out-of-pocket costs and expenses of Micron incident to the preparation, printing and filing of the registration statement and all amendments and supplements thereto and the cost of furnishing copies of each preliminary prospectus, each final prospectus and each amendment or supplement thereto to underwriters, dealers and other purchasers of the securities so registered, the costs and expenses incurred in connection with the qualification of such securities so registered under the securities or “blue sky” laws of various jurisdictions, the fees and expenses of Micron’s transfer agent and all other costs and expenses of complying with the provisions of this Section 4 with respect to such registration (collectively, the </w:t>
      </w:r>
      <w:r>
        <w:rPr>
          <w:rFonts w:ascii="Arial" w:cs="Arial" w:eastAsia="Arial" w:hAnsi="Arial"/>
          <w:sz w:val="17"/>
          <w:szCs w:val="17"/>
          <w:b w:val="1"/>
          <w:bCs w:val="1"/>
          <w:color w:val="auto"/>
        </w:rPr>
        <w:t>“Registration Expenses”</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right="80" w:firstLine="656"/>
        <w:spacing w:after="0" w:line="257" w:lineRule="auto"/>
        <w:tabs>
          <w:tab w:leader="none" w:pos="1304" w:val="left"/>
        </w:tabs>
        <w:numPr>
          <w:ilvl w:val="0"/>
          <w:numId w:val="79"/>
        </w:numPr>
        <w:rPr>
          <w:rFonts w:ascii="Arial" w:cs="Arial" w:eastAsia="Arial" w:hAnsi="Arial"/>
          <w:sz w:val="18"/>
          <w:szCs w:val="18"/>
          <w:color w:val="auto"/>
        </w:rPr>
      </w:pPr>
      <w:r>
        <w:rPr>
          <w:rFonts w:ascii="Arial" w:cs="Arial" w:eastAsia="Arial" w:hAnsi="Arial"/>
          <w:sz w:val="18"/>
          <w:szCs w:val="18"/>
          <w:color w:val="auto"/>
        </w:rPr>
        <w:t>Micron shall pay all Registration Expenses incurred by Micron in connection with any registration statements that are initiated pursuant to Section 4.3 of this Agreement, other than incremental filing fees associated with the inclusion of the Registrable Securities in the registration statement. Intel Capital shall pay all expenses incurred on its behalf with respect to any registration pursuant to Section 4.3, including, without limitation, any counsel for Intel Capital and all underwriting discounts and selling commissions with respect to the Registrable Securities sold by it pursuant to such registration statement.</w:t>
      </w:r>
    </w:p>
    <w:p>
      <w:pPr>
        <w:spacing w:after="0" w:line="18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firstLine="656"/>
        <w:spacing w:after="0" w:line="288" w:lineRule="auto"/>
        <w:tabs>
          <w:tab w:leader="none" w:pos="1307"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the case of any offering registered pursuant to this Section 4, Micron hereby indemnifies and agrees to hold harmless Intel Capital (and its officers and directors), any underwriter (as defined in the Securities Act) of Registrable Securities offered by Intel Capital, and each Person, if any, who controls Intel Capital or any such underwriter within the meaning of Section 15 of the Securities Act against any losses, claims, damages or liabilities, joint or several, to which any such Persons may be subject, under the Securities Act or otherwise, and to reimburse any of such Persons for any legal or other expenses reasonably incurred by them in connection with investigating any claims or defending against any actions, insofar as such losses, claims, damages or liabilities arise out of or are based upon (a) any untrue statement or alleged untrue statement of a material fact contained in the registration statement under which such Registrable Securities were registered under the Securities Act pursuant to this Section 4, the prospectus contained therein (during the period that Micron is required to keep such prospectus current), or any amendment or supplement thereto, or the omission or alleged omission to state therein (if so used) a material fact required to be stated therein or necessary to make the statements therein, in the light of the circumstances in which they were made, not misleading or (b) any violation or alleged violation by Micron of the Securities Act, the Exchange Act, 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federal or state securities law or any rule or regulation promulgated under the Securities Act, the Exchange Act or any federal or state securities law in connection with the offering covered by such registration statement, except insofar as such losses, claims, damages or liabilities arise out of or are (i) based upon any such untrue statement or omission or alleged untrue statement or omission made in reliance upon information furnished to Micron in writing by Intel Capital or any underwriter for Intel Capital specifically for use therein, or (ii) made in any preliminary prospectus, and the prospectus contained in the registration statement as declared effective or in the form filed by Micron with the SEC pursuant to Rule 424 under the Securities Act shall have corrected such statement or omission and a copy of such prospectus shall not have been sent or otherwise delivered to such Person at of prior to the confirmation of such sale to such Person.</w:t>
      </w:r>
    </w:p>
    <w:p>
      <w:pPr>
        <w:spacing w:after="0" w:line="189" w:lineRule="exact"/>
        <w:rPr>
          <w:sz w:val="20"/>
          <w:szCs w:val="20"/>
          <w:color w:val="auto"/>
        </w:rPr>
      </w:pPr>
    </w:p>
    <w:p>
      <w:pPr>
        <w:ind w:firstLine="656"/>
        <w:spacing w:after="0" w:line="269" w:lineRule="auto"/>
        <w:tabs>
          <w:tab w:leader="none" w:pos="1304" w:val="left"/>
        </w:tabs>
        <w:numPr>
          <w:ilvl w:val="0"/>
          <w:numId w:val="81"/>
        </w:numPr>
        <w:rPr>
          <w:rFonts w:ascii="Arial" w:cs="Arial" w:eastAsia="Arial" w:hAnsi="Arial"/>
          <w:sz w:val="17"/>
          <w:szCs w:val="17"/>
          <w:color w:val="auto"/>
        </w:rPr>
      </w:pPr>
      <w:r>
        <w:rPr>
          <w:rFonts w:ascii="Arial" w:cs="Arial" w:eastAsia="Arial" w:hAnsi="Arial"/>
          <w:sz w:val="17"/>
          <w:szCs w:val="17"/>
          <w:color w:val="auto"/>
        </w:rPr>
        <w:t>By requesting registration under this Section 4, Intel Capital agrees, if Registrable Securities held by Intel Capital are included in the securities as to which such registration is being effected, and each underwriter shall agree, in substantially the same manner and to substantially the same extent as set forth in the preceding paragraph, to indemnify and to hold harmless Micron (and its directors and officers) and each Person, if any, who controls Micron within the meaning of Section 15 of the Securities Act against any losses, claims, damages or liabilities, joint or several, to which any, of such Persons may be subject under the Securities Act or otherwise, and to reimburse any of such Persons for any legal or other expenses reasonably incurred by them in connection with investigating or defending against any such losses, claims, damages or liabilities, but only to the extent it arises out of or is based upon (a) an untrue statement or alleged untrue statement or omission or alleged omission of a material fact in any registration statement under which the Registrable Securities were registered under the Securities Act pursuant to this Section 4, any prospectus contained therein, or any amendment or supplement thereto, which was based upon and made in conformity with information furnished to Micron in writing by Intel Capital or any underwriter for Intel Capital expressly for use therein or (b) any violation or alleged violation by Intel Capital of the Securities Act, the Exchange Act, any federal or state securities law or any rule or regulation promulgated under the Securities Act, the Exchange Act or any federal or state securities law in connection with the offering covered by such registration statement.</w:t>
      </w:r>
    </w:p>
    <w:p>
      <w:pPr>
        <w:spacing w:after="0" w:line="175" w:lineRule="exact"/>
        <w:rPr>
          <w:rFonts w:ascii="Arial" w:cs="Arial" w:eastAsia="Arial" w:hAnsi="Arial"/>
          <w:sz w:val="17"/>
          <w:szCs w:val="17"/>
          <w:color w:val="auto"/>
        </w:rPr>
      </w:pPr>
    </w:p>
    <w:p>
      <w:pPr>
        <w:ind w:right="20" w:firstLine="656"/>
        <w:spacing w:after="0" w:line="289" w:lineRule="auto"/>
        <w:tabs>
          <w:tab w:leader="none" w:pos="1307"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Each party entitled to indemnification under this Section 4.6 (the </w:t>
      </w:r>
      <w:r>
        <w:rPr>
          <w:rFonts w:ascii="Arial" w:cs="Arial" w:eastAsia="Arial" w:hAnsi="Arial"/>
          <w:sz w:val="16"/>
          <w:szCs w:val="16"/>
          <w:b w:val="1"/>
          <w:bCs w:val="1"/>
          <w:color w:val="auto"/>
        </w:rPr>
        <w:t>“Indemnified Party”</w:t>
      </w:r>
      <w:r>
        <w:rPr>
          <w:rFonts w:ascii="Arial" w:cs="Arial" w:eastAsia="Arial" w:hAnsi="Arial"/>
          <w:sz w:val="16"/>
          <w:szCs w:val="16"/>
          <w:color w:val="auto"/>
        </w:rPr>
        <w:t xml:space="preserve">) shall give notice to the party required to provide indemnification (the </w:t>
      </w:r>
      <w:r>
        <w:rPr>
          <w:rFonts w:ascii="Arial" w:cs="Arial" w:eastAsia="Arial" w:hAnsi="Arial"/>
          <w:sz w:val="16"/>
          <w:szCs w:val="16"/>
          <w:b w:val="1"/>
          <w:bCs w:val="1"/>
          <w:color w:val="auto"/>
        </w:rPr>
        <w:t>“Indemnifying Party”</w:t>
      </w:r>
      <w:r>
        <w:rPr>
          <w:rFonts w:ascii="Arial" w:cs="Arial" w:eastAsia="Arial" w:hAnsi="Arial"/>
          <w:sz w:val="16"/>
          <w:szCs w:val="16"/>
          <w:color w:val="auto"/>
        </w:rPr>
        <w:t>) promptly after such Indemnified Party has actual knowledge of any claim as to which indemnity may be 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be unreasonably withheld), and the Indemnified Party may participate in such defense at its own expense, provided, that that an Indemnified Party shall have the right to retain its own counsel, with the fees and expenses to be paid by the Indemnifying Party, to the extent that representation of such Indemnified Party by the counsel retained by the Indemnifying Party would be inappropriate due to actual or potential conflict of interests between such Indemnified Party and any other party represented by such counsel in such proceeding, and provided further that the failure of any Indemnified Party to give notice as provided herein shall not relieve the Indemnifying Party of its obligations under this Section 4 unless such failure resulted in actual material detriment to the Indemnifying Party. No Indemnifying Party, (i) in the defense of any such claim or litigation, shall, except with the</w:t>
      </w:r>
    </w:p>
    <w:p>
      <w:pPr>
        <w:sectPr>
          <w:pgSz w:w="11900" w:h="16838" w:orient="portrait"/>
          <w:cols w:equalWidth="0" w:num="1">
            <w:col w:w="11420"/>
          </w:cols>
          <w:pgMar w:left="240" w:top="125" w:right="239" w:bottom="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consent of each Indemnified Party, which consent shall not be unreasonably withheld, consent to entry of any judgment or enter into any settlement which does not include as an unconditional term thereof the giving by the claimant or plaintiff to such Indemnified Party of a release from all liability in respect to such claim or litigation, or (ii) shall be liable for amounts paid in any settlement if such settlement is effected without the consent of the Indemnifying Party, which consent shall not be unreasonably withheld.</w:t>
      </w:r>
    </w:p>
    <w:p>
      <w:pPr>
        <w:spacing w:after="0" w:line="187" w:lineRule="exact"/>
        <w:rPr>
          <w:sz w:val="20"/>
          <w:szCs w:val="20"/>
          <w:color w:val="auto"/>
        </w:rPr>
      </w:pPr>
    </w:p>
    <w:p>
      <w:pPr>
        <w:ind w:right="60" w:firstLine="656"/>
        <w:spacing w:after="0" w:line="288" w:lineRule="auto"/>
        <w:tabs>
          <w:tab w:leader="none" w:pos="1304"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 order to provide for just and equitable contribution to joint liability under the Securities Act or the Exchange Act in any case in which either (i) any Person exercising rights under this Agreement, or any controlling person of any such Person, makes a claim for indemnification pursuant to this Section 4 but it is judicially determined (by the entry of a final judgment or decree by a court of competent jurisdiction and the expiration of time to appeal or</w:t>
      </w:r>
    </w:p>
    <w:p>
      <w:pPr>
        <w:spacing w:after="0" w:line="268" w:lineRule="auto"/>
        <w:rPr>
          <w:sz w:val="20"/>
          <w:szCs w:val="20"/>
          <w:color w:val="auto"/>
        </w:rPr>
      </w:pPr>
      <w:r>
        <w:rPr>
          <w:rFonts w:ascii="Arial" w:cs="Arial" w:eastAsia="Arial" w:hAnsi="Arial"/>
          <w:sz w:val="17"/>
          <w:szCs w:val="17"/>
          <w:color w:val="auto"/>
        </w:rPr>
        <w:t xml:space="preserve">the denial of the last right of appeal) that such indemnification may not be enforced in such case notwithstanding the fact that this Section 4 provides for indemnification in such case, or (ii) contribution under the Securities Act or the Exchange Act may be required on the part of any such selling Person or any such controlling Person in circumstances for which indemnification is provided under this Section 4; then, and in each such case, Micron and such Person will contribute to the aggregate losses, claims, damages or liabilities to which they may be subject (after contribution from others) in such proportion so that such Person is responsible for the portion represented by the percentage that the public offering price of its Registrable Securities offered by and sold under the registration statement bears to the public offering price of all securities offered by and sold under such registration statement, and Micron and other selling Persons are responsible for the remaining portion;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any such case: (A) no such Person will be required to contribute any amount in excess of the public offering price of all such Registrable Securities offered and sold by such Person pursuant to such registration statement; and (B) no Person or entity guilty of fraudulent misrepresentation (within the meaning of Section 11(f) of the Securities Act) will be entitled to contribution from any Person or entity who was not guilty of such fraudulent misrepresentation.</w:t>
      </w:r>
    </w:p>
    <w:p>
      <w:pPr>
        <w:spacing w:after="0" w:line="18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Issuances by Micron or Other Holders</w:t>
      </w:r>
      <w:r>
        <w:rPr>
          <w:rFonts w:ascii="Arial" w:cs="Arial" w:eastAsia="Arial" w:hAnsi="Arial"/>
          <w:sz w:val="18"/>
          <w:szCs w:val="18"/>
          <w:color w:val="auto"/>
        </w:rPr>
        <w:t>. As to each registration or distribution referred to in Sections 4.1 and 4.2, additional shares of the Common Stock to be sold for the account of Micron or other holders may be included therein, provided that the inclusion of such securities in such registration or distribution may be conditioned or restricted if, in the opinion of the Demand/Tranche Managing Underwriters, marketing factors require a limitation of the number of shares to be underwritten. The Registration Expenses incurred by Micron, Intel Capital and any other holders participating in such registration or distribution shall be borne by Micron, Intel Capital and any other holders participating in such registration or distribution in proportion to the aggregate number of shares to be sold by Micron, Intel Capital and such other holders.</w:t>
      </w:r>
    </w:p>
    <w:p>
      <w:pPr>
        <w:spacing w:after="0" w:line="19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Information by Intel Capital</w:t>
      </w:r>
      <w:r>
        <w:rPr>
          <w:rFonts w:ascii="Arial" w:cs="Arial" w:eastAsia="Arial" w:hAnsi="Arial"/>
          <w:sz w:val="18"/>
          <w:szCs w:val="18"/>
          <w:color w:val="auto"/>
        </w:rPr>
        <w:t>. Intel Capital shall furnish to Micron such information regarding Intel Capital in the distribution of Registrable Securities proposed by Intel Capital as Micron may reasonably request in writing and as shall be required in connection with any registration, qualification or compliance referred to in this Section 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u w:val="single" w:color="auto"/>
          <w:color w:val="auto"/>
        </w:rPr>
        <w:t>Market Standoff Agreements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87" w:lineRule="auto"/>
        <w:tabs>
          <w:tab w:leader="none" w:pos="1307"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In connection with the public offering by Micron of any of its securities, Intel Capital agrees that, upon the request the underwriters managing any underwritten offering of Micron securities, Intel Capital shall agree in writing (the </w:t>
      </w:r>
      <w:r>
        <w:rPr>
          <w:rFonts w:ascii="Arial" w:cs="Arial" w:eastAsia="Arial" w:hAnsi="Arial"/>
          <w:sz w:val="16"/>
          <w:szCs w:val="16"/>
          <w:b w:val="1"/>
          <w:bCs w:val="1"/>
          <w:color w:val="auto"/>
        </w:rPr>
        <w:t>“Intel Capital Public Offering Lock-Up”</w:t>
      </w:r>
      <w:r>
        <w:rPr>
          <w:rFonts w:ascii="Arial" w:cs="Arial" w:eastAsia="Arial" w:hAnsi="Arial"/>
          <w:sz w:val="16"/>
          <w:szCs w:val="16"/>
          <w:color w:val="auto"/>
        </w:rPr>
        <w:t xml:space="preserve">) that neither Intel Capital (nor any Affiliate of Intel Capital) will, directly or indirectly, offer to sell, contract to sell, make any short sale of, or otherwise sell, dispose of, loan, gift, pledge or grant any options or rights with respect to, any securities of Micron (other than those included in such registration statement, if any) now or hereafter acquired by Intel Capital (or any Affiliate of Intel Capital) or with respect to which Intel Capital (or any Affiliate of Intel Capital) has or hereafter acquires the power of disposition without the prior written consent of Micron) and such underwriters for such period of time (not to exceed fourteen (14) days prior to the date such offering is expected to commence and ninety (90) days after the date of the final prospectus delivered to the underwriters for use in confirming sales in such offering) as may be requested by Micron and the underwriters, except that Intel Capital and its Affiliates shall be permitted to enter into transactions that have the effect of maintaining or continuing pre-existing Hedging Transaction positions by continuing, renewing or replacing any such positions on substantially equivalent terms;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shall Intel Capital (or any Affiliate of Intel Capital) be required to enter into such an agreement more than once during any twelve (12) month period. Intel Capital agrees that Micron may instruct its transfer agent to place stop-transfer notations in its records to enforce the provisions of the Intel Capital Public Offering Lock-Up contained in this Section 4.9(a).</w:t>
      </w:r>
    </w:p>
    <w:p>
      <w:pPr>
        <w:spacing w:after="0" w:line="168" w:lineRule="exact"/>
        <w:rPr>
          <w:rFonts w:ascii="Arial" w:cs="Arial" w:eastAsia="Arial" w:hAnsi="Arial"/>
          <w:sz w:val="16"/>
          <w:szCs w:val="16"/>
          <w:color w:val="auto"/>
        </w:rPr>
      </w:pPr>
    </w:p>
    <w:p>
      <w:pPr>
        <w:ind w:firstLine="656"/>
        <w:spacing w:after="0" w:line="270" w:lineRule="auto"/>
        <w:tabs>
          <w:tab w:leader="none" w:pos="1304"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connection with any proposed public offering by Intel Capital of any Registrable Securities, Micron agrees that, upon the request of Intel Capital or the underwriters managing any underwritten offering of Intel Capital’s securities, Micron shall agree in writing the (</w:t>
      </w:r>
      <w:r>
        <w:rPr>
          <w:rFonts w:ascii="Arial" w:cs="Arial" w:eastAsia="Arial" w:hAnsi="Arial"/>
          <w:sz w:val="17"/>
          <w:szCs w:val="17"/>
          <w:b w:val="1"/>
          <w:bCs w:val="1"/>
          <w:color w:val="auto"/>
        </w:rPr>
        <w:t>“Micron Public Offering</w:t>
      </w:r>
      <w:r>
        <w:rPr>
          <w:rFonts w:ascii="Arial" w:cs="Arial" w:eastAsia="Arial" w:hAnsi="Arial"/>
          <w:sz w:val="17"/>
          <w:szCs w:val="17"/>
          <w:color w:val="auto"/>
        </w:rPr>
        <w:t xml:space="preserve"> </w:t>
      </w:r>
      <w:r>
        <w:rPr>
          <w:rFonts w:ascii="Arial" w:cs="Arial" w:eastAsia="Arial" w:hAnsi="Arial"/>
          <w:sz w:val="17"/>
          <w:szCs w:val="17"/>
          <w:b w:val="1"/>
          <w:bCs w:val="1"/>
          <w:color w:val="auto"/>
        </w:rPr>
        <w:t>Lock-Up”</w:t>
      </w:r>
      <w:r>
        <w:rPr>
          <w:rFonts w:ascii="Arial" w:cs="Arial" w:eastAsia="Arial" w:hAnsi="Arial"/>
          <w:sz w:val="17"/>
          <w:szCs w:val="17"/>
          <w:color w:val="auto"/>
        </w:rPr>
        <w:t>) that neither Micron (nor any Affiliate of Micron) will, directly or indirectly, offer to sell, contract to sell, make any short sale of, or otherwise sell,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dispose of, loan, gift, pledge or grant any options or rights with respect to, any securities of Micron (other than those included in such registration statement, if any, or grants of stock options or issuances of Common Stock upon the exercise of outstanding stock options under Micron’s existing employee benefit plans) now or hereafter acquired by Micron (or any Affiliate of Micron) or with respect to which Micron (or any Affiliate of Micron) has or hereafter acquires the power of disposition without the prior written consent of Intel Capital and such underwriters for such period of time (not to exceed fourteen (14) days prior to the date such offering is expected to commence and ninety (90) days) after the date of the final prospectus delivered to the underwriters for use in confirming sales in such offering) as may be requested by Intel Capital and the underwriters; </w:t>
      </w:r>
      <w:r>
        <w:rPr>
          <w:rFonts w:ascii="Arial" w:cs="Arial" w:eastAsia="Arial" w:hAnsi="Arial"/>
          <w:sz w:val="17"/>
          <w:szCs w:val="17"/>
          <w:i w:val="1"/>
          <w:iCs w:val="1"/>
          <w:color w:val="auto"/>
        </w:rPr>
        <w:t>provided, however</w:t>
      </w:r>
      <w:r>
        <w:rPr>
          <w:rFonts w:ascii="Arial" w:cs="Arial" w:eastAsia="Arial" w:hAnsi="Arial"/>
          <w:sz w:val="17"/>
          <w:szCs w:val="17"/>
          <w:color w:val="auto"/>
        </w:rPr>
        <w:t>, that neither Micron (nor any Affiliate of Micron) shall be bound by such Micron Public Offering Lock-Up more than once during any 180-day period.</w:t>
      </w:r>
    </w:p>
    <w:p>
      <w:pPr>
        <w:spacing w:after="0" w:line="17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264" w:lineRule="auto"/>
        <w:tabs>
          <w:tab w:leader="none" w:pos="130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provisions of this Section 4 (other than Sections 4.5 and 4.6) shall terminate upon the earliest to occur of: (i) the fifth anniversary date of this Agreement, (ii) such time as Intel Capital (and any Affiliates of Intel Capital) beneficially own in the aggregate less than 5,000,000 shares of Common Stock (including all Shares issuable upon exercise, exchange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conversion of Rights and any Additional Adjustment Rights), and (iii) in the case of Sections 4.1 through 4.4, Section 4.7 and Section 4.8, the end of a period of twenty (20) consecutive trading days commencing any time after August 29, 2004 during which on each such trading day Intel Capital would have been</w:t>
      </w:r>
    </w:p>
    <w:p>
      <w:pPr>
        <w:sectPr>
          <w:pgSz w:w="11900" w:h="16838" w:orient="portrait"/>
          <w:cols w:equalWidth="0" w:num="1">
            <w:col w:w="11420"/>
          </w:cols>
          <w:pgMar w:left="240" w:top="125" w:right="239" w:bottom="0" w:gutter="0" w:footer="0" w:header="0"/>
        </w:sectPr>
      </w:pPr>
    </w:p>
    <w:bookmarkStart w:id="42" w:name="page43"/>
    <w:bookmarkEnd w:id="42"/>
    <w:p>
      <w:pPr>
        <w:spacing w:after="0" w:line="257" w:lineRule="auto"/>
        <w:rPr>
          <w:sz w:val="20"/>
          <w:szCs w:val="20"/>
          <w:color w:val="auto"/>
        </w:rPr>
      </w:pPr>
      <w:r>
        <w:rPr>
          <w:rFonts w:ascii="Arial" w:cs="Arial" w:eastAsia="Arial" w:hAnsi="Arial"/>
          <w:sz w:val="18"/>
          <w:szCs w:val="18"/>
          <w:color w:val="auto"/>
        </w:rPr>
        <w:t>permitted to sell under either (x) the volume limitations of Rule 144(e) (assuming satisfaction of the holding period required under Rule 144(d) (1)), or (y) under Rule 144(k), as applicable, a number of shares of Common Stock at least equal to 110% of the shares of Common Stock underlying the Rights acquired by Intel Capital pursuant to the Securities Purchase Agreement (and any Additional Adjustment Rights) that it continued to own on such trading day (assuming compliance by Intel Capital with all other applicable requirements of Rule 144, including the notice and manner of sale requirements set forth in Rule 144(f) and (h), respectively).</w:t>
      </w:r>
    </w:p>
    <w:p>
      <w:pPr>
        <w:spacing w:after="0" w:line="188" w:lineRule="exact"/>
        <w:rPr>
          <w:sz w:val="20"/>
          <w:szCs w:val="20"/>
          <w:color w:val="auto"/>
        </w:rPr>
      </w:pPr>
    </w:p>
    <w:p>
      <w:pPr>
        <w:ind w:firstLine="656"/>
        <w:spacing w:after="0" w:line="255" w:lineRule="auto"/>
        <w:tabs>
          <w:tab w:leader="none" w:pos="1304"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Notwithstanding any termination of Section 4 pursuant to the provisions of subsection (a) of this Section 4.10, if Additional Adjustment Rights are issued to Intel Capital or its Affiliates, the provisions of this Section 4 shall remain effective, or become effective if previously terminated pursuant to subsection (a) above, as of the date of the issuance (the </w:t>
      </w:r>
      <w:r>
        <w:rPr>
          <w:rFonts w:ascii="Arial" w:cs="Arial" w:eastAsia="Arial" w:hAnsi="Arial"/>
          <w:sz w:val="18"/>
          <w:szCs w:val="18"/>
          <w:b w:val="1"/>
          <w:bCs w:val="1"/>
          <w:color w:val="auto"/>
        </w:rPr>
        <w:t>“Issuance Date”</w:t>
      </w:r>
      <w:r>
        <w:rPr>
          <w:rFonts w:ascii="Arial" w:cs="Arial" w:eastAsia="Arial" w:hAnsi="Arial"/>
          <w:sz w:val="18"/>
          <w:szCs w:val="18"/>
          <w:color w:val="auto"/>
        </w:rPr>
        <w:t>) of such Additional Adjustment Rights, with respect to such Additional Adjustment Rights and the underlying Common Stock. The provisions of this Section 4 (other than Sections 4.5 and 4.6) shall terminate with respect to the Additional Adjustment Rights and the underlying Common Stock upon the earliest to occur of: (i) the fifth anniversary of the Issuance Date, and (ii) such time that all Registrable Securities held by and issuable to Intel Capital (and any Affiliates of Intel Capital) may be sold in a three-month period under Rule 144.</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in all respects by the laws of the State of Delaware as applied to contracts entered into solely between residents of, and to be performed entirely within, such state.</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shall be binding upon and shall inure to the benefit of the parties hereto and their respective successors and assigns. This Agreement may not be assigned by a party without the prior written consent of the other party; </w:t>
      </w:r>
      <w:r>
        <w:rPr>
          <w:rFonts w:ascii="Arial" w:cs="Arial" w:eastAsia="Arial" w:hAnsi="Arial"/>
          <w:sz w:val="16"/>
          <w:szCs w:val="16"/>
          <w:i w:val="1"/>
          <w:iCs w:val="1"/>
          <w:color w:val="auto"/>
        </w:rPr>
        <w:t>provided that</w:t>
      </w:r>
      <w:r>
        <w:rPr>
          <w:rFonts w:ascii="Arial" w:cs="Arial" w:eastAsia="Arial" w:hAnsi="Arial"/>
          <w:sz w:val="16"/>
          <w:szCs w:val="16"/>
          <w:color w:val="auto"/>
        </w:rPr>
        <w:t>, without the consent of Micron, Intel Capital may assign this Agreement (and the rights and obligations hereunder) to any Qualified Subsidiary or Parent in connection with a transfer of Voting Securities of Micron to such Affiliate of Intel Capital pursuant to Section 3.1(b), and without the consent of Intel Capital, Micron may assign all or part of this Agreement (and the rights and obligations hereunder) to the successor or an assignee of all or substantially all of Micron’s business; provided that, in each case, such assignee expressly assumes the relevant obligations of this Agreement (by a written instrument delivered to the other party, in form and substance reasonably acceptable to it) and, notwithstanding such assignment, the parties hereto shall each continue to be bound by all of their respective obligations hereunder. This Agreement is not intended and shall not be construed to create any rights or remedies in any parties other than Intel Capital and Micron and no Person shall assert any rights as third party beneficiary hereunder.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contains the entire understanding and agreement between the parties with regard to the subject matter hereof and thereof and supersedes all prior agreements and understandings among the parties relating to the subject matter hereof. Neither this Agreement nor any term hereof may be amended, waived, discharged or terminated other than by a written instrument signed by the party against whom enforcement of any such amendment, waiver, discharge or termination is sought.</w:t>
      </w:r>
    </w:p>
    <w:p>
      <w:pPr>
        <w:spacing w:after="0" w:line="18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Notices and Dates</w:t>
      </w:r>
      <w:r>
        <w:rPr>
          <w:rFonts w:ascii="Arial" w:cs="Arial" w:eastAsia="Arial" w:hAnsi="Arial"/>
          <w:sz w:val="16"/>
          <w:szCs w:val="16"/>
          <w:color w:val="auto"/>
        </w:rPr>
        <w:t>.</w:t>
      </w:r>
    </w:p>
    <w:p>
      <w:pPr>
        <w:spacing w:after="0" w:line="225" w:lineRule="exact"/>
        <w:rPr>
          <w:sz w:val="20"/>
          <w:szCs w:val="20"/>
          <w:color w:val="auto"/>
        </w:rPr>
      </w:pPr>
    </w:p>
    <w:p>
      <w:pPr>
        <w:ind w:right="160" w:firstLine="656"/>
        <w:spacing w:after="0" w:line="264" w:lineRule="auto"/>
        <w:tabs>
          <w:tab w:leader="none" w:pos="130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notices, requests, demands, and other communications under this Agreement shall be in writing and shall be delivered personally (including by courier) or given by facsimile transmission to the parties at the following addresses (or to such other address as a party may have specified by notice given to the other pursuant to this provision) and shall be deemed given when so received: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Micron,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1300"/>
        <w:spacing w:after="0"/>
        <w:tabs>
          <w:tab w:leader="none" w:pos="2240" w:val="left"/>
        </w:tabs>
        <w:rPr>
          <w:sz w:val="20"/>
          <w:szCs w:val="20"/>
          <w:color w:val="auto"/>
        </w:rPr>
      </w:pPr>
      <w:r>
        <w:rPr>
          <w:rFonts w:ascii="Arial" w:cs="Arial" w:eastAsia="Arial" w:hAnsi="Arial"/>
          <w:sz w:val="18"/>
          <w:szCs w:val="18"/>
          <w:color w:val="auto"/>
        </w:rPr>
        <w:t>Attention:</w:t>
        <w:tab/>
        <w:t>Roderic W. Lewis, Esq.</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Facsimile:</w:t>
        <w:tab/>
        <w:t>(208) 368-4540</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California 94304</w:t>
      </w:r>
    </w:p>
    <w:p>
      <w:pPr>
        <w:spacing w:after="0" w:line="9" w:lineRule="exact"/>
        <w:rPr>
          <w:sz w:val="20"/>
          <w:szCs w:val="20"/>
          <w:color w:val="auto"/>
        </w:rPr>
      </w:pPr>
    </w:p>
    <w:p>
      <w:pPr>
        <w:ind w:left="1300"/>
        <w:spacing w:after="0"/>
        <w:tabs>
          <w:tab w:leader="none" w:pos="2240" w:val="left"/>
        </w:tabs>
        <w:rPr>
          <w:sz w:val="20"/>
          <w:szCs w:val="20"/>
          <w:color w:val="auto"/>
        </w:rPr>
      </w:pPr>
      <w:r>
        <w:rPr>
          <w:rFonts w:ascii="Arial" w:cs="Arial" w:eastAsia="Arial" w:hAnsi="Arial"/>
          <w:sz w:val="18"/>
          <w:szCs w:val="18"/>
          <w:color w:val="auto"/>
        </w:rPr>
        <w:t>Attention:</w:t>
        <w:tab/>
        <w:t>John A. Fore, Esq.</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Facsimile:</w:t>
        <w:tab/>
        <w:t>(650) 493-6811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Intel Capital,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Intel Capital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Intel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Intel Capital Portfolio Manager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2200 Mission College Blvd., M/S RN6-46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Santa Clara, California 95052</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Facsimile:</w:t>
        <w:tab/>
        <w:t>(408) 765-6038</w:t>
      </w:r>
    </w:p>
    <w:p>
      <w:pPr>
        <w:sectPr>
          <w:pgSz w:w="11900" w:h="16838" w:orient="portrait"/>
          <w:cols w:equalWidth="0" w:num="1">
            <w:col w:w="11380"/>
          </w:cols>
          <w:pgMar w:left="240" w:top="125" w:right="279" w:bottom="204" w:gutter="0" w:footer="0" w:header="0"/>
        </w:sect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204" w:gutter="0" w:footer="0" w:header="0"/>
          <w:type w:val="continuous"/>
        </w:sectPr>
      </w:pPr>
    </w:p>
    <w:bookmarkStart w:id="43" w:name="page44"/>
    <w:bookmarkEnd w:id="43"/>
    <w:p>
      <w:pPr>
        <w:ind w:left="660"/>
        <w:spacing w:after="0"/>
        <w:rPr>
          <w:sz w:val="20"/>
          <w:szCs w:val="20"/>
          <w:color w:val="auto"/>
        </w:rPr>
      </w:pPr>
      <w:r>
        <w:rPr>
          <w:rFonts w:ascii="Arial" w:cs="Arial" w:eastAsia="Arial" w:hAnsi="Arial"/>
          <w:sz w:val="18"/>
          <w:szCs w:val="18"/>
          <w:color w:val="auto"/>
        </w:rPr>
        <w:t>with a copy by e-mail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portfolio.manager@intel.com</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All such notices, requests and other communications shall be deemed received on the date of receipt by the recipient thereof if received prior to 5 p.m. in the place of receipt and such day is a business day in the place of receipt. Otherwise, any such notice, request or communication shall be deemed not to have been received until the next succeeding business day in the place of receipt. Each Person making a communication hereunder by facsimile shall promptly confirm by telephone to the Person to whom such communication was addressed each communication made by it by facsimile pursuant hereto but the absence of such confirmation shall not affect the validity of any such communication. A party may change or supplement the addresses given above, or designate additional addresses, for purposes of this Section 5.4 by giving the other party written notice of the new address in the manner set forth above.</w:t>
      </w:r>
    </w:p>
    <w:p>
      <w:pPr>
        <w:spacing w:after="0" w:line="165" w:lineRule="exact"/>
        <w:rPr>
          <w:sz w:val="20"/>
          <w:szCs w:val="20"/>
          <w:color w:val="auto"/>
        </w:rPr>
      </w:pPr>
    </w:p>
    <w:p>
      <w:pPr>
        <w:ind w:right="200" w:firstLine="656"/>
        <w:spacing w:after="0" w:line="277" w:lineRule="auto"/>
        <w:tabs>
          <w:tab w:leader="none" w:pos="1304"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event that any date provided for in this Agreement falls on a Saturday, Sunday or legal holiday, such date shall be deemed extended to the next business day.</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Language Interpretation</w:t>
      </w:r>
      <w:r>
        <w:rPr>
          <w:rFonts w:ascii="Arial" w:cs="Arial" w:eastAsia="Arial" w:hAnsi="Arial"/>
          <w:sz w:val="18"/>
          <w:szCs w:val="18"/>
          <w:color w:val="auto"/>
        </w:rPr>
        <w:t>. In the interpretation of this Agreement, unless the context otherwise requires, (a) words importing the singular shall be deemed to import the plural and vice versa, (b) words denoting gender shall include all genders, (c) references to Persons shall include corporations or other entities and vice versa, and (d) references to parties, sections, schedules, paragraphs and exhibits shall mean the parties, sections, schedules, paragraphs and exhibits of and to this Agreement, unless otherwise indicated by the context.</w:t>
      </w:r>
    </w:p>
    <w:p>
      <w:pPr>
        <w:spacing w:after="0" w:line="187"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Table of Contents; Titles; Headings</w:t>
      </w:r>
      <w:r>
        <w:rPr>
          <w:rFonts w:ascii="Arial" w:cs="Arial" w:eastAsia="Arial" w:hAnsi="Arial"/>
          <w:sz w:val="18"/>
          <w:szCs w:val="18"/>
          <w:color w:val="auto"/>
        </w:rPr>
        <w:t>. The table of contents and Section headings of this Agreement are for reference purposes only and are to be given no effect in the construction or interpretation of this Agreement. All references herein to Sections, unless otherwise identified, are to Sections of this Agreement.</w:t>
      </w:r>
    </w:p>
    <w:p>
      <w:pPr>
        <w:spacing w:after="0" w:line="18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all of which shall be considered one and the same agreement, and shall become a binding agreement when one or more counterparts have been signed by each party and delivered to the other party.</w:t>
      </w:r>
    </w:p>
    <w:p>
      <w:pPr>
        <w:spacing w:after="0" w:line="14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or portion thereof is held by a court of competent jurisdiction to be invalid, void or</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unenforceable, the remainder of the terms, provisions, covenants and restrictions of this Agreement shall remain in full force and effect and shall in no way be affected, impaired or invalidated.</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Injunctive Relief</w:t>
      </w:r>
      <w:r>
        <w:rPr>
          <w:rFonts w:ascii="Arial" w:cs="Arial" w:eastAsia="Arial" w:hAnsi="Arial"/>
          <w:sz w:val="18"/>
          <w:szCs w:val="18"/>
          <w:color w:val="auto"/>
        </w:rPr>
        <w:t>. Intel Capital, on the one hand, and Micron, on the other, acknowledge and agree that irreparable damage may occur in the event that any of the provisions of this Agreement were not performed in accordance with their specific terms or were otherwise breached. It is accordingly agreed that the parties shall be entitled to seek an injunction or injunctions to prevent or cure breaches of the provisions of this Agreement and to enforce specific performance of the terms and provisions hereof in any court of the United States or any state thereof having jurisdiction, this being in addition to any other remedy to which they may be entitled at law or equity.</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agree to negotiate in good faith to resolve any dispute between them regarding this Agreement. If the negotiations do not resolve the dispute to the reasonable satisfaction of both parties, then each party shall nominate one senior officer of the rank of Vice President or higher as its representative. These representatives shall, within thirty (30) days of a written request by either party to call such a meeting, meet in person and alone (except for one assistant for each party) and shall attempt in good faith to resolve the dispute. If the disputes cannot be resolved by such senior managers in such meeting, the parties agree that they shall, if requested in writing by either party, meet within thirty (30) days after such written notification for one day with an impartial mediator and consider dispute resolution alternatives other than litigation. If an alternative method of dispute resolution is not agreed upon within thirty (30) days after the one day mediation, either party may begin litigation proceedings. This procedure shall be a prerequisite before taking any additional action hereunder.</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by their respective authorized officers as of the date aforesaid.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INTEL CAPITAL CORPORATION</w:t>
            </w:r>
          </w:p>
        </w:tc>
        <w:tc>
          <w:tcPr>
            <w:tcW w:w="8300" w:type="dxa"/>
            <w:vAlign w:val="bottom"/>
            <w:gridSpan w:val="3"/>
          </w:tcPr>
          <w:p>
            <w:pPr>
              <w:ind w:left="2780"/>
              <w:spacing w:after="0"/>
              <w:rPr>
                <w:sz w:val="20"/>
                <w:szCs w:val="20"/>
                <w:color w:val="auto"/>
              </w:rPr>
            </w:pPr>
            <w:r>
              <w:rPr>
                <w:rFonts w:ascii="Arial" w:cs="Arial" w:eastAsia="Arial" w:hAnsi="Arial"/>
                <w:sz w:val="18"/>
                <w:szCs w:val="18"/>
                <w:b w:val="1"/>
                <w:bCs w:val="1"/>
                <w:color w:val="auto"/>
              </w:rPr>
              <w:t>MICRON TECHNOLOGY, INC.</w:t>
            </w:r>
          </w:p>
        </w:tc>
        <w:tc>
          <w:tcPr>
            <w:tcW w:w="20" w:type="dxa"/>
            <w:vAlign w:val="bottom"/>
          </w:tcPr>
          <w:p>
            <w:pPr>
              <w:spacing w:after="0"/>
              <w:rPr>
                <w:sz w:val="20"/>
                <w:szCs w:val="20"/>
                <w:color w:val="auto"/>
              </w:rPr>
            </w:pPr>
          </w:p>
        </w:tc>
      </w:tr>
      <w:tr>
        <w:trPr>
          <w:trHeight w:val="648"/>
        </w:trPr>
        <w:tc>
          <w:tcPr>
            <w:tcW w:w="3120" w:type="dxa"/>
            <w:vAlign w:val="bottom"/>
            <w:gridSpan w:val="2"/>
          </w:tcPr>
          <w:p>
            <w:pPr>
              <w:spacing w:after="0"/>
              <w:rPr>
                <w:sz w:val="20"/>
                <w:szCs w:val="20"/>
                <w:color w:val="auto"/>
              </w:rPr>
            </w:pPr>
            <w:r>
              <w:rPr>
                <w:rFonts w:ascii="Arial" w:cs="Arial" w:eastAsia="Arial" w:hAnsi="Arial"/>
                <w:sz w:val="18"/>
                <w:szCs w:val="18"/>
                <w:color w:val="auto"/>
              </w:rPr>
              <w:t>By:  /s/ Arvind Sodhani</w:t>
            </w:r>
          </w:p>
        </w:tc>
        <w:tc>
          <w:tcPr>
            <w:tcW w:w="8300" w:type="dxa"/>
            <w:vAlign w:val="bottom"/>
            <w:gridSpan w:val="3"/>
          </w:tcPr>
          <w:p>
            <w:pPr>
              <w:ind w:left="2780"/>
              <w:spacing w:after="0"/>
              <w:rPr>
                <w:sz w:val="20"/>
                <w:szCs w:val="20"/>
                <w:color w:val="auto"/>
              </w:rPr>
            </w:pPr>
            <w:r>
              <w:rPr>
                <w:rFonts w:ascii="Arial" w:cs="Arial" w:eastAsia="Arial" w:hAnsi="Arial"/>
                <w:sz w:val="18"/>
                <w:szCs w:val="18"/>
                <w:color w:val="auto"/>
              </w:rPr>
              <w:t>By:  /s/ W.G. Stover, Jr.</w:t>
            </w:r>
          </w:p>
        </w:tc>
        <w:tc>
          <w:tcPr>
            <w:tcW w:w="20" w:type="dxa"/>
            <w:vAlign w:val="bottom"/>
          </w:tcPr>
          <w:p>
            <w:pPr>
              <w:spacing w:after="0"/>
              <w:rPr>
                <w:sz w:val="24"/>
                <w:szCs w:val="24"/>
                <w:color w:val="auto"/>
              </w:rPr>
            </w:pPr>
          </w:p>
        </w:tc>
      </w:tr>
      <w:tr>
        <w:trPr>
          <w:trHeight w:val="195"/>
        </w:trPr>
        <w:tc>
          <w:tcPr>
            <w:tcW w:w="380" w:type="dxa"/>
            <w:vAlign w:val="bottom"/>
          </w:tcPr>
          <w:p>
            <w:pPr>
              <w:spacing w:after="0"/>
              <w:rPr>
                <w:sz w:val="16"/>
                <w:szCs w:val="16"/>
                <w:color w:val="auto"/>
              </w:rPr>
            </w:pPr>
          </w:p>
        </w:tc>
        <w:tc>
          <w:tcPr>
            <w:tcW w:w="2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Arvind Sodhani</w:t>
            </w:r>
          </w:p>
        </w:tc>
        <w:tc>
          <w:tcPr>
            <w:tcW w:w="280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5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W.G. Stover, Jr.</w:t>
            </w:r>
          </w:p>
        </w:tc>
        <w:tc>
          <w:tcPr>
            <w:tcW w:w="20" w:type="dxa"/>
            <w:vAlign w:val="bottom"/>
          </w:tcPr>
          <w:p>
            <w:pPr>
              <w:spacing w:after="0"/>
              <w:rPr>
                <w:sz w:val="16"/>
                <w:szCs w:val="16"/>
                <w:color w:val="auto"/>
              </w:rPr>
            </w:pPr>
          </w:p>
        </w:tc>
      </w:tr>
      <w:tr>
        <w:trPr>
          <w:trHeight w:val="216"/>
        </w:trPr>
        <w:tc>
          <w:tcPr>
            <w:tcW w:w="38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7"/>
              </w:rPr>
              <w:t>Title: Vice President and Treasurer</w:t>
            </w:r>
          </w:p>
        </w:tc>
        <w:tc>
          <w:tcPr>
            <w:tcW w:w="2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Title:  Vice President of Finance and</w:t>
            </w:r>
          </w:p>
        </w:tc>
        <w:tc>
          <w:tcPr>
            <w:tcW w:w="2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120" w:type="dxa"/>
            <w:vAlign w:val="bottom"/>
          </w:tcPr>
          <w:p>
            <w:pPr>
              <w:ind w:left="580"/>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648"/>
        </w:trPr>
        <w:tc>
          <w:tcPr>
            <w:tcW w:w="3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300" w:type="dxa"/>
            <w:vAlign w:val="bottom"/>
            <w:gridSpan w:val="3"/>
          </w:tcPr>
          <w:p>
            <w:pPr>
              <w:ind w:left="240"/>
              <w:spacing w:after="0"/>
              <w:rPr>
                <w:sz w:val="20"/>
                <w:szCs w:val="20"/>
                <w:color w:val="auto"/>
              </w:rPr>
            </w:pPr>
            <w:r>
              <w:rPr>
                <w:rFonts w:ascii="Arial" w:cs="Arial" w:eastAsia="Arial" w:hAnsi="Arial"/>
                <w:sz w:val="18"/>
                <w:szCs w:val="18"/>
                <w:color w:val="auto"/>
              </w:rPr>
              <w:t>[Signature Page to Securities Rights and Restrictions Agreement]</w:t>
            </w:r>
          </w:p>
        </w:tc>
        <w:tc>
          <w:tcPr>
            <w:tcW w:w="20" w:type="dxa"/>
            <w:vAlign w:val="bottom"/>
          </w:tcPr>
          <w:p>
            <w:pPr>
              <w:spacing w:after="0"/>
              <w:rPr>
                <w:sz w:val="24"/>
                <w:szCs w:val="24"/>
                <w:color w:val="auto"/>
              </w:rPr>
            </w:pPr>
          </w:p>
        </w:tc>
      </w:tr>
      <w:tr>
        <w:trPr>
          <w:trHeight w:val="307"/>
        </w:trPr>
        <w:tc>
          <w:tcPr>
            <w:tcW w:w="38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41" w:right="219" w:bottom="111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1."/>
      <w:numFmt w:val="decimal"/>
      <w:start w:val="1"/>
    </w:lvl>
  </w:abstractNum>
  <w:abstractNum w:abstractNumId="2">
    <w:nsid w:val="57E4CCAF"/>
    <w:multiLevelType w:val="hybridMultilevel"/>
    <w:lvl w:ilvl="0">
      <w:lvlJc w:val="left"/>
      <w:lvlText w:val="%1."/>
      <w:numFmt w:val="decimal"/>
      <w:start w:val="8"/>
    </w:lvl>
  </w:abstractNum>
  <w:abstractNum w:abstractNumId="3">
    <w:nsid w:val="7A6D8D3C"/>
    <w:multiLevelType w:val="hybridMultilevel"/>
    <w:lvl w:ilvl="0">
      <w:lvlJc w:val="left"/>
      <w:lvlText w:val="%1."/>
      <w:numFmt w:val="decimal"/>
      <w:start w:val="1"/>
    </w:lvl>
  </w:abstractNum>
  <w:abstractNum w:abstractNumId="4">
    <w:nsid w:val="4B588F54"/>
    <w:multiLevelType w:val="hybridMultilevel"/>
    <w:lvl w:ilvl="0">
      <w:lvlJc w:val="left"/>
      <w:lvlText w:val="%1."/>
      <w:numFmt w:val="decimal"/>
      <w:start w:val="2"/>
    </w:lvl>
  </w:abstractNum>
  <w:abstractNum w:abstractNumId="5">
    <w:nsid w:val="542289EC"/>
    <w:multiLevelType w:val="hybridMultilevel"/>
    <w:lvl w:ilvl="0">
      <w:lvlJc w:val="left"/>
      <w:lvlText w:val="%1."/>
      <w:numFmt w:val="decimal"/>
      <w:start w:val="3"/>
    </w:lvl>
  </w:abstractNum>
  <w:abstractNum w:abstractNumId="6">
    <w:nsid w:val="6DE91B18"/>
    <w:multiLevelType w:val="hybridMultilevel"/>
    <w:lvl w:ilvl="0">
      <w:lvlJc w:val="left"/>
      <w:lvlText w:val="%1"/>
      <w:numFmt w:val="lowerLetter"/>
      <w:start w:val="1"/>
    </w:lvl>
    <w:lvl w:ilvl="1">
      <w:lvlJc w:val="left"/>
      <w:lvlText w:val="(%2)"/>
      <w:numFmt w:val="lowerLetter"/>
      <w:start w:val="1"/>
    </w:lvl>
  </w:abstractNum>
  <w:abstractNum w:abstractNumId="7">
    <w:nsid w:val="38437FDB"/>
    <w:multiLevelType w:val="hybridMultilevel"/>
    <w:lvl w:ilvl="0">
      <w:lvlJc w:val="left"/>
      <w:lvlText w:val="(%1)"/>
      <w:numFmt w:val="lowerLetter"/>
      <w:start w:val="1"/>
    </w:lvl>
    <w:lvl w:ilvl="1">
      <w:lvlJc w:val="left"/>
      <w:lvlText w:val="(%2)"/>
      <w:numFmt w:val="lowerLetter"/>
      <w:start w:val="2"/>
    </w:lvl>
  </w:abstractNum>
  <w:abstractNum w:abstractNumId="8">
    <w:nsid w:val="7644A45C"/>
    <w:multiLevelType w:val="hybridMultilevel"/>
    <w:lvl w:ilvl="0">
      <w:lvlJc w:val="left"/>
      <w:lvlText w:val="(%1)"/>
      <w:numFmt w:val="lowerLetter"/>
      <w:start w:val="1"/>
    </w:lvl>
  </w:abstractNum>
  <w:abstractNum w:abstractNumId="9">
    <w:nsid w:val="32FFF902"/>
    <w:multiLevelType w:val="hybridMultilevel"/>
    <w:lvl w:ilvl="0">
      <w:lvlJc w:val="left"/>
      <w:lvlText w:val="(%1)"/>
      <w:numFmt w:val="lowerLetter"/>
      <w:start w:val="2"/>
    </w:lvl>
  </w:abstractNum>
  <w:abstractNum w:abstractNumId="10">
    <w:nsid w:val="684A481A"/>
    <w:multiLevelType w:val="hybridMultilevel"/>
    <w:lvl w:ilvl="0">
      <w:lvlJc w:val="left"/>
      <w:lvlText w:val="(%1)"/>
      <w:numFmt w:val="lowerLetter"/>
      <w:start w:val="1"/>
    </w:lvl>
  </w:abstractNum>
  <w:abstractNum w:abstractNumId="11">
    <w:nsid w:val="579478FE"/>
    <w:multiLevelType w:val="hybridMultilevel"/>
    <w:lvl w:ilvl="0">
      <w:lvlJc w:val="left"/>
      <w:lvlText w:val="(%1)"/>
      <w:numFmt w:val="lowerLetter"/>
      <w:start w:val="6"/>
    </w:lvl>
  </w:abstractNum>
  <w:abstractNum w:abstractNumId="12">
    <w:nsid w:val="749ABB43"/>
    <w:multiLevelType w:val="hybridMultilevel"/>
    <w:lvl w:ilvl="0">
      <w:lvlJc w:val="left"/>
      <w:lvlText w:val="%1."/>
      <w:numFmt w:val="decimal"/>
      <w:start w:val="4"/>
    </w:lvl>
  </w:abstractNum>
  <w:abstractNum w:abstractNumId="13">
    <w:nsid w:val="3DC240FB"/>
    <w:multiLevelType w:val="hybridMultilevel"/>
    <w:lvl w:ilvl="0">
      <w:lvlJc w:val="left"/>
      <w:lvlText w:val="%1."/>
      <w:numFmt w:val="decimal"/>
      <w:start w:val="5"/>
    </w:lvl>
  </w:abstractNum>
  <w:abstractNum w:abstractNumId="14">
    <w:nsid w:val="1BA026FA"/>
    <w:multiLevelType w:val="hybridMultilevel"/>
    <w:lvl w:ilvl="0">
      <w:lvlJc w:val="left"/>
      <w:lvlText w:val="%1."/>
      <w:numFmt w:val="decimal"/>
      <w:start w:val="6"/>
    </w:lvl>
  </w:abstractNum>
  <w:abstractNum w:abstractNumId="15">
    <w:nsid w:val="79A1DEAA"/>
    <w:multiLevelType w:val="hybridMultilevel"/>
    <w:lvl w:ilvl="0">
      <w:lvlJc w:val="left"/>
      <w:lvlText w:val="(%1)"/>
      <w:numFmt w:val="lowerLetter"/>
      <w:start w:val="1"/>
    </w:lvl>
  </w:abstractNum>
  <w:abstractNum w:abstractNumId="16">
    <w:nsid w:val="75C6C33A"/>
    <w:multiLevelType w:val="hybridMultilevel"/>
    <w:lvl w:ilvl="0">
      <w:lvlJc w:val="left"/>
      <w:lvlText w:val="(%1)"/>
      <w:numFmt w:val="lowerLetter"/>
      <w:start w:val="3"/>
    </w:lvl>
    <w:lvl w:ilvl="1">
      <w:lvlJc w:val="left"/>
      <w:lvlText w:val="(%2)"/>
      <w:numFmt w:val="lowerRoman"/>
      <w:start w:val="1"/>
    </w:lvl>
  </w:abstractNum>
  <w:abstractNum w:abstractNumId="17">
    <w:nsid w:val="12E685FB"/>
    <w:multiLevelType w:val="hybridMultilevel"/>
    <w:lvl w:ilvl="0">
      <w:lvlJc w:val="left"/>
      <w:lvlText w:val="(%1)"/>
      <w:numFmt w:val="lowerLetter"/>
      <w:start w:val="1"/>
    </w:lvl>
  </w:abstractNum>
  <w:abstractNum w:abstractNumId="18">
    <w:nsid w:val="70C6A529"/>
    <w:multiLevelType w:val="hybridMultilevel"/>
    <w:lvl w:ilvl="0">
      <w:lvlJc w:val="left"/>
      <w:lvlText w:val="%1"/>
      <w:numFmt w:val="decimal"/>
      <w:start w:val="1"/>
    </w:lvl>
    <w:lvl w:ilvl="1">
      <w:lvlJc w:val="left"/>
      <w:lvlText w:val="(%2)"/>
      <w:numFmt w:val="lowerLetter"/>
      <w:start w:val="2"/>
    </w:lvl>
  </w:abstractNum>
  <w:abstractNum w:abstractNumId="19">
    <w:nsid w:val="520EEDD1"/>
    <w:multiLevelType w:val="hybridMultilevel"/>
    <w:lvl w:ilvl="0">
      <w:lvlJc w:val="left"/>
      <w:lvlText w:val="%1."/>
      <w:numFmt w:val="decimal"/>
      <w:start w:val="7"/>
    </w:lvl>
    <w:lvl w:ilvl="1">
      <w:lvlJc w:val="left"/>
      <w:lvlText w:val="%2"/>
      <w:numFmt w:val="lowerLetter"/>
      <w:start w:val="1"/>
    </w:lvl>
  </w:abstractNum>
  <w:abstractNum w:abstractNumId="20">
    <w:nsid w:val="374A3FE6"/>
    <w:multiLevelType w:val="hybridMultilevel"/>
    <w:lvl w:ilvl="0">
      <w:lvlJc w:val="left"/>
      <w:lvlText w:val="(%1)"/>
      <w:numFmt w:val="lowerRoman"/>
      <w:start w:val="3"/>
    </w:lvl>
  </w:abstractNum>
  <w:abstractNum w:abstractNumId="21">
    <w:nsid w:val="4F4EF005"/>
    <w:multiLevelType w:val="hybridMultilevel"/>
    <w:lvl w:ilvl="0">
      <w:lvlJc w:val="left"/>
      <w:lvlText w:val="%1."/>
      <w:numFmt w:val="decimal"/>
      <w:start w:val="8"/>
    </w:lvl>
  </w:abstractNum>
  <w:abstractNum w:abstractNumId="22">
    <w:nsid w:val="23F9C13C"/>
    <w:multiLevelType w:val="hybridMultilevel"/>
    <w:lvl w:ilvl="0">
      <w:lvlJc w:val="left"/>
      <w:lvlText w:val="(%1)"/>
      <w:numFmt w:val="lowerLetter"/>
      <w:start w:val="1"/>
    </w:lvl>
  </w:abstractNum>
  <w:abstractNum w:abstractNumId="23">
    <w:nsid w:val="649BB77C"/>
    <w:multiLevelType w:val="hybridMultilevel"/>
    <w:lvl w:ilvl="0">
      <w:lvlJc w:val="left"/>
      <w:lvlText w:val="(%1)"/>
      <w:numFmt w:val="lowerLetter"/>
      <w:start w:val="4"/>
    </w:lvl>
  </w:abstractNum>
  <w:abstractNum w:abstractNumId="24">
    <w:nsid w:val="275AC794"/>
    <w:multiLevelType w:val="hybridMultilevel"/>
    <w:lvl w:ilvl="0">
      <w:lvlJc w:val="left"/>
      <w:lvlText w:val="(%1)"/>
      <w:numFmt w:val="lowerLetter"/>
      <w:start w:val="5"/>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1)"/>
      <w:numFmt w:val="lowerLetter"/>
      <w:start w:val="2"/>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1."/>
      <w:numFmt w:val="decimal"/>
      <w:start w:val="10"/>
    </w:lvl>
  </w:abstractNum>
  <w:abstractNum w:abstractNumId="38">
    <w:nsid w:val="77AE35EB"/>
    <w:multiLevelType w:val="hybridMultilevel"/>
    <w:lvl w:ilvl="0">
      <w:lvlJc w:val="left"/>
      <w:lvlText w:val="(%1)"/>
      <w:numFmt w:val="decimal"/>
      <w:start w:val="1"/>
    </w:lvl>
  </w:abstractNum>
  <w:abstractNum w:abstractNumId="39">
    <w:nsid w:val="579BE4F1"/>
    <w:multiLevelType w:val="hybridMultilevel"/>
    <w:lvl w:ilvl="0">
      <w:lvlJc w:val="left"/>
      <w:lvlText w:val="(%1)"/>
      <w:numFmt w:val="upperLetter"/>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1."/>
      <w:numFmt w:val="upperLetter"/>
      <w:start w:val="1"/>
    </w:lvl>
  </w:abstractNum>
  <w:abstractNum w:abstractNumId="43">
    <w:nsid w:val="25A70BF7"/>
    <w:multiLevelType w:val="hybridMultilevel"/>
    <w:lvl w:ilvl="0">
      <w:lvlJc w:val="left"/>
      <w:lvlText w:val="(%1)"/>
      <w:numFmt w:val="lowerLetter"/>
      <w:start w:val="1"/>
    </w:lvl>
  </w:abstractNum>
  <w:abstractNum w:abstractNumId="44">
    <w:nsid w:val="1DBABF00"/>
    <w:multiLevelType w:val="hybridMultilevel"/>
    <w:lvl w:ilvl="0">
      <w:lvlJc w:val="left"/>
      <w:lvlText w:val="(%1)"/>
      <w:numFmt w:val="lowerLetter"/>
      <w:start w:val="5"/>
    </w:lvl>
  </w:abstractNum>
  <w:abstractNum w:abstractNumId="45">
    <w:nsid w:val="4AD084E9"/>
    <w:multiLevelType w:val="hybridMultilevel"/>
    <w:lvl w:ilvl="0">
      <w:lvlJc w:val="left"/>
      <w:lvlText w:val="(%1)"/>
      <w:numFmt w:val="lowerLetter"/>
      <w:start w:val="9"/>
    </w:lvl>
  </w:abstractNum>
  <w:abstractNum w:abstractNumId="46">
    <w:nsid w:val="1F48EAA1"/>
    <w:multiLevelType w:val="hybridMultilevel"/>
    <w:lvl w:ilvl="0">
      <w:lvlJc w:val="left"/>
      <w:lvlText w:val="(%1)"/>
      <w:numFmt w:val="lowerLetter"/>
      <w:start w:val="21"/>
    </w:lvl>
  </w:abstractNum>
  <w:abstractNum w:abstractNumId="47">
    <w:nsid w:val="1381823A"/>
    <w:multiLevelType w:val="hybridMultilevel"/>
    <w:lvl w:ilvl="0">
      <w:lvlJc w:val="left"/>
      <w:lvlText w:val="(%1)"/>
      <w:numFmt w:val="lowerLetter"/>
      <w:start w:val="27"/>
    </w:lvl>
  </w:abstractNum>
  <w:abstractNum w:abstractNumId="48">
    <w:nsid w:val="5DB70AE5"/>
    <w:multiLevelType w:val="hybridMultilevel"/>
    <w:lvl w:ilvl="0">
      <w:lvlJc w:val="left"/>
      <w:lvlText w:val="(%1)"/>
      <w:numFmt w:val="lowerLetter"/>
      <w:start w:val="36"/>
    </w:lvl>
  </w:abstractNum>
  <w:abstractNum w:abstractNumId="49">
    <w:nsid w:val="100F8FCA"/>
    <w:multiLevelType w:val="hybridMultilevel"/>
    <w:lvl w:ilvl="0">
      <w:lvlJc w:val="left"/>
      <w:lvlText w:val="%1"/>
      <w:numFmt w:val="lowerLetter"/>
      <w:start w:val="1"/>
    </w:lvl>
    <w:lvl w:ilvl="1">
      <w:lvlJc w:val="left"/>
      <w:lvlText w:val="(%2)"/>
      <w:numFmt w:val="lowerLetter"/>
      <w:start w:val="37"/>
    </w:lvl>
  </w:abstractNum>
  <w:abstractNum w:abstractNumId="50">
    <w:nsid w:val="6590700B"/>
    <w:multiLevelType w:val="hybridMultilevel"/>
    <w:lvl w:ilvl="0">
      <w:lvlJc w:val="left"/>
      <w:lvlText w:val="(%1)"/>
      <w:numFmt w:val="lowerLetter"/>
      <w:start w:val="35"/>
    </w:lvl>
    <w:lvl w:ilvl="1">
      <w:lvlJc w:val="left"/>
      <w:lvlText w:val="(%2)"/>
      <w:numFmt w:val="lowerLetter"/>
      <w:start w:val="46"/>
    </w:lvl>
  </w:abstractNum>
  <w:abstractNum w:abstractNumId="51">
    <w:nsid w:val="15014ACB"/>
    <w:multiLevelType w:val="hybridMultilevel"/>
    <w:lvl w:ilvl="0">
      <w:lvlJc w:val="left"/>
      <w:lvlText w:val="(%1)"/>
      <w:numFmt w:val="lowerLetter"/>
      <w:start w:val="1"/>
    </w:lvl>
  </w:abstractNum>
  <w:abstractNum w:abstractNumId="52">
    <w:nsid w:val="5F5E7FD0"/>
    <w:multiLevelType w:val="hybridMultilevel"/>
    <w:lvl w:ilvl="0">
      <w:lvlJc w:val="left"/>
      <w:lvlText w:val="%1"/>
      <w:numFmt w:val="lowerLetter"/>
      <w:start w:val="1"/>
    </w:lvl>
    <w:lvl w:ilvl="1">
      <w:lvlJc w:val="left"/>
      <w:lvlText w:val="(%2)"/>
      <w:numFmt w:val="lowerLetter"/>
      <w:start w:val="1"/>
    </w:lvl>
  </w:abstractNum>
  <w:abstractNum w:abstractNumId="53">
    <w:nsid w:val="98A3148"/>
    <w:multiLevelType w:val="hybridMultilevel"/>
    <w:lvl w:ilvl="0">
      <w:lvlJc w:val="left"/>
      <w:lvlText w:val="(%1)"/>
      <w:numFmt w:val="lowerLetter"/>
      <w:start w:val="9"/>
    </w:lvl>
    <w:lvl w:ilvl="1">
      <w:lvlJc w:val="left"/>
      <w:lvlText w:val="(%2)"/>
      <w:numFmt w:val="lowerLetter"/>
      <w:start w:val="5"/>
    </w:lvl>
  </w:abstractNum>
  <w:abstractNum w:abstractNumId="54">
    <w:nsid w:val="799D0247"/>
    <w:multiLevelType w:val="hybridMultilevel"/>
    <w:lvl w:ilvl="0">
      <w:lvlJc w:val="left"/>
      <w:lvlText w:val="(%1)"/>
      <w:numFmt w:val="lowerLetter"/>
      <w:start w:val="6"/>
    </w:lvl>
  </w:abstractNum>
  <w:abstractNum w:abstractNumId="55">
    <w:nsid w:val="6B94764"/>
    <w:multiLevelType w:val="hybridMultilevel"/>
    <w:lvl w:ilvl="0">
      <w:lvlJc w:val="left"/>
      <w:lvlText w:val="(%1)"/>
      <w:numFmt w:val="lowerLetter"/>
      <w:start w:val="1"/>
    </w:lvl>
  </w:abstractNum>
  <w:abstractNum w:abstractNumId="56">
    <w:nsid w:val="42C296BD"/>
    <w:multiLevelType w:val="hybridMultilevel"/>
    <w:lvl w:ilvl="0">
      <w:lvlJc w:val="left"/>
      <w:lvlText w:val="(%1)"/>
      <w:numFmt w:val="lowerLetter"/>
      <w:start w:val="2"/>
    </w:lvl>
  </w:abstractNum>
  <w:abstractNum w:abstractNumId="57">
    <w:nsid w:val="168E121F"/>
    <w:multiLevelType w:val="hybridMultilevel"/>
    <w:lvl w:ilvl="0">
      <w:lvlJc w:val="left"/>
      <w:lvlText w:val="(%1)"/>
      <w:numFmt w:val="lowerLetter"/>
      <w:start w:val="3"/>
    </w:lvl>
  </w:abstractNum>
  <w:abstractNum w:abstractNumId="58">
    <w:nsid w:val="1EBA5D23"/>
    <w:multiLevelType w:val="hybridMultilevel"/>
    <w:lvl w:ilvl="0">
      <w:lvlJc w:val="left"/>
      <w:lvlText w:val="(%1)"/>
      <w:numFmt w:val="lowerLetter"/>
      <w:start w:val="1"/>
    </w:lvl>
  </w:abstractNum>
  <w:abstractNum w:abstractNumId="59">
    <w:nsid w:val="661E3F1E"/>
    <w:multiLevelType w:val="hybridMultilevel"/>
    <w:lvl w:ilvl="0">
      <w:lvlJc w:val="left"/>
      <w:lvlText w:val="(%1)"/>
      <w:numFmt w:val="lowerLetter"/>
      <w:start w:val="3"/>
    </w:lvl>
  </w:abstractNum>
  <w:abstractNum w:abstractNumId="60">
    <w:nsid w:val="5DC79EA8"/>
    <w:multiLevelType w:val="hybridMultilevel"/>
    <w:lvl w:ilvl="0">
      <w:lvlJc w:val="left"/>
      <w:lvlText w:val="%1"/>
      <w:numFmt w:val="lowerRoman"/>
      <w:start w:val="1"/>
    </w:lvl>
    <w:lvl w:ilvl="1">
      <w:lvlJc w:val="left"/>
      <w:lvlText w:val="(%2)"/>
      <w:numFmt w:val="lowerLetter"/>
      <w:start w:val="1"/>
    </w:lvl>
  </w:abstractNum>
  <w:abstractNum w:abstractNumId="61">
    <w:nsid w:val="540A471C"/>
    <w:multiLevelType w:val="hybridMultilevel"/>
    <w:lvl w:ilvl="0">
      <w:lvlJc w:val="left"/>
      <w:lvlText w:val="(%1)"/>
      <w:numFmt w:val="lowerRoman"/>
      <w:start w:val="4"/>
    </w:lvl>
    <w:lvl w:ilvl="1">
      <w:lvlJc w:val="left"/>
      <w:lvlText w:val="(%2)"/>
      <w:numFmt w:val="lowerLetter"/>
      <w:start w:val="2"/>
    </w:lvl>
  </w:abstractNum>
  <w:abstractNum w:abstractNumId="62">
    <w:nsid w:val="7BD3EE7B"/>
    <w:multiLevelType w:val="hybridMultilevel"/>
    <w:lvl w:ilvl="0">
      <w:lvlJc w:val="left"/>
      <w:lvlText w:val="%1"/>
      <w:numFmt w:val="lowerLetter"/>
      <w:start w:val="1"/>
    </w:lvl>
    <w:lvl w:ilvl="1">
      <w:lvlJc w:val="left"/>
      <w:lvlText w:val="(%2)"/>
      <w:numFmt w:val="lowerLetter"/>
      <w:start w:val="1"/>
    </w:lvl>
  </w:abstractNum>
  <w:abstractNum w:abstractNumId="63">
    <w:nsid w:val="51D9C564"/>
    <w:multiLevelType w:val="hybridMultilevel"/>
    <w:lvl w:ilvl="0">
      <w:lvlJc w:val="left"/>
      <w:lvlText w:val="(%1)"/>
      <w:numFmt w:val="lowerLetter"/>
      <w:start w:val="9"/>
    </w:lvl>
    <w:lvl w:ilvl="1">
      <w:lvlJc w:val="left"/>
      <w:lvlText w:val="%2"/>
      <w:numFmt w:val="lowerLetter"/>
      <w:start w:val="1"/>
    </w:lvl>
  </w:abstractNum>
  <w:abstractNum w:abstractNumId="64">
    <w:nsid w:val="613EFDC5"/>
    <w:multiLevelType w:val="hybridMultilevel"/>
    <w:lvl w:ilvl="0">
      <w:lvlJc w:val="left"/>
      <w:lvlText w:val="(%1)"/>
      <w:numFmt w:val="lowerLetter"/>
      <w:start w:val="35"/>
    </w:lvl>
    <w:lvl w:ilvl="1">
      <w:lvlJc w:val="left"/>
      <w:lvlText w:val="(%2)"/>
      <w:numFmt w:val="lowerLetter"/>
      <w:start w:val="2"/>
    </w:lvl>
  </w:abstractNum>
  <w:abstractNum w:abstractNumId="65">
    <w:nsid w:val="BF72B14"/>
    <w:multiLevelType w:val="hybridMultilevel"/>
    <w:lvl w:ilvl="0">
      <w:lvlJc w:val="left"/>
      <w:lvlText w:val="(%1)"/>
      <w:numFmt w:val="lowerLetter"/>
      <w:start w:val="61"/>
    </w:lvl>
    <w:lvl w:ilvl="1">
      <w:lvlJc w:val="left"/>
      <w:lvlText w:val="(%2)"/>
      <w:numFmt w:val="lowerLetter"/>
      <w:start w:val="3"/>
    </w:lvl>
  </w:abstractNum>
  <w:abstractNum w:abstractNumId="66">
    <w:nsid w:val="11447B73"/>
    <w:multiLevelType w:val="hybridMultilevel"/>
    <w:lvl w:ilvl="0">
      <w:lvlJc w:val="left"/>
      <w:lvlText w:val="(%1)"/>
      <w:numFmt w:val="lowerLetter"/>
      <w:start w:val="1"/>
    </w:lvl>
  </w:abstractNum>
  <w:abstractNum w:abstractNumId="67">
    <w:nsid w:val="42963E5A"/>
    <w:multiLevelType w:val="hybridMultilevel"/>
    <w:lvl w:ilvl="0">
      <w:lvlJc w:val="left"/>
      <w:lvlText w:val="(%1)"/>
      <w:numFmt w:val="lowerLetter"/>
      <w:start w:val="4"/>
    </w:lvl>
  </w:abstractNum>
  <w:abstractNum w:abstractNumId="68">
    <w:nsid w:val="A0382C5"/>
    <w:multiLevelType w:val="hybridMultilevel"/>
    <w:lvl w:ilvl="0">
      <w:lvlJc w:val="left"/>
      <w:lvlText w:val="%1"/>
      <w:numFmt w:val="lowerLetter"/>
      <w:start w:val="1"/>
    </w:lvl>
    <w:lvl w:ilvl="1">
      <w:lvlJc w:val="left"/>
      <w:lvlText w:val="(%2)"/>
      <w:numFmt w:val="lowerLetter"/>
      <w:start w:val="1"/>
    </w:lvl>
  </w:abstractNum>
  <w:abstractNum w:abstractNumId="69">
    <w:nsid w:val="8F2B15E"/>
    <w:multiLevelType w:val="hybridMultilevel"/>
    <w:lvl w:ilvl="0">
      <w:lvlJc w:val="left"/>
      <w:lvlText w:val="(%1)"/>
      <w:numFmt w:val="lowerLetter"/>
      <w:start w:val="35"/>
    </w:lvl>
    <w:lvl w:ilvl="1">
      <w:lvlJc w:val="left"/>
      <w:lvlText w:val="%2"/>
      <w:numFmt w:val="lowerLetter"/>
      <w:start w:val="1"/>
    </w:lvl>
  </w:abstractNum>
  <w:abstractNum w:abstractNumId="70">
    <w:nsid w:val="1A32234B"/>
    <w:multiLevelType w:val="hybridMultilevel"/>
    <w:lvl w:ilvl="0">
      <w:lvlJc w:val="left"/>
      <w:lvlText w:val="(%1)"/>
      <w:numFmt w:val="lowerLetter"/>
      <w:start w:val="6"/>
    </w:lvl>
    <w:lvl w:ilvl="1">
      <w:lvlJc w:val="left"/>
      <w:lvlText w:val="%2"/>
      <w:numFmt w:val="lowerLetter"/>
      <w:start w:val="1"/>
    </w:lvl>
  </w:abstractNum>
  <w:abstractNum w:abstractNumId="71">
    <w:nsid w:val="3B0FD379"/>
    <w:multiLevelType w:val="hybridMultilevel"/>
    <w:lvl w:ilvl="0">
      <w:lvlJc w:val="left"/>
      <w:lvlText w:val="(%1)"/>
      <w:numFmt w:val="lowerLetter"/>
      <w:start w:val="2"/>
    </w:lvl>
  </w:abstractNum>
  <w:abstractNum w:abstractNumId="72">
    <w:nsid w:val="68EB2F63"/>
    <w:multiLevelType w:val="hybridMultilevel"/>
    <w:lvl w:ilvl="0">
      <w:lvlJc w:val="left"/>
      <w:lvlText w:val="(%1)"/>
      <w:numFmt w:val="lowerLetter"/>
      <w:start w:val="3"/>
    </w:lvl>
  </w:abstractNum>
  <w:abstractNum w:abstractNumId="73">
    <w:nsid w:val="4962813B"/>
    <w:multiLevelType w:val="hybridMultilevel"/>
    <w:lvl w:ilvl="0">
      <w:lvlJc w:val="left"/>
      <w:lvlText w:val="%1"/>
      <w:numFmt w:val="decimal"/>
      <w:start w:val="1"/>
    </w:lvl>
    <w:lvl w:ilvl="1">
      <w:lvlJc w:val="left"/>
      <w:lvlText w:val="(%2)"/>
      <w:numFmt w:val="lowerLetter"/>
      <w:start w:val="4"/>
    </w:lvl>
  </w:abstractNum>
  <w:abstractNum w:abstractNumId="74">
    <w:nsid w:val="60B6DF70"/>
    <w:multiLevelType w:val="hybridMultilevel"/>
    <w:lvl w:ilvl="0">
      <w:lvlJc w:val="left"/>
      <w:lvlText w:val="(%1)"/>
      <w:numFmt w:val="decimal"/>
      <w:start w:val="90"/>
    </w:lvl>
    <w:lvl w:ilvl="1">
      <w:lvlJc w:val="left"/>
      <w:lvlText w:val="(%2)"/>
      <w:numFmt w:val="lowerLetter"/>
      <w:start w:val="6"/>
    </w:lvl>
  </w:abstractNum>
  <w:abstractNum w:abstractNumId="75">
    <w:nsid w:val="6A5EE64"/>
    <w:multiLevelType w:val="hybridMultilevel"/>
    <w:lvl w:ilvl="0">
      <w:lvlJc w:val="left"/>
      <w:lvlText w:val="(%1)"/>
      <w:numFmt w:val="lowerLetter"/>
      <w:start w:val="7"/>
    </w:lvl>
  </w:abstractNum>
  <w:abstractNum w:abstractNumId="76">
    <w:nsid w:val="14330624"/>
    <w:multiLevelType w:val="hybridMultilevel"/>
    <w:lvl w:ilvl="0">
      <w:lvlJc w:val="left"/>
      <w:lvlText w:val="(%1)"/>
      <w:numFmt w:val="upperLetter"/>
      <w:start w:val="2"/>
    </w:lvl>
    <w:lvl w:ilvl="1">
      <w:lvlJc w:val="left"/>
      <w:lvlText w:val="(%2)"/>
      <w:numFmt w:val="lowerLetter"/>
      <w:start w:val="11"/>
    </w:lvl>
  </w:abstractNum>
  <w:abstractNum w:abstractNumId="77">
    <w:nsid w:val="7FFFCA11"/>
    <w:multiLevelType w:val="hybridMultilevel"/>
    <w:lvl w:ilvl="0">
      <w:lvlJc w:val="left"/>
      <w:lvlText w:val="(%1)"/>
      <w:numFmt w:val="lowerLetter"/>
      <w:start w:val="15"/>
    </w:lvl>
  </w:abstractNum>
  <w:abstractNum w:abstractNumId="78">
    <w:nsid w:val="1A27709E"/>
    <w:multiLevelType w:val="hybridMultilevel"/>
    <w:lvl w:ilvl="0">
      <w:lvlJc w:val="left"/>
      <w:lvlText w:val="(%1)"/>
      <w:numFmt w:val="lowerLetter"/>
      <w:start w:val="1"/>
    </w:lvl>
  </w:abstractNum>
  <w:abstractNum w:abstractNumId="79">
    <w:nsid w:val="71EA1109"/>
    <w:multiLevelType w:val="hybridMultilevel"/>
    <w:lvl w:ilvl="0">
      <w:lvlJc w:val="left"/>
      <w:lvlText w:val="(%1)"/>
      <w:numFmt w:val="lowerLetter"/>
      <w:start w:val="1"/>
    </w:lvl>
  </w:abstractNum>
  <w:abstractNum w:abstractNumId="80">
    <w:nsid w:val="100F59DC"/>
    <w:multiLevelType w:val="hybridMultilevel"/>
    <w:lvl w:ilvl="0">
      <w:lvlJc w:val="left"/>
      <w:lvlText w:val="(%1)"/>
      <w:numFmt w:val="lowerLetter"/>
      <w:start w:val="2"/>
    </w:lvl>
  </w:abstractNum>
  <w:abstractNum w:abstractNumId="81">
    <w:nsid w:val="7FB7E0AA"/>
    <w:multiLevelType w:val="hybridMultilevel"/>
    <w:lvl w:ilvl="0">
      <w:lvlJc w:val="left"/>
      <w:lvlText w:val="(%1)"/>
      <w:numFmt w:val="lowerLetter"/>
      <w:start w:val="4"/>
    </w:lvl>
  </w:abstractNum>
  <w:abstractNum w:abstractNumId="82">
    <w:nsid w:val="6EB5BD4"/>
    <w:multiLevelType w:val="hybridMultilevel"/>
    <w:lvl w:ilvl="0">
      <w:lvlJc w:val="left"/>
      <w:lvlText w:val="(%1)"/>
      <w:numFmt w:val="lowerLetter"/>
      <w:start w:val="1"/>
    </w:lvl>
  </w:abstractNum>
  <w:abstractNum w:abstractNumId="83">
    <w:nsid w:val="6F6DD9AC"/>
    <w:multiLevelType w:val="hybridMultilevel"/>
    <w:lvl w:ilvl="0">
      <w:lvlJc w:val="left"/>
      <w:lvlText w:val="(%1)"/>
      <w:numFmt w:val="lowerLetter"/>
      <w:start w:val="1"/>
    </w:lvl>
  </w:abstractNum>
  <w:abstractNum w:abstractNumId="84">
    <w:nsid w:val="94211F2"/>
    <w:multiLevelType w:val="hybridMultilevel"/>
    <w:lvl w:ilvl="0">
      <w:lvlJc w:val="left"/>
      <w:lvlText w:val="(%1)"/>
      <w:numFmt w:val="lowerLetter"/>
      <w:start w:val="2"/>
    </w:lvl>
  </w:abstractNum>
  <w:abstractNum w:abstractNumId="85">
    <w:nsid w:val="885E1B"/>
    <w:multiLevelType w:val="hybridMultilevel"/>
    <w:lvl w:ilvl="0">
      <w:lvlJc w:val="left"/>
      <w:lvlText w:val="(%1)"/>
      <w:numFmt w:val="lowerLetter"/>
      <w:start w:val="1"/>
    </w:lvl>
  </w:abstractNum>
  <w:abstractNum w:abstractNumId="86">
    <w:nsid w:val="7627211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2019-12-11T20:43:29Z</dcterms:created>
  <dcterms:modified xsi:type="dcterms:W3CDTF">2019-12-11T20:43:29Z</dcterms:modified>
</cp:coreProperties>
</file>