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tbl>
      <w:tblPr>
        <w:tblLayout w:type="fixed"/>
        <w:tblInd w:w="0" w:type="dxa"/>
        <w:tblCellMar>
          <w:top w:w="0" w:type="dxa"/>
          <w:left w:w="0" w:type="dxa"/>
          <w:bottom w:w="0" w:type="dxa"/>
          <w:right w:w="0" w:type="dxa"/>
        </w:tblCellMar>
      </w:tblP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79"/>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2,626,713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6.593%</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HC</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6.593%</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rPr>
                <w:sz w:val="20"/>
                <w:szCs w:val="20"/>
                <w:color w:val="auto"/>
              </w:rPr>
            </w:pPr>
            <w:r>
              <w:rPr>
                <w:rFonts w:ascii="Courier New" w:cs="Courier New" w:eastAsia="Courier New" w:hAnsi="Courier New"/>
                <w:sz w:val="18"/>
                <w:szCs w:val="18"/>
                <w:color w:val="auto"/>
              </w:rPr>
              <w:t>IN</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16,836,941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6.593%</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Micron Technology Incorporated</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311"/>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8000 South</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Federal Way, P.O. Box 6</w:t>
            </w:r>
          </w:p>
        </w:tc>
      </w:tr>
      <w:tr>
        <w:trPr>
          <w:trHeight w:val="296"/>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Boise, ID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83716-9632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FMR Corp.</w:t>
            </w:r>
          </w:p>
        </w:tc>
        <w:tc>
          <w:tcPr>
            <w:tcW w:w="416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595112103</w:t>
            </w:r>
          </w:p>
        </w:tc>
        <w:tc>
          <w:tcPr>
            <w:tcW w:w="4160" w:type="dxa"/>
            <w:vAlign w:val="bottom"/>
          </w:tcPr>
          <w:p>
            <w:pPr>
              <w:spacing w:after="0"/>
              <w:rPr>
                <w:sz w:val="24"/>
                <w:szCs w:val="24"/>
                <w:color w:val="auto"/>
              </w:rPr>
            </w:pPr>
          </w:p>
        </w:tc>
      </w:tr>
    </w:tbl>
    <w:p>
      <w:pPr>
        <w:spacing w:after="0" w:line="109" w:lineRule="exact"/>
        <w:rPr>
          <w:sz w:val="24"/>
          <w:szCs w:val="24"/>
          <w:color w:val="auto"/>
        </w:rPr>
      </w:pPr>
    </w:p>
    <w:p>
      <w:pPr>
        <w:ind w:right="285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139"/>
          </w:cols>
          <w:pgMar w:left="320" w:top="420"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96"/>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16,836,941</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6.593%</w:t>
            </w:r>
          </w:p>
        </w:tc>
        <w:tc>
          <w:tcPr>
            <w:tcW w:w="116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2,626,713</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860" w:right="2759" w:hanging="9"/>
        <w:spacing w:after="0" w:line="346"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16,836,941</w:t>
      </w:r>
    </w:p>
    <w:p>
      <w:pPr>
        <w:spacing w:after="0" w:line="19"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2559" w:firstLine="843"/>
        <w:spacing w:after="0" w:line="306"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 No one person's interest in the common stock of Micron Technology Incorporated is more than five percent of the total outstanding common stock.</w:t>
      </w:r>
    </w:p>
    <w:p>
      <w:pPr>
        <w:spacing w:after="0" w:line="6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659" w:firstLine="843"/>
        <w:spacing w:after="0" w:line="26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Micron Technology Incorporated at December 31, 1999 is true, complete and correct.</w:t>
      </w:r>
    </w:p>
    <w:p>
      <w:pPr>
        <w:spacing w:after="0" w:line="8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12" w:right="1440" w:bottom="0" w:gutter="0" w:footer="0" w:header="0"/>
        </w:sectPr>
      </w:pPr>
    </w:p>
    <w:bookmarkStart w:id="2" w:name="page3"/>
    <w:bookmarkEnd w:id="2"/>
    <w:p>
      <w:pPr>
        <w:ind w:right="2559" w:firstLine="843"/>
        <w:spacing w:after="0" w:line="24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14,024,891 shares or 5.492%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December 31, 1999 included 1,714,888 shares of common stock resulting from the assumed conversion of $115,660,000 principal amount of MICRON TECH 7% CSD 7/01/04 (14.827 shares of common stock for each $1,000 principal amount of debenture).</w:t>
      </w:r>
    </w:p>
    <w:p>
      <w:pPr>
        <w:spacing w:after="0" w:line="111" w:lineRule="exact"/>
        <w:rPr>
          <w:sz w:val="20"/>
          <w:szCs w:val="20"/>
          <w:color w:val="auto"/>
        </w:rPr>
      </w:pPr>
    </w:p>
    <w:p>
      <w:pPr>
        <w:ind w:right="243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14,024,891 shares owned by the Funds.</w:t>
      </w:r>
    </w:p>
    <w:p>
      <w:pPr>
        <w:spacing w:after="0" w:line="66" w:lineRule="exact"/>
        <w:rPr>
          <w:sz w:val="20"/>
          <w:szCs w:val="20"/>
          <w:color w:val="auto"/>
        </w:rPr>
      </w:pPr>
    </w:p>
    <w:p>
      <w:pPr>
        <w:ind w:right="29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2" w:lineRule="exact"/>
        <w:rPr>
          <w:sz w:val="20"/>
          <w:szCs w:val="20"/>
          <w:color w:val="auto"/>
        </w:rPr>
      </w:pPr>
    </w:p>
    <w:p>
      <w:pPr>
        <w:ind w:right="2559" w:firstLine="843"/>
        <w:spacing w:after="0" w:line="250"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2,435,831 shares or 0.953% of the common stock outstanding of the Company as a result of its serving as investment manager of the institutional account(s). The number of shares of common stock of Micron Technology Incorporated owned by the institutional account(s) at December 31, 1999 included 15,803 shares of common stock resulting from the assumed conversion of 1,066,000 shares of the MICRON TECH 7% CSD 7/01/04 described above.</w:t>
      </w:r>
    </w:p>
    <w:p>
      <w:pPr>
        <w:spacing w:after="0" w:line="103" w:lineRule="exact"/>
        <w:rPr>
          <w:sz w:val="20"/>
          <w:szCs w:val="20"/>
          <w:color w:val="auto"/>
        </w:rPr>
      </w:pPr>
    </w:p>
    <w:p>
      <w:pPr>
        <w:ind w:right="2659" w:firstLine="843"/>
        <w:spacing w:after="0" w:line="260"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2,435,831 shares and sole power to vote or to direct the voting of 2,276,693 shares, and no power to vote or to direct the voting of 159,138 shares of common stock owned by the institutional account(s) as reported above.</w:t>
      </w:r>
    </w:p>
    <w:p>
      <w:pPr>
        <w:spacing w:after="0" w:line="92" w:lineRule="exact"/>
        <w:rPr>
          <w:sz w:val="20"/>
          <w:szCs w:val="20"/>
          <w:color w:val="auto"/>
        </w:rPr>
      </w:pPr>
    </w:p>
    <w:p>
      <w:pPr>
        <w:ind w:right="2439" w:firstLine="843"/>
        <w:spacing w:after="0" w:line="244"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3" w:lineRule="exact"/>
        <w:rPr>
          <w:sz w:val="20"/>
          <w:szCs w:val="20"/>
          <w:color w:val="auto"/>
        </w:rPr>
      </w:pPr>
    </w:p>
    <w:p>
      <w:pPr>
        <w:ind w:right="3819"/>
        <w:spacing w:after="0" w:line="309"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50" w:lineRule="exact"/>
        <w:rPr>
          <w:sz w:val="20"/>
          <w:szCs w:val="20"/>
          <w:color w:val="auto"/>
        </w:rPr>
      </w:pPr>
    </w:p>
    <w:p>
      <w:pPr>
        <w:ind w:right="2659" w:firstLine="843"/>
        <w:spacing w:after="0" w:line="24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107" w:lineRule="exact"/>
        <w:rPr>
          <w:sz w:val="20"/>
          <w:szCs w:val="20"/>
          <w:color w:val="auto"/>
        </w:rPr>
      </w:pPr>
    </w:p>
    <w:p>
      <w:pPr>
        <w:ind w:right="2759" w:firstLine="843"/>
        <w:spacing w:after="0" w:line="242"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376,220 shares or 0.147% of the common stock outstanding of the Company. Additional information with respect to the beneficial ownership of Fidelity International Limited is shown on Exhibit B, page 9.</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110" w:right="1440" w:bottom="0" w:gutter="0" w:footer="0" w:header="0"/>
        </w:sectPr>
      </w:pPr>
    </w:p>
    <w:bookmarkStart w:id="3" w:name="page4"/>
    <w:bookmarkEnd w:id="3"/>
    <w:p>
      <w:pPr>
        <w:ind w:right="2559" w:firstLine="843"/>
        <w:spacing w:after="0" w:line="28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376,220 shares or 0.147% of the common stock outstanding of Micron Technology Incorporated.</w:t>
      </w:r>
    </w:p>
    <w:p>
      <w:pPr>
        <w:spacing w:after="0" w:line="76" w:lineRule="exact"/>
        <w:rPr>
          <w:sz w:val="20"/>
          <w:szCs w:val="20"/>
          <w:color w:val="auto"/>
        </w:rPr>
      </w:pPr>
    </w:p>
    <w:p>
      <w:pPr>
        <w:ind w:right="2659" w:firstLine="843"/>
        <w:spacing w:after="0" w:line="253"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03" w:lineRule="exact"/>
        <w:rPr>
          <w:sz w:val="20"/>
          <w:szCs w:val="20"/>
          <w:color w:val="auto"/>
        </w:rPr>
      </w:pPr>
    </w:p>
    <w:p>
      <w:pPr>
        <w:ind w:right="2659" w:firstLine="843"/>
        <w:spacing w:after="0" w:line="251"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06" w:lineRule="exact"/>
        <w:rPr>
          <w:sz w:val="20"/>
          <w:szCs w:val="20"/>
          <w:color w:val="auto"/>
        </w:rPr>
      </w:pPr>
    </w:p>
    <w:p>
      <w:pPr>
        <w:ind w:right="2659" w:firstLine="843"/>
        <w:spacing w:after="0" w:line="250"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03" w:lineRule="exact"/>
        <w:rPr>
          <w:sz w:val="20"/>
          <w:szCs w:val="20"/>
          <w:color w:val="auto"/>
        </w:rPr>
      </w:pPr>
    </w:p>
    <w:p>
      <w:pPr>
        <w:ind w:right="2659" w:firstLine="843"/>
        <w:spacing w:after="0" w:line="265"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89" w:lineRule="exact"/>
        <w:rPr>
          <w:sz w:val="20"/>
          <w:szCs w:val="20"/>
          <w:color w:val="auto"/>
        </w:rPr>
      </w:pPr>
    </w:p>
    <w:p>
      <w:pPr>
        <w:ind w:right="2659" w:firstLine="843"/>
        <w:spacing w:after="0" w:line="251"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106" w:lineRule="exact"/>
        <w:rPr>
          <w:sz w:val="20"/>
          <w:szCs w:val="20"/>
          <w:color w:val="auto"/>
        </w:rPr>
      </w:pPr>
    </w:p>
    <w:p>
      <w:pPr>
        <w:ind w:right="2559" w:firstLine="843"/>
        <w:spacing w:after="0" w:line="276"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2" w:lineRule="exact"/>
        <w:rPr>
          <w:sz w:val="20"/>
          <w:szCs w:val="20"/>
          <w:color w:val="auto"/>
        </w:rPr>
      </w:pPr>
    </w:p>
    <w:p>
      <w:pPr>
        <w:ind w:right="2659" w:firstLine="8"/>
        <w:spacing w:after="0" w:line="252"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01" w:lineRule="exact"/>
        <w:rPr>
          <w:sz w:val="20"/>
          <w:szCs w:val="20"/>
          <w:color w:val="auto"/>
        </w:rPr>
      </w:pPr>
    </w:p>
    <w:p>
      <w:pPr>
        <w:ind w:right="2659" w:firstLine="843"/>
        <w:spacing w:after="0" w:line="265" w:lineRule="auto"/>
        <w:rPr>
          <w:sz w:val="20"/>
          <w:szCs w:val="20"/>
          <w:color w:val="auto"/>
        </w:rPr>
      </w:pPr>
      <w:r>
        <w:rPr>
          <w:rFonts w:ascii="Courier New" w:cs="Courier New" w:eastAsia="Courier New" w:hAnsi="Courier New"/>
          <w:sz w:val="18"/>
          <w:szCs w:val="18"/>
          <w:color w:val="auto"/>
        </w:rPr>
        <w:t>FIL has sole dispositive power over 376,220 shares owned by the International Funds. FIL has sole power to vote or direct the voting of 350,020 shares and no power to vote or direct the voting of 26,200 shares of common stock held by the International Funds as reported above.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8"/>
          <w:szCs w:val="18"/>
          <w:color w:val="auto"/>
        </w:rPr>
        <w:t>The undersigned persons, on February 14, 2000, agree and consent</w:t>
      </w:r>
    </w:p>
    <w:p>
      <w:pPr>
        <w:sectPr>
          <w:pgSz w:w="11900" w:h="16838" w:orient="portrait"/>
          <w:cols w:equalWidth="0" w:num="1">
            <w:col w:w="10139"/>
          </w:cols>
          <w:pgMar w:left="320" w:top="312" w:right="1440" w:bottom="0" w:gutter="0" w:footer="0" w:header="0"/>
        </w:sectPr>
      </w:pPr>
    </w:p>
    <w:bookmarkStart w:id="4" w:name="page5"/>
    <w:bookmarkEnd w:id="4"/>
    <w:p>
      <w:pPr>
        <w:ind w:right="2759"/>
        <w:spacing w:after="0" w:line="292" w:lineRule="auto"/>
        <w:rPr>
          <w:sz w:val="20"/>
          <w:szCs w:val="20"/>
          <w:color w:val="auto"/>
        </w:rPr>
      </w:pPr>
      <w:r>
        <w:rPr>
          <w:rFonts w:ascii="Courier New" w:cs="Courier New" w:eastAsia="Courier New" w:hAnsi="Courier New"/>
          <w:sz w:val="18"/>
          <w:szCs w:val="18"/>
          <w:color w:val="auto"/>
        </w:rPr>
        <w:t>to the joint filing on their behalf of this Schedule 13G in connection with their beneficial ownership of the common stock of Micron Technology Incorporated at December 31, 1999.</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2"/>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2020-10-06T11:53:33Z</dcterms:created>
  <dcterms:modified xsi:type="dcterms:W3CDTF">2020-10-06T11:53:33Z</dcterms:modified>
</cp:coreProperties>
</file>