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m2511594d5_fwp.htm"/>
      <w:bookmarkStart w:id="1" w:name="kstm2511594d5_fwp"/>
      <w:bookmarkEnd w:id="0"/>
      <w:bookmarkEnd w:id="1"/>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333-275276</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Issuer Free Writing Prospectus dated April 24, 2025</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Relating to Preliminary Prospectus Supplement dated April 24,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APRIL 24,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 5.65% SENIOR NOTES DUE 2032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$1,250,000,000 6.05% SENIOR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pricing term sheet supplements Micron Technology, Inc.’s (“Micron”) preliminary prospectus supplement, dated April 24, 2025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4"/>
        <w:gridCol w:w="8821"/>
      </w:tblGrid>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8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Micron Technology, Inc. (Nasdaq: MU)</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Offered:</w:t>
            </w:r>
          </w:p>
        </w:tc>
        <w:tc>
          <w:tcPr>
            <w:tcW w:w="88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aggregate principal amount of 5.65% Senior Notes due 2032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aggregate principal amount of 6.05% Senior Notes due 2035 (the “2035 Notes” and, together with the 2032 Notes, the “notes”)</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Date:</w:t>
            </w:r>
          </w:p>
        </w:tc>
        <w:tc>
          <w:tcPr>
            <w:tcW w:w="8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24, 2025</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Date:*</w:t>
            </w:r>
          </w:p>
        </w:tc>
        <w:tc>
          <w:tcPr>
            <w:tcW w:w="8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29, 2025 (T+3)</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Denominations:</w:t>
            </w:r>
          </w:p>
        </w:tc>
        <w:tc>
          <w:tcPr>
            <w:tcW w:w="8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 and integral multiples of $1,000 in excess thereof</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8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estimates that the net proceeds from the sale of the notes, after deducting underwriter discounts and other estimated offering expenses, will be approximately $1,737 million.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intends to use the net proceeds from the sale of the notes to pay the redemption price of the 2027 notes Redemption, to pay the cost of unwinding the fixed-to-floating interest rate swaps Micron entered into in connection with the 2027 notes, and any remainder of the net proceeds for general corporate purposes, which may include the repayment of Micron’s other indebtedness.</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Ratings:**</w:t>
            </w:r>
          </w:p>
        </w:tc>
        <w:tc>
          <w:tcPr>
            <w:tcW w:w="8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Baa3 (Stable) (Moody’s Investors Service, Inc.)</w:t>
              <w:br/>
              <w:t>BBB (Stable) (Fitch Ratings Inc.)</w:t>
              <w:br/>
              <w:t>BBB- (Stable) (S&amp;P Global Ratings)</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left"/>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88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 2032 in respect of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 2035 in respect of the 2035 Notes</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06"/>
        <w:gridCol w:w="8899"/>
      </w:tblGrid>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 per year on the principal amount of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 per year on the principal amount of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and November 1, beginning November 1, 2025, accruing from April 29, 2025, in respect of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and November 1, beginning November 1, 2025, accruing from April 29, 2025, in respect of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 in respect of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 in respect of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2032 Notes: 99.728% of the principal amount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2035 Notes: 99.900% of the principal amount</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Underwriting Discount:</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 per 2032 Note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 per 2035 Note</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 4.125% due March 31, 2032 for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 4.625% due February 15, 2035 for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 Yield:</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100-01¾ / 4.115% for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102-15 / 4.313% for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basis points for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basis points for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5.695% for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6.063% for the 2035 Notes </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Number:</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595112CG6 for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595112CH4 for the 2035 Notes</w:t>
            </w:r>
          </w:p>
        </w:tc>
      </w:tr>
      <w:tr>
        <w:trPr/>
        <w:tc>
          <w:tcPr>
            <w:tcW w:w="1306"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ISIN Number:</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US595112CG61 for the 2032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US595112CH45 for the 2035 Notes</w:t>
            </w:r>
          </w:p>
          <w:p>
            <w:pPr>
              <w:pStyle w:val="TableContents"/>
              <w:bidi w:val="0"/>
              <w:spacing w:before="0" w:after="0"/>
              <w:ind w:left="0" w:right="0" w:hanging="0"/>
              <w:jc w:val="left"/>
              <w:rPr>
                <w:caps w:val="false"/>
                <w:smallCaps w:val="false"/>
              </w:rPr>
            </w:pPr>
            <w:r>
              <w:rPr>
                <w:caps w:val="false"/>
                <w:smallCaps w:val="false"/>
              </w:rPr>
              <w:t> </w:t>
            </w:r>
          </w:p>
        </w:tc>
      </w:tr>
      <w:tr>
        <w:trPr/>
        <w:tc>
          <w:tcPr>
            <w:tcW w:w="13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at Micron’s Option:</w:t>
            </w:r>
          </w:p>
        </w:tc>
        <w:tc>
          <w:tcPr>
            <w:tcW w:w="8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Micron may redeem the notes of each series at its option, in whole or in part, at any time and from time to time, at a redemption price for each series of notes (expressed as a percentage of principal amount and rounded to three decimal places) equal to the greater of (A)(i)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25 basis points in the case of the 2032 Notes and 30 basis points in the case of the 2035 Notes, less (ii) interest accrued to the date of redemption, and (B) 100% of the principal amount of the notes of that series to be redeemed, plus, in each case, accrued and unpaid interest, if any, on the amount being redeemed to, but excluding, the date of redemption. On or after the applicable Par Call Date for a series of notes, Micron may, at its option, redeem the notes of such series in whole or in part, at any time and from time to time, at a redemption price equal to 100% of the principal amount of the notes redeemed, plus accrued and unpaid interest, if any, to, but excluding, the date of redemption.</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00"/>
        <w:gridCol w:w="8405"/>
      </w:tblGrid>
      <w:tr>
        <w:trPr/>
        <w:tc>
          <w:tcPr>
            <w:tcW w:w="180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w:t>
            </w:r>
            <w:r>
              <w:rPr>
                <w:rFonts w:ascii="Times New Roman;Times;Serif" w:hAnsi="Times New Roman;Times;Serif"/>
                <w:sz w:val="20"/>
              </w:rPr>
              <w:t>Par Call Date” for the 2032 Notes means September 1</w:t>
            </w:r>
            <w:r>
              <w:rPr/>
              <w:t>, 2032 (two months prior to the maturity date of the 2032 Notes) and for the 2035 Notes means August 1, 2035 (three months prior to the maturity date of the 2035 Notes).</w:t>
            </w:r>
          </w:p>
        </w:tc>
      </w:tr>
      <w:tr>
        <w:trPr/>
        <w:tc>
          <w:tcPr>
            <w:tcW w:w="180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r>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84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r>
      <w:tr>
        <w:trPr/>
        <w:tc>
          <w:tcPr>
            <w:tcW w:w="180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r>
      <w:tr>
        <w:trPr/>
        <w:tc>
          <w:tcPr>
            <w:tcW w:w="180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Co-Managers:</w:t>
            </w:r>
          </w:p>
          <w:p>
            <w:pPr>
              <w:pStyle w:val="TableContents"/>
              <w:bidi w:val="0"/>
              <w:spacing w:before="0" w:after="283"/>
              <w:jc w:val="left"/>
              <w:rPr/>
            </w:pPr>
            <w:r>
              <w:rPr/>
              <w:t> </w:t>
            </w:r>
          </w:p>
        </w:tc>
        <w:tc>
          <w:tcPr>
            <w:tcW w:w="84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ICBC Standard Bank Plc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Siebert Williams Shank &amp; Co., LLC</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It is expected that delivery of the notes will be made against payment therefor on or about April 29, 2025, which will be the third business day following the date of pricing of the notes. Under Rule 15c6-1 of the Securities Exchange Act of 1934, as amended, trades in the secondary market generally are required to settle in one business day, unless the parties to any such trade expressly agree otherwise. Accordingly, purchasers who wish to trade notes on any date prior to the date that is one business day before delivery will be required, by virtue of the fact that the notes initially will settle in three business days (T+3),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LLC toll free at 1-866-718-1649, BofA Securities, Inc . toll free at 1-800-294-1322, HSBC Securities (USA) Inc. toll free at 1-866-811-8049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or Wells Fargo Securities, LLC toll 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1182</Words>
  <Characters>6008</Characters>
  <CharactersWithSpaces>7169</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