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January 17,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8" w:lineRule="exact"/>
        <w:rPr>
          <w:sz w:val="24"/>
          <w:szCs w:val="24"/>
          <w:color w:val="auto"/>
        </w:rPr>
      </w:pPr>
    </w:p>
    <w:p>
      <w:pPr>
        <w:ind w:right="54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6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150495</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167640</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188" w:right="239" w:bottom="1440" w:gutter="0" w:footer="0" w:header="0"/>
        </w:sectPr>
      </w:pPr>
    </w:p>
    <w:bookmarkStart w:id="1" w:name="page2"/>
    <w:bookmarkEnd w:id="1"/>
    <w:p>
      <w:pPr>
        <w:ind w:left="40"/>
        <w:spacing w:after="0"/>
        <w:tabs>
          <w:tab w:leader="none" w:pos="11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02"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Company’s Fiscal 2017 Annual Meeting of Shareholders was held on January 17, 2018. At the meeting, the following proposals were submitted to a vote of the shareholders: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1</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nominees for Directors were elected. Each person elected as a Director will serve until the next annual meeting of shareholders or until such person’s successor is elected and qualified.</w:t>
      </w:r>
    </w:p>
    <w:p>
      <w:pPr>
        <w:spacing w:after="0" w:line="211" w:lineRule="exact"/>
        <w:rPr>
          <w:sz w:val="20"/>
          <w:szCs w:val="20"/>
          <w:color w:val="auto"/>
        </w:rPr>
      </w:pPr>
    </w:p>
    <w:tbl>
      <w:tblPr>
        <w:tblLayout w:type="fixed"/>
        <w:tblInd w:w="1780" w:type="dxa"/>
        <w:tblCellMar>
          <w:top w:w="0" w:type="dxa"/>
          <w:left w:w="0" w:type="dxa"/>
          <w:bottom w:w="0" w:type="dxa"/>
          <w:right w:w="0" w:type="dxa"/>
        </w:tblCellMar>
      </w:tblPr>
      <w:tr>
        <w:trPr>
          <w:trHeight w:val="210"/>
        </w:trPr>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 of Nominee</w:t>
            </w:r>
          </w:p>
        </w:tc>
        <w:tc>
          <w:tcPr>
            <w:tcW w:w="1520" w:type="dxa"/>
            <w:vAlign w:val="bottom"/>
            <w:gridSpan w:val="2"/>
          </w:tcPr>
          <w:p>
            <w:pPr>
              <w:ind w:left="500"/>
              <w:spacing w:after="0"/>
              <w:rPr>
                <w:sz w:val="20"/>
                <w:szCs w:val="20"/>
                <w:color w:val="auto"/>
              </w:rPr>
            </w:pPr>
            <w:r>
              <w:rPr>
                <w:rFonts w:ascii="Arial" w:cs="Arial" w:eastAsia="Arial" w:hAnsi="Arial"/>
                <w:sz w:val="16"/>
                <w:szCs w:val="16"/>
                <w:b w:val="1"/>
                <w:bCs w:val="1"/>
                <w:color w:val="auto"/>
              </w:rPr>
              <w:t>For</w:t>
            </w:r>
          </w:p>
        </w:tc>
        <w:tc>
          <w:tcPr>
            <w:tcW w:w="1480" w:type="dxa"/>
            <w:vAlign w:val="bottom"/>
            <w:gridSpan w:val="2"/>
          </w:tcPr>
          <w:p>
            <w:pPr>
              <w:ind w:left="360"/>
              <w:spacing w:after="0"/>
              <w:rPr>
                <w:sz w:val="20"/>
                <w:szCs w:val="20"/>
                <w:color w:val="auto"/>
              </w:rPr>
            </w:pPr>
            <w:r>
              <w:rPr>
                <w:rFonts w:ascii="Arial" w:cs="Arial" w:eastAsia="Arial" w:hAnsi="Arial"/>
                <w:sz w:val="16"/>
                <w:szCs w:val="16"/>
                <w:b w:val="1"/>
                <w:bCs w:val="1"/>
                <w:color w:val="auto"/>
              </w:rPr>
              <w:t>Against</w:t>
            </w:r>
          </w:p>
        </w:tc>
        <w:tc>
          <w:tcPr>
            <w:tcW w:w="1240" w:type="dxa"/>
            <w:vAlign w:val="bottom"/>
          </w:tcPr>
          <w:p>
            <w:pPr>
              <w:jc w:val="right"/>
              <w:ind w:right="271"/>
              <w:spacing w:after="0"/>
              <w:rPr>
                <w:sz w:val="20"/>
                <w:szCs w:val="20"/>
                <w:color w:val="auto"/>
              </w:rPr>
            </w:pPr>
            <w:r>
              <w:rPr>
                <w:rFonts w:ascii="Arial" w:cs="Arial" w:eastAsia="Arial" w:hAnsi="Arial"/>
                <w:sz w:val="16"/>
                <w:szCs w:val="16"/>
                <w:b w:val="1"/>
                <w:bCs w:val="1"/>
                <w:color w:val="auto"/>
              </w:rPr>
              <w:t>Abstain</w:t>
            </w:r>
          </w:p>
        </w:tc>
      </w:tr>
      <w:tr>
        <w:trPr>
          <w:trHeight w:val="33"/>
        </w:trPr>
        <w:tc>
          <w:tcPr>
            <w:tcW w:w="3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Robert L. Bailey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788,379,323</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9,881,188</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602,778</w:t>
            </w: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Richard M. Beyer</w:t>
            </w:r>
          </w:p>
        </w:tc>
        <w:tc>
          <w:tcPr>
            <w:tcW w:w="1280" w:type="dxa"/>
            <w:vAlign w:val="bottom"/>
          </w:tcPr>
          <w:p>
            <w:pPr>
              <w:jc w:val="right"/>
              <w:spacing w:after="0"/>
              <w:rPr>
                <w:sz w:val="20"/>
                <w:szCs w:val="20"/>
                <w:color w:val="auto"/>
              </w:rPr>
            </w:pPr>
            <w:r>
              <w:rPr>
                <w:rFonts w:ascii="Arial" w:cs="Arial" w:eastAsia="Arial" w:hAnsi="Arial"/>
                <w:sz w:val="18"/>
                <w:szCs w:val="18"/>
                <w:color w:val="auto"/>
              </w:rPr>
              <w:t>795,136,399</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3,115,303</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611,589</w:t>
            </w:r>
          </w:p>
        </w:tc>
      </w:tr>
      <w:tr>
        <w:trPr>
          <w:trHeight w:val="27"/>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Patrick J. Byrne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794,684,805</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3,558,727</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619,757</w:t>
            </w: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Mercedes Johnson</w:t>
            </w:r>
          </w:p>
        </w:tc>
        <w:tc>
          <w:tcPr>
            <w:tcW w:w="1280" w:type="dxa"/>
            <w:vAlign w:val="bottom"/>
          </w:tcPr>
          <w:p>
            <w:pPr>
              <w:jc w:val="right"/>
              <w:spacing w:after="0"/>
              <w:rPr>
                <w:sz w:val="20"/>
                <w:szCs w:val="20"/>
                <w:color w:val="auto"/>
              </w:rPr>
            </w:pPr>
            <w:r>
              <w:rPr>
                <w:rFonts w:ascii="Arial" w:cs="Arial" w:eastAsia="Arial" w:hAnsi="Arial"/>
                <w:sz w:val="18"/>
                <w:szCs w:val="18"/>
                <w:color w:val="auto"/>
              </w:rPr>
              <w:t>773,403,266</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24,855,309</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604,713</w:t>
            </w:r>
          </w:p>
        </w:tc>
      </w:tr>
      <w:tr>
        <w:trPr>
          <w:trHeight w:val="27"/>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Sanjay Mehrotra</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794,592,624</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3,748,720</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521,946</w:t>
            </w:r>
          </w:p>
        </w:tc>
      </w:tr>
      <w:tr>
        <w:trPr>
          <w:trHeight w:val="243"/>
        </w:trPr>
        <w:tc>
          <w:tcPr>
            <w:tcW w:w="3640" w:type="dxa"/>
            <w:vAlign w:val="bottom"/>
            <w:gridSpan w:val="2"/>
          </w:tcPr>
          <w:p>
            <w:pPr>
              <w:ind w:left="20"/>
              <w:spacing w:after="0"/>
              <w:rPr>
                <w:sz w:val="20"/>
                <w:szCs w:val="20"/>
                <w:color w:val="auto"/>
              </w:rPr>
            </w:pPr>
            <w:r>
              <w:rPr>
                <w:rFonts w:ascii="Arial" w:cs="Arial" w:eastAsia="Arial" w:hAnsi="Arial"/>
                <w:sz w:val="18"/>
                <w:szCs w:val="18"/>
                <w:color w:val="auto"/>
              </w:rPr>
              <w:t>Lawrence N. Mondry</w:t>
            </w:r>
          </w:p>
        </w:tc>
        <w:tc>
          <w:tcPr>
            <w:tcW w:w="1280" w:type="dxa"/>
            <w:vAlign w:val="bottom"/>
          </w:tcPr>
          <w:p>
            <w:pPr>
              <w:jc w:val="right"/>
              <w:spacing w:after="0"/>
              <w:rPr>
                <w:sz w:val="20"/>
                <w:szCs w:val="20"/>
                <w:color w:val="auto"/>
              </w:rPr>
            </w:pPr>
            <w:r>
              <w:rPr>
                <w:rFonts w:ascii="Arial" w:cs="Arial" w:eastAsia="Arial" w:hAnsi="Arial"/>
                <w:sz w:val="18"/>
                <w:szCs w:val="18"/>
                <w:color w:val="auto"/>
              </w:rPr>
              <w:t>778,866,827</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16,276,201</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3,720,261</w:t>
            </w:r>
          </w:p>
        </w:tc>
      </w:tr>
      <w:tr>
        <w:trPr>
          <w:trHeight w:val="27"/>
        </w:trPr>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Robert E. Switz</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773,308,861</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24,934,833</w:t>
            </w: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619,597</w:t>
            </w:r>
          </w:p>
        </w:tc>
      </w:tr>
      <w:tr>
        <w:trPr>
          <w:trHeight w:val="27"/>
        </w:trPr>
        <w:tc>
          <w:tcPr>
            <w:tcW w:w="34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2</w:t>
      </w:r>
    </w:p>
    <w:p>
      <w:pPr>
        <w:spacing w:after="0" w:line="9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proposal by the Company to approve our Employee Stock Purchase Plan with 33 million shares reserved for issuance thereunder was approved with 792,779,519 votes in favor, 5,379,303 votes against, and 704,466 abstentions.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3</w:t>
      </w:r>
    </w:p>
    <w:p>
      <w:pPr>
        <w:spacing w:after="0" w:line="94"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proposal by the Company to approve the material terms of the performance goals under our Executive Officer Performance Incentive Plan was approved with 786,712,859 votes in favor, 11,030,964 votes against, and 1,119,466 abstentions.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4</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ratification of the appointment of PricewaterhouseCoopers LLP as the Company’s Independent Registered Public Accounting Firm for the fiscal year ending August 30, 2018, was approved with 917,481,210 votes in favor, 37,622,413 votes against, and 1,912,843 abstentions.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5</w:t>
      </w:r>
    </w:p>
    <w:p>
      <w:pPr>
        <w:spacing w:after="0" w:line="175"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proposal by the Company to approve the non-binding resolution to approve the compensation of our Named Executive Officers as described in the proxy statement was approved with 741,791,018 votes in favor, 52,416,864 votes against, and 4,655,405 abstentions.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Proposal 6</w:t>
      </w:r>
    </w:p>
    <w:p>
      <w:pPr>
        <w:spacing w:after="0" w:line="175"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proposal by the Company to approve in a non-binding vote, the frequency (every one, two or three years) with which our shareholders will be entitled to have an advisory vote on executive compensation was approved for one year with 717,554,116 votes. There were 1,640,853 votes for two years, 75,640,460 votes for three years and 4,027,860 abstentions.</w:t>
      </w:r>
    </w:p>
    <w:p>
      <w:pPr>
        <w:sectPr>
          <w:pgSz w:w="11900" w:h="16838" w:orient="portrait"/>
          <w:cols w:equalWidth="0" w:num="1">
            <w:col w:w="11420"/>
          </w:cols>
          <w:pgMar w:left="240" w:top="1040" w:right="2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060" w:type="dxa"/>
            <w:vAlign w:val="bottom"/>
            <w:gridSpan w:val="2"/>
          </w:tcPr>
          <w:p>
            <w:pPr>
              <w:ind w:left="178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80"/>
              <w:spacing w:after="0"/>
              <w:rPr>
                <w:sz w:val="20"/>
                <w:szCs w:val="20"/>
                <w:color w:val="auto"/>
              </w:rPr>
            </w:pPr>
            <w:r>
              <w:rPr>
                <w:rFonts w:ascii="Arial" w:cs="Arial" w:eastAsia="Arial" w:hAnsi="Arial"/>
                <w:sz w:val="18"/>
                <w:szCs w:val="18"/>
                <w:color w:val="auto"/>
              </w:rPr>
              <w:t>January 19, 2018</w:t>
            </w:r>
          </w:p>
        </w:tc>
        <w:tc>
          <w:tcPr>
            <w:tcW w:w="2720" w:type="dxa"/>
            <w:vAlign w:val="bottom"/>
          </w:tcPr>
          <w:p>
            <w:pPr>
              <w:ind w:left="178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720" w:type="dxa"/>
            <w:vAlign w:val="bottom"/>
            <w:vMerge w:val="restart"/>
          </w:tcPr>
          <w:p>
            <w:pPr>
              <w:ind w:left="178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72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720" w:type="dxa"/>
            <w:vAlign w:val="bottom"/>
          </w:tcPr>
          <w:p>
            <w:pPr>
              <w:ind w:left="178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860"/>
      </w:cols>
      <w:pgMar w:left="240" w:top="58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2019-12-05T13:20:28Z</dcterms:created>
  <dcterms:modified xsi:type="dcterms:W3CDTF">2019-12-05T13:20:28Z</dcterms:modified>
</cp:coreProperties>
</file>