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6163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616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Poppen Joel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General Counsel&amp;Secretary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15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7,134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66.72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245,079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189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66.72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244,890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16,240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261,130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429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261,559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3,650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16,240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4,640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4,640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3,693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3,694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-2249170</wp:posOffset>
            </wp:positionV>
            <wp:extent cx="28575" cy="2254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54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Withholding of shares of common stock to satisfy tax withholding obligations in connection with the vesting of performance restricted stock units awarded under the Issuer's 2004 Equity Incentive Plan.</w:t>
      </w:r>
    </w:p>
    <w:p>
      <w:pPr>
        <w:spacing w:after="0" w:line="5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20"/>
        <w:spacing w:after="0" w:line="236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100% of the total target shares under the performance-based restricted stock units previously awarded on October 16, 2019. As reported at grant, the performance-based restricted stock unit could result in a payout that varies based on actual achievement of the goals, subject to a 200% aggregate limit on the payout of target shares.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/>
        <w:spacing w:after="0" w:line="26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metrics related to NAND over a 3-year performance period beginning August 30, 2019 and ending on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1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jc w:val="both"/>
        <w:ind w:left="40" w:right="360"/>
        <w:spacing w:after="0" w:line="26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metrics related to relative total shareholder return over a 3-year performance period beginning August 30, 2019 and ending on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Rob Beard, 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10/15/2021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2021-10-18T05:16:15Z</dcterms:created>
  <dcterms:modified xsi:type="dcterms:W3CDTF">2021-10-18T05:16:15Z</dcterms:modified>
</cp:coreProperties>
</file>