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145415</wp:posOffset>
            </wp:positionH>
            <wp:positionV relativeFrom="page">
              <wp:posOffset>108585</wp:posOffset>
            </wp:positionV>
            <wp:extent cx="727138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1385" cy="3492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FORM 10-K</w:t>
      </w:r>
    </w:p>
    <w:p>
      <w:pPr>
        <w:spacing w:after="0" w:line="41" w:lineRule="exact"/>
        <w:rPr>
          <w:sz w:val="24"/>
          <w:szCs w:val="24"/>
          <w:color w:val="auto"/>
        </w:rPr>
      </w:pPr>
    </w:p>
    <w:p>
      <w:pPr>
        <w:ind w:left="500"/>
        <w:spacing w:after="0"/>
        <w:rPr>
          <w:sz w:val="20"/>
          <w:szCs w:val="20"/>
          <w:color w:val="auto"/>
        </w:rPr>
      </w:pPr>
      <w:r>
        <w:rPr>
          <w:rFonts w:ascii="Arial" w:cs="Arial" w:eastAsia="Arial" w:hAnsi="Arial"/>
          <w:sz w:val="15"/>
          <w:szCs w:val="15"/>
          <w:b w:val="1"/>
          <w:bCs w:val="1"/>
          <w:color w:val="auto"/>
        </w:rPr>
        <w:t>(Mark One)</w:t>
      </w:r>
    </w:p>
    <w:p>
      <w:pPr>
        <w:spacing w:after="0" w:line="11" w:lineRule="exact"/>
        <w:rPr>
          <w:sz w:val="24"/>
          <w:szCs w:val="24"/>
          <w:color w:val="auto"/>
        </w:rPr>
      </w:pPr>
    </w:p>
    <w:p>
      <w:pPr>
        <w:ind w:left="4300" w:right="2060" w:hanging="3442"/>
        <w:spacing w:after="0" w:line="535" w:lineRule="auto"/>
        <w:tabs>
          <w:tab w:leader="none" w:pos="1802"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ANNUAL REPORT PURSUANT TO SECTION 13 OR 15(d) OF THE SECURITIES EXCHANGE ACT OF 1934 For the fiscal year ended </w:t>
      </w:r>
      <w:r>
        <w:rPr>
          <w:rFonts w:ascii="Arial" w:cs="Arial" w:eastAsia="Arial" w:hAnsi="Arial"/>
          <w:sz w:val="16"/>
          <w:szCs w:val="16"/>
          <w:b w:val="1"/>
          <w:bCs w:val="1"/>
          <w:color w:val="auto"/>
        </w:rPr>
        <w:t>August 28, 2008</w:t>
      </w:r>
    </w:p>
    <w:p>
      <w:pPr>
        <w:ind w:left="56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OR</w:t>
      </w:r>
    </w:p>
    <w:p>
      <w:pPr>
        <w:spacing w:after="0" w:line="222" w:lineRule="exact"/>
        <w:rPr>
          <w:sz w:val="24"/>
          <w:szCs w:val="24"/>
          <w:color w:val="auto"/>
        </w:rPr>
      </w:pPr>
    </w:p>
    <w:p>
      <w:pPr>
        <w:ind w:left="1780" w:hanging="933"/>
        <w:spacing w:after="0"/>
        <w:tabs>
          <w:tab w:leader="none" w:pos="178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20"/>
          </w:cols>
          <w:pgMar w:left="240" w:top="683" w:right="239" w:bottom="1440" w:gutter="0" w:footer="0" w:header="0"/>
        </w:sectPr>
      </w:pPr>
    </w:p>
    <w:p>
      <w:pPr>
        <w:spacing w:after="0" w:line="222" w:lineRule="exact"/>
        <w:rPr>
          <w:sz w:val="24"/>
          <w:szCs w:val="24"/>
          <w:color w:val="auto"/>
        </w:rPr>
      </w:pPr>
    </w:p>
    <w:p>
      <w:pPr>
        <w:ind w:left="3420"/>
        <w:spacing w:after="0"/>
        <w:tabs>
          <w:tab w:leader="none" w:pos="78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20"/>
          </w:cols>
          <w:pgMar w:left="240" w:top="683" w:right="239" w:bottom="1440" w:gutter="0" w:footer="0" w:header="0"/>
          <w:type w:val="continuous"/>
        </w:sect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 xml:space="preserve">Commission file number </w:t>
      </w:r>
      <w:r>
        <w:rPr>
          <w:rFonts w:ascii="Arial" w:cs="Arial" w:eastAsia="Arial" w:hAnsi="Arial"/>
          <w:sz w:val="16"/>
          <w:szCs w:val="16"/>
          <w:b w:val="1"/>
          <w:bCs w:val="1"/>
          <w:color w:val="auto"/>
        </w:rPr>
        <w:t>1-10658</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1420"/>
          </w:cols>
          <w:pgMar w:left="240" w:top="683" w:right="239" w:bottom="1440" w:gutter="0" w:footer="0" w:header="0"/>
          <w:type w:val="continuous"/>
        </w:sectPr>
      </w:pPr>
    </w:p>
    <w:p>
      <w:pPr>
        <w:spacing w:after="0" w:line="227" w:lineRule="exact"/>
        <w:rPr>
          <w:sz w:val="24"/>
          <w:szCs w:val="24"/>
          <w:color w:val="auto"/>
        </w:rPr>
      </w:pPr>
    </w:p>
    <w:p>
      <w:pPr>
        <w:ind w:left="2600"/>
        <w:spacing w:after="0"/>
        <w:rPr>
          <w:sz w:val="20"/>
          <w:szCs w:val="20"/>
          <w:color w:val="auto"/>
        </w:rPr>
      </w:pPr>
      <w:r>
        <w:rPr>
          <w:rFonts w:ascii="Arial" w:cs="Arial" w:eastAsia="Arial" w:hAnsi="Arial"/>
          <w:sz w:val="15"/>
          <w:szCs w:val="15"/>
          <w:b w:val="1"/>
          <w:bCs w:val="1"/>
          <w:color w:val="auto"/>
        </w:rPr>
        <w:t>Delaware</w:t>
      </w:r>
    </w:p>
    <w:p>
      <w:pPr>
        <w:spacing w:after="0" w:line="29" w:lineRule="exact"/>
        <w:rPr>
          <w:sz w:val="24"/>
          <w:szCs w:val="24"/>
          <w:color w:val="auto"/>
        </w:rPr>
      </w:pPr>
    </w:p>
    <w:p>
      <w:pPr>
        <w:ind w:left="2020"/>
        <w:spacing w:after="0"/>
        <w:rPr>
          <w:sz w:val="20"/>
          <w:szCs w:val="20"/>
          <w:color w:val="auto"/>
        </w:rPr>
      </w:pPr>
      <w:r>
        <w:rPr>
          <w:rFonts w:ascii="Arial" w:cs="Arial" w:eastAsia="Arial" w:hAnsi="Arial"/>
          <w:sz w:val="14"/>
          <w:szCs w:val="14"/>
          <w:color w:val="auto"/>
        </w:rPr>
        <w:t>(State or other jurisdiction of</w:t>
      </w:r>
    </w:p>
    <w:p>
      <w:pPr>
        <w:spacing w:after="0" w:line="24" w:lineRule="exact"/>
        <w:rPr>
          <w:sz w:val="24"/>
          <w:szCs w:val="24"/>
          <w:color w:val="auto"/>
        </w:rPr>
      </w:pPr>
    </w:p>
    <w:p>
      <w:pPr>
        <w:ind w:left="20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75-1618004</w:t>
      </w:r>
    </w:p>
    <w:p>
      <w:pPr>
        <w:spacing w:after="0" w:line="29" w:lineRule="exact"/>
        <w:rPr>
          <w:sz w:val="24"/>
          <w:szCs w:val="24"/>
          <w:color w:val="auto"/>
        </w:rPr>
      </w:pPr>
    </w:p>
    <w:p>
      <w:pPr>
        <w:jc w:val="center"/>
        <w:ind w:right="2200"/>
        <w:spacing w:after="0"/>
        <w:rPr>
          <w:sz w:val="20"/>
          <w:szCs w:val="20"/>
          <w:color w:val="auto"/>
        </w:rPr>
      </w:pPr>
      <w:r>
        <w:rPr>
          <w:rFonts w:ascii="Arial" w:cs="Arial" w:eastAsia="Arial" w:hAnsi="Arial"/>
          <w:sz w:val="15"/>
          <w:szCs w:val="15"/>
          <w:color w:val="auto"/>
        </w:rPr>
        <w:t>(IRS Employer</w:t>
      </w:r>
    </w:p>
    <w:p>
      <w:pPr>
        <w:spacing w:after="0" w:line="13" w:lineRule="exact"/>
        <w:rPr>
          <w:sz w:val="24"/>
          <w:szCs w:val="24"/>
          <w:color w:val="auto"/>
        </w:rPr>
      </w:pPr>
    </w:p>
    <w:p>
      <w:pPr>
        <w:jc w:val="center"/>
        <w:ind w:right="2200"/>
        <w:spacing w:after="0"/>
        <w:rPr>
          <w:sz w:val="20"/>
          <w:szCs w:val="20"/>
          <w:color w:val="auto"/>
        </w:rPr>
      </w:pPr>
      <w:r>
        <w:rPr>
          <w:rFonts w:ascii="Arial" w:cs="Arial" w:eastAsia="Arial" w:hAnsi="Arial"/>
          <w:sz w:val="14"/>
          <w:szCs w:val="14"/>
          <w:color w:val="auto"/>
        </w:rPr>
        <w:t>Identification No.)</w:t>
      </w:r>
    </w:p>
    <w:p>
      <w:pPr>
        <w:spacing w:after="0" w:line="194" w:lineRule="exact"/>
        <w:rPr>
          <w:sz w:val="24"/>
          <w:szCs w:val="24"/>
          <w:color w:val="auto"/>
        </w:rPr>
      </w:pPr>
    </w:p>
    <w:p>
      <w:pPr>
        <w:sectPr>
          <w:pgSz w:w="11900" w:h="16838" w:orient="portrait"/>
          <w:cols w:equalWidth="0" w:num="2">
            <w:col w:w="7340" w:space="720"/>
            <w:col w:w="3360"/>
          </w:cols>
          <w:pgMar w:left="240" w:top="683" w:right="239" w:bottom="1440" w:gutter="0" w:footer="0" w:header="0"/>
          <w:type w:val="continuous"/>
        </w:sectPr>
      </w:pPr>
    </w:p>
    <w:p>
      <w:pPr>
        <w:jc w:val="center"/>
        <w:ind w:right="1700"/>
        <w:spacing w:after="0"/>
        <w:rPr>
          <w:sz w:val="20"/>
          <w:szCs w:val="20"/>
          <w:color w:val="auto"/>
        </w:rPr>
      </w:pPr>
      <w:r>
        <w:rPr>
          <w:rFonts w:ascii="Arial" w:cs="Arial" w:eastAsia="Arial" w:hAnsi="Arial"/>
          <w:sz w:val="15"/>
          <w:szCs w:val="15"/>
          <w:b w:val="1"/>
          <w:bCs w:val="1"/>
          <w:color w:val="auto"/>
        </w:rPr>
        <w:t>8000 S. Federal Way, Boise, Idaho</w:t>
      </w:r>
    </w:p>
    <w:p>
      <w:pPr>
        <w:spacing w:after="0" w:line="29"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83716-9632</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5"/>
          <w:szCs w:val="15"/>
          <w:color w:val="auto"/>
        </w:rPr>
        <w:t>(Zip Code)</w:t>
      </w:r>
    </w:p>
    <w:p>
      <w:pPr>
        <w:spacing w:after="0" w:line="182" w:lineRule="exact"/>
        <w:rPr>
          <w:sz w:val="24"/>
          <w:szCs w:val="24"/>
          <w:color w:val="auto"/>
        </w:rPr>
      </w:pPr>
    </w:p>
    <w:p>
      <w:pPr>
        <w:sectPr>
          <w:pgSz w:w="11900" w:h="16838" w:orient="portrait"/>
          <w:cols w:equalWidth="0" w:num="2">
            <w:col w:w="7540" w:space="720"/>
            <w:col w:w="3160"/>
          </w:cols>
          <w:pgMar w:left="240" w:top="683" w:right="239" w:bottom="1440" w:gutter="0" w:footer="0" w:header="0"/>
          <w:type w:val="continuous"/>
        </w:sectPr>
      </w:pPr>
    </w:p>
    <w:p>
      <w:pPr>
        <w:spacing w:after="0" w:line="6" w:lineRule="exact"/>
        <w:rPr>
          <w:sz w:val="24"/>
          <w:szCs w:val="24"/>
          <w:color w:val="auto"/>
        </w:rPr>
      </w:pPr>
    </w:p>
    <w:p>
      <w:pPr>
        <w:ind w:left="1340"/>
        <w:spacing w:after="0"/>
        <w:rPr>
          <w:sz w:val="20"/>
          <w:szCs w:val="20"/>
          <w:color w:val="auto"/>
        </w:rPr>
      </w:pPr>
      <w:r>
        <w:rPr>
          <w:rFonts w:ascii="Arial" w:cs="Arial" w:eastAsia="Arial" w:hAnsi="Arial"/>
          <w:sz w:val="13"/>
          <w:szCs w:val="13"/>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(208) 368-4000</w:t>
      </w:r>
    </w:p>
    <w:p>
      <w:pPr>
        <w:spacing w:after="0" w:line="200" w:lineRule="exact"/>
        <w:rPr>
          <w:sz w:val="24"/>
          <w:szCs w:val="24"/>
          <w:color w:val="auto"/>
        </w:rPr>
      </w:pPr>
    </w:p>
    <w:p>
      <w:pPr>
        <w:sectPr>
          <w:pgSz w:w="11900" w:h="16838" w:orient="portrait"/>
          <w:cols w:equalWidth="0" w:num="2">
            <w:col w:w="7440" w:space="720"/>
            <w:col w:w="3260"/>
          </w:cols>
          <w:pgMar w:left="240" w:top="683" w:right="239" w:bottom="1440" w:gutter="0" w:footer="0" w:header="0"/>
          <w:type w:val="continuous"/>
        </w:sectPr>
      </w:pP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420"/>
          </w:cols>
          <w:pgMar w:left="240" w:top="683" w:right="239" w:bottom="1440" w:gutter="0" w:footer="0" w:header="0"/>
          <w:type w:val="continuous"/>
        </w:sectPr>
      </w:pPr>
    </w:p>
    <w:p>
      <w:pPr>
        <w:spacing w:after="0" w:line="210" w:lineRule="exact"/>
        <w:rPr>
          <w:sz w:val="24"/>
          <w:szCs w:val="24"/>
          <w:color w:val="auto"/>
        </w:rPr>
      </w:pPr>
    </w:p>
    <w:p>
      <w:pPr>
        <w:jc w:val="center"/>
        <w:ind w:right="720"/>
        <w:spacing w:after="0"/>
        <w:rPr>
          <w:sz w:val="20"/>
          <w:szCs w:val="20"/>
          <w:color w:val="auto"/>
        </w:rPr>
      </w:pPr>
      <w:r>
        <w:rPr>
          <w:rFonts w:ascii="Arial" w:cs="Arial" w:eastAsia="Arial" w:hAnsi="Arial"/>
          <w:sz w:val="15"/>
          <w:szCs w:val="15"/>
          <w:color w:val="auto"/>
        </w:rPr>
        <w:t>Title of each class</w:t>
      </w:r>
    </w:p>
    <w:p>
      <w:pPr>
        <w:spacing w:after="0" w:line="23"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Common Stock, par value $.10 per share</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1420"/>
        <w:spacing w:after="0"/>
        <w:rPr>
          <w:sz w:val="20"/>
          <w:szCs w:val="20"/>
          <w:color w:val="auto"/>
        </w:rPr>
      </w:pPr>
      <w:r>
        <w:rPr>
          <w:rFonts w:ascii="Arial" w:cs="Arial" w:eastAsia="Arial" w:hAnsi="Arial"/>
          <w:sz w:val="13"/>
          <w:szCs w:val="13"/>
          <w:color w:val="auto"/>
        </w:rPr>
        <w:t>Name of each exchange on which registered</w:t>
      </w:r>
    </w:p>
    <w:p>
      <w:pPr>
        <w:spacing w:after="0" w:line="46" w:lineRule="exact"/>
        <w:rPr>
          <w:sz w:val="24"/>
          <w:szCs w:val="24"/>
          <w:color w:val="auto"/>
        </w:rPr>
      </w:pPr>
    </w:p>
    <w:p>
      <w:pPr>
        <w:jc w:val="center"/>
        <w:ind w:right="1420"/>
        <w:spacing w:after="0"/>
        <w:rPr>
          <w:sz w:val="20"/>
          <w:szCs w:val="20"/>
          <w:color w:val="auto"/>
        </w:rPr>
      </w:pPr>
      <w:r>
        <w:rPr>
          <w:rFonts w:ascii="Arial" w:cs="Arial" w:eastAsia="Arial" w:hAnsi="Arial"/>
          <w:sz w:val="15"/>
          <w:szCs w:val="15"/>
          <w:b w:val="1"/>
          <w:bCs w:val="1"/>
          <w:color w:val="auto"/>
        </w:rPr>
        <w:t>New York Stock Exchange</w:t>
      </w:r>
    </w:p>
    <w:p>
      <w:pPr>
        <w:spacing w:after="0" w:line="200" w:lineRule="exact"/>
        <w:rPr>
          <w:sz w:val="24"/>
          <w:szCs w:val="24"/>
          <w:color w:val="auto"/>
        </w:rPr>
      </w:pPr>
    </w:p>
    <w:p>
      <w:pPr>
        <w:sectPr>
          <w:pgSz w:w="11900" w:h="16838" w:orient="portrait"/>
          <w:cols w:equalWidth="0" w:num="2">
            <w:col w:w="6560" w:space="720"/>
            <w:col w:w="4140"/>
          </w:cols>
          <w:pgMar w:left="240" w:top="683" w:right="239" w:bottom="1440" w:gutter="0" w:footer="0" w:header="0"/>
          <w:type w:val="continuous"/>
        </w:sectPr>
      </w:pPr>
    </w:p>
    <w:p>
      <w:pPr>
        <w:spacing w:after="0" w:line="11"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Securities registered pursuant to Section 12(g) of the Act:</w:t>
      </w:r>
    </w:p>
    <w:p>
      <w:pPr>
        <w:spacing w:after="0" w:line="35" w:lineRule="exact"/>
        <w:rPr>
          <w:sz w:val="24"/>
          <w:szCs w:val="24"/>
          <w:color w:val="auto"/>
        </w:rPr>
      </w:pPr>
    </w:p>
    <w:p>
      <w:pPr>
        <w:ind w:left="5540"/>
        <w:spacing w:after="0"/>
        <w:rPr>
          <w:sz w:val="20"/>
          <w:szCs w:val="20"/>
          <w:color w:val="auto"/>
        </w:rPr>
      </w:pPr>
      <w:r>
        <w:rPr>
          <w:rFonts w:ascii="Arial" w:cs="Arial" w:eastAsia="Arial" w:hAnsi="Arial"/>
          <w:sz w:val="15"/>
          <w:szCs w:val="15"/>
          <w:b w:val="1"/>
          <w:bCs w:val="1"/>
          <w:color w:val="auto"/>
        </w:rPr>
        <w:t>None</w:t>
      </w:r>
    </w:p>
    <w:p>
      <w:pPr>
        <w:spacing w:after="0" w:line="13" w:lineRule="exact"/>
        <w:rPr>
          <w:sz w:val="24"/>
          <w:szCs w:val="24"/>
          <w:color w:val="auto"/>
        </w:rPr>
      </w:pPr>
    </w:p>
    <w:p>
      <w:pPr>
        <w:ind w:left="5240"/>
        <w:spacing w:after="0"/>
        <w:rPr>
          <w:sz w:val="20"/>
          <w:szCs w:val="20"/>
          <w:color w:val="auto"/>
        </w:rPr>
      </w:pPr>
      <w:r>
        <w:rPr>
          <w:rFonts w:ascii="Arial" w:cs="Arial" w:eastAsia="Arial" w:hAnsi="Arial"/>
          <w:sz w:val="15"/>
          <w:szCs w:val="15"/>
          <w:color w:val="auto"/>
        </w:rPr>
        <w:t>(Title of Class)</w:t>
      </w:r>
    </w:p>
    <w:p>
      <w:pPr>
        <w:sectPr>
          <w:pgSz w:w="11900" w:h="16838" w:orient="portrait"/>
          <w:cols w:equalWidth="0" w:num="1">
            <w:col w:w="11420"/>
          </w:cols>
          <w:pgMar w:left="240" w:top="683" w:right="239"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highlight w:val="black"/>
        </w:rPr>
        <w:t>☐</w:t>
      </w:r>
    </w:p>
    <w:p>
      <w:pPr>
        <w:spacing w:after="0" w:line="218" w:lineRule="exact"/>
        <w:rPr>
          <w:sz w:val="24"/>
          <w:szCs w:val="24"/>
          <w:color w:val="auto"/>
        </w:rPr>
      </w:pPr>
    </w:p>
    <w:p>
      <w:pPr>
        <w:sectPr>
          <w:pgSz w:w="11900" w:h="16838" w:orient="portrait"/>
          <w:cols w:equalWidth="0" w:num="3">
            <w:col w:w="7540" w:space="80"/>
            <w:col w:w="80" w:space="120"/>
            <w:col w:w="3600"/>
          </w:cols>
          <w:pgMar w:left="240" w:top="683" w:right="239" w:bottom="1440" w:gutter="0" w:footer="0" w:header="0"/>
          <w:type w:val="continuous"/>
        </w:sectPr>
      </w:pPr>
    </w:p>
    <w:p>
      <w:pPr>
        <w:spacing w:after="0" w:line="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x</w:t>
      </w:r>
    </w:p>
    <w:p>
      <w:pPr>
        <w:spacing w:after="0" w:line="205" w:lineRule="exact"/>
        <w:rPr>
          <w:sz w:val="24"/>
          <w:szCs w:val="24"/>
          <w:color w:val="auto"/>
        </w:rPr>
      </w:pPr>
    </w:p>
    <w:p>
      <w:pPr>
        <w:sectPr>
          <w:pgSz w:w="11900" w:h="16838" w:orient="portrait"/>
          <w:cols w:equalWidth="0" w:num="3">
            <w:col w:w="7360" w:space="120"/>
            <w:col w:w="180" w:space="80"/>
            <w:col w:w="3680"/>
          </w:cols>
          <w:pgMar w:left="240" w:top="683" w:right="239" w:bottom="1440" w:gutter="0" w:footer="0" w:header="0"/>
          <w:type w:val="continuous"/>
        </w:sectPr>
      </w:pPr>
    </w:p>
    <w:p>
      <w:pPr>
        <w:spacing w:after="0" w:line="33" w:lineRule="exact"/>
        <w:rPr>
          <w:sz w:val="24"/>
          <w:szCs w:val="24"/>
          <w:color w:val="auto"/>
        </w:rPr>
      </w:pPr>
    </w:p>
    <w:p>
      <w:pPr>
        <w:ind w:right="40"/>
        <w:spacing w:after="0" w:line="19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83" w:lineRule="exact"/>
        <w:rPr>
          <w:sz w:val="24"/>
          <w:szCs w:val="24"/>
          <w:color w:val="auto"/>
        </w:rPr>
      </w:pPr>
    </w:p>
    <w:p>
      <w:pPr>
        <w:spacing w:after="0" w:line="199"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highlight w:val="black"/>
        </w:rPr>
        <w:t>☐</w:t>
      </w:r>
    </w:p>
    <w:p>
      <w:pPr>
        <w:spacing w:after="0" w:line="183" w:lineRule="exact"/>
        <w:rPr>
          <w:sz w:val="24"/>
          <w:szCs w:val="24"/>
          <w:color w:val="auto"/>
        </w:rPr>
      </w:pPr>
    </w:p>
    <w:p>
      <w:pPr>
        <w:ind w:right="660"/>
        <w:spacing w:after="0" w:line="26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line="169" w:lineRule="exact"/>
              <w:rPr>
                <w:sz w:val="20"/>
                <w:szCs w:val="20"/>
                <w:color w:val="auto"/>
              </w:rPr>
            </w:pPr>
            <w:r>
              <w:rPr>
                <w:rFonts w:ascii="Arial" w:cs="Arial" w:eastAsia="Arial" w:hAnsi="Arial"/>
                <w:sz w:val="15"/>
                <w:szCs w:val="15"/>
                <w:color w:val="auto"/>
              </w:rPr>
              <w:t xml:space="preserve">Large Accelerated Filer </w:t>
            </w:r>
            <w:r>
              <w:rPr>
                <w:rFonts w:ascii="Arial" w:cs="Arial" w:eastAsia="Arial" w:hAnsi="Arial"/>
                <w:sz w:val="15"/>
                <w:szCs w:val="15"/>
                <w:b w:val="1"/>
                <w:bCs w:val="1"/>
                <w:color w:val="auto"/>
              </w:rPr>
              <w:t>x</w:t>
            </w:r>
          </w:p>
        </w:tc>
        <w:tc>
          <w:tcPr>
            <w:tcW w:w="2860" w:type="dxa"/>
            <w:vAlign w:val="bottom"/>
          </w:tcPr>
          <w:p>
            <w:pPr>
              <w:ind w:left="1640"/>
              <w:spacing w:after="0" w:line="169" w:lineRule="exact"/>
              <w:rPr>
                <w:sz w:val="20"/>
                <w:szCs w:val="20"/>
                <w:color w:val="auto"/>
              </w:rPr>
            </w:pPr>
            <w:r>
              <w:rPr>
                <w:rFonts w:ascii="Arial" w:cs="Arial" w:eastAsia="Arial" w:hAnsi="Arial"/>
                <w:sz w:val="15"/>
                <w:szCs w:val="15"/>
                <w:color w:val="auto"/>
                <w:w w:val="95"/>
              </w:rPr>
              <w:t xml:space="preserve">Accelerated Filer </w:t>
            </w:r>
            <w:r>
              <w:rPr>
                <w:rFonts w:ascii="Arial" w:cs="Arial" w:eastAsia="Arial" w:hAnsi="Arial"/>
                <w:sz w:val="15"/>
                <w:szCs w:val="15"/>
                <w:b w:val="1"/>
                <w:bCs w:val="1"/>
                <w:color w:val="auto"/>
                <w:w w:val="95"/>
              </w:rPr>
              <w:t>o</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480" w:type="dxa"/>
            <w:vAlign w:val="bottom"/>
          </w:tcPr>
          <w:p>
            <w:pPr>
              <w:spacing w:after="0"/>
              <w:rPr>
                <w:sz w:val="20"/>
                <w:szCs w:val="20"/>
                <w:color w:val="auto"/>
              </w:rPr>
            </w:pPr>
            <w:r>
              <w:rPr>
                <w:rFonts w:ascii="Arial" w:cs="Arial" w:eastAsia="Arial" w:hAnsi="Arial"/>
                <w:sz w:val="15"/>
                <w:szCs w:val="15"/>
                <w:color w:val="auto"/>
              </w:rPr>
              <w:t xml:space="preserve">Non-Accelerated Filer </w:t>
            </w:r>
            <w:r>
              <w:rPr>
                <w:rFonts w:ascii="Arial" w:cs="Arial" w:eastAsia="Arial" w:hAnsi="Arial"/>
                <w:sz w:val="15"/>
                <w:szCs w:val="15"/>
                <w:b w:val="1"/>
                <w:bCs w:val="1"/>
                <w:color w:val="auto"/>
              </w:rPr>
              <w:t>o</w:t>
            </w:r>
          </w:p>
        </w:tc>
        <w:tc>
          <w:tcPr>
            <w:tcW w:w="3520" w:type="dxa"/>
            <w:vAlign w:val="bottom"/>
            <w:gridSpan w:val="2"/>
          </w:tcPr>
          <w:p>
            <w:pPr>
              <w:ind w:left="1640"/>
              <w:spacing w:after="0"/>
              <w:rPr>
                <w:sz w:val="20"/>
                <w:szCs w:val="20"/>
                <w:color w:val="auto"/>
              </w:rPr>
            </w:pPr>
            <w:r>
              <w:rPr>
                <w:rFonts w:ascii="Arial" w:cs="Arial" w:eastAsia="Arial" w:hAnsi="Arial"/>
                <w:sz w:val="15"/>
                <w:szCs w:val="15"/>
                <w:color w:val="auto"/>
                <w:w w:val="92"/>
              </w:rPr>
              <w:t xml:space="preserve">Smaller Reporting Company </w:t>
            </w:r>
            <w:r>
              <w:rPr>
                <w:rFonts w:ascii="Arial" w:cs="Arial" w:eastAsia="Arial" w:hAnsi="Arial"/>
                <w:sz w:val="15"/>
                <w:szCs w:val="15"/>
                <w:b w:val="1"/>
                <w:bCs w:val="1"/>
                <w:color w:val="auto"/>
                <w:w w:val="92"/>
              </w:rPr>
              <w:t>o</w:t>
            </w:r>
          </w:p>
        </w:tc>
        <w:tc>
          <w:tcPr>
            <w:tcW w:w="0" w:type="dxa"/>
            <w:vAlign w:val="bottom"/>
          </w:tcPr>
          <w:p>
            <w:pPr>
              <w:spacing w:after="0"/>
              <w:rPr>
                <w:sz w:val="1"/>
                <w:szCs w:val="1"/>
                <w:color w:val="auto"/>
              </w:rPr>
            </w:pPr>
          </w:p>
        </w:tc>
      </w:tr>
      <w:tr>
        <w:trPr>
          <w:trHeight w:val="185"/>
        </w:trPr>
        <w:tc>
          <w:tcPr>
            <w:tcW w:w="4480" w:type="dxa"/>
            <w:vAlign w:val="bottom"/>
          </w:tcPr>
          <w:p>
            <w:pPr>
              <w:spacing w:after="0"/>
              <w:rPr>
                <w:sz w:val="20"/>
                <w:szCs w:val="20"/>
                <w:color w:val="auto"/>
              </w:rPr>
            </w:pPr>
            <w:r>
              <w:rPr>
                <w:rFonts w:ascii="Arial" w:cs="Arial" w:eastAsia="Arial" w:hAnsi="Arial"/>
                <w:sz w:val="15"/>
                <w:szCs w:val="15"/>
                <w:color w:val="auto"/>
              </w:rPr>
              <w:t>(Do not check if a smaller reporting company)</w:t>
            </w:r>
          </w:p>
        </w:tc>
        <w:tc>
          <w:tcPr>
            <w:tcW w:w="2860" w:type="dxa"/>
            <w:vAlign w:val="bottom"/>
          </w:tcPr>
          <w:p>
            <w:pPr>
              <w:spacing w:after="0"/>
              <w:rPr>
                <w:sz w:val="16"/>
                <w:szCs w:val="16"/>
                <w:color w:val="auto"/>
              </w:rPr>
            </w:pPr>
          </w:p>
        </w:tc>
        <w:tc>
          <w:tcPr>
            <w:tcW w:w="660" w:type="dxa"/>
            <w:vAlign w:val="bottom"/>
            <w:vMerge w:val="restart"/>
          </w:tcPr>
          <w:p>
            <w:pPr>
              <w:ind w:left="40"/>
              <w:spacing w:after="0" w:line="173" w:lineRule="exact"/>
              <w:rPr>
                <w:sz w:val="20"/>
                <w:szCs w:val="20"/>
                <w:color w:val="auto"/>
              </w:rPr>
            </w:pP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Arial" w:cs="Arial" w:eastAsia="Arial" w:hAnsi="Arial"/>
                <w:sz w:val="15"/>
                <w:szCs w:val="15"/>
                <w:b w:val="1"/>
                <w:bCs w:val="1"/>
                <w:color w:val="auto"/>
              </w:rPr>
              <w:t>x</w:t>
            </w: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rPr>
                <w:sz w:val="20"/>
                <w:szCs w:val="20"/>
                <w:color w:val="auto"/>
              </w:rPr>
            </w:pPr>
            <w:r>
              <w:rPr>
                <w:rFonts w:ascii="Arial" w:cs="Arial" w:eastAsia="Arial" w:hAnsi="Arial"/>
                <w:sz w:val="15"/>
                <w:szCs w:val="15"/>
                <w:color w:val="auto"/>
                <w:w w:val="93"/>
              </w:rPr>
              <w:t>Indicate by check mark whether the registrant is a shell company (as defined in Rule 12b-2 of the Exchange Act). Yes</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20"/>
        <w:spacing w:after="0" w:line="268" w:lineRule="auto"/>
        <w:rPr>
          <w:sz w:val="20"/>
          <w:szCs w:val="20"/>
          <w:color w:val="auto"/>
        </w:rPr>
      </w:pPr>
      <w:r>
        <w:rPr>
          <w:rFonts w:ascii="Arial" w:cs="Arial" w:eastAsia="Arial" w:hAnsi="Arial"/>
          <w:sz w:val="15"/>
          <w:szCs w:val="15"/>
          <w:color w:val="auto"/>
        </w:rPr>
        <w:t>The aggregate market value of the voting stock held by non-affiliates of the registrant, based upon the closing price of such stock on February 28, 2008, as reported by the New York Stock Exchange, was approximately $3.6 billion. 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80" w:lineRule="exact"/>
        <w:rPr>
          <w:sz w:val="24"/>
          <w:szCs w:val="24"/>
          <w:color w:val="auto"/>
        </w:rPr>
      </w:pPr>
    </w:p>
    <w:p>
      <w:pPr>
        <w:spacing w:after="0"/>
        <w:rPr>
          <w:sz w:val="20"/>
          <w:szCs w:val="20"/>
          <w:color w:val="auto"/>
        </w:rPr>
      </w:pPr>
      <w:r>
        <w:rPr>
          <w:rFonts w:ascii="Arial" w:cs="Arial" w:eastAsia="Arial" w:hAnsi="Arial"/>
          <w:sz w:val="15"/>
          <w:szCs w:val="15"/>
          <w:color w:val="auto"/>
        </w:rPr>
        <w:t>The number of outstanding shares of the registrant’s common stock as of October 17, 2008, was 763,759,118.</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228" w:lineRule="exact"/>
        <w:rPr>
          <w:sz w:val="24"/>
          <w:szCs w:val="24"/>
          <w:color w:val="auto"/>
        </w:rPr>
      </w:pPr>
    </w:p>
    <w:p>
      <w:pPr>
        <w:ind w:right="440"/>
        <w:spacing w:after="0" w:line="290" w:lineRule="auto"/>
        <w:rPr>
          <w:sz w:val="20"/>
          <w:szCs w:val="20"/>
          <w:color w:val="auto"/>
        </w:rPr>
      </w:pPr>
      <w:r>
        <w:rPr>
          <w:rFonts w:ascii="Arial" w:cs="Arial" w:eastAsia="Arial" w:hAnsi="Arial"/>
          <w:sz w:val="15"/>
          <w:szCs w:val="15"/>
          <w:color w:val="auto"/>
        </w:rPr>
        <w:t>Portions of the Proxy Statement for registrant’s 2008 Annual Meeting of Shareholders to be held on December 11, 2008,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41275</wp:posOffset>
            </wp:positionV>
            <wp:extent cx="727138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1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129540</wp:posOffset>
            </wp:positionV>
            <wp:extent cx="727138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683"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5"/>
          <w:szCs w:val="15"/>
          <w:b w:val="1"/>
          <w:bCs w:val="1"/>
          <w:color w:val="auto"/>
        </w:rPr>
        <w:t>PART I</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b w:val="1"/>
          <w:bCs w:val="1"/>
          <w:i w:val="1"/>
          <w:iCs w:val="1"/>
          <w:color w:val="auto"/>
        </w:rPr>
        <w:t>Business</w:t>
      </w:r>
    </w:p>
    <w:p>
      <w:pPr>
        <w:spacing w:after="0" w:line="228" w:lineRule="exact"/>
        <w:rPr>
          <w:sz w:val="20"/>
          <w:szCs w:val="20"/>
          <w:color w:val="auto"/>
        </w:rPr>
      </w:pPr>
    </w:p>
    <w:p>
      <w:pPr>
        <w:spacing w:after="0" w:line="262" w:lineRule="auto"/>
        <w:rPr>
          <w:sz w:val="20"/>
          <w:szCs w:val="20"/>
          <w:color w:val="auto"/>
        </w:rPr>
      </w:pPr>
      <w:r>
        <w:rPr>
          <w:rFonts w:ascii="Arial" w:cs="Arial" w:eastAsia="Arial" w:hAnsi="Arial"/>
          <w:sz w:val="15"/>
          <w:szCs w:val="15"/>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the costs and impact of restructure plans, the Company’s DRAM development costs relative to Nanya, royalty payments from Inotera production, capital commitments for the Company’s joint ventures with Nanya Technology Corporation, the supply of DRAM wafers from Inotera Memories, Inc. and manufacturing plans for CMOS image sensors; “Products” regarding new product offerings in 2009, increased sales of DDR3 DRAM products and growth in demand for NAND Flash and solid-state drives, and market growth for CMOS image sensors; and in “Manufacturing” regarding the transition to smaller line-width process technologies and the supply of DRAM wafers from Inotera Memories, Inc . The Company’s actual results could differ materially from the Company’s historical results and those discussed in the forward-looking statements. Factors that could cause actual results to differ materially include, but are not limited to, those identified in “Item 1A. Risk Factors.” All period references are to the Company’s fiscal periods unless otherwise indicated.</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218"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Micron Technology, Inc., and its subsidiaries (hereinafter referred to collectively as the “Company”), a Delaware corporation, was incorporated in 1978. The Company’s executive offices are located at 8000 South Federal Way, Boise, Idaho 83716-9632 and its telephone number is (208) 368-4000. Information about the Company is available on the internet at www.micron.com. Copies of the Company’s Annual Report on Form 10-K, Quarterly Reports on Form 10-Q and Current Reports on Form 8-K, as well as any amendments to these reports, are available through the Company’s website as soon as reasonably practicable after they are electronically filed with or furnished to the Securities and Exchange Commission (the “SEC”). Materials filed by the Company with the SEC are also available at the SEC’s Public Reference Room at 100 F Street, NE, Washington, D.C. 20549. Information on the operation of the Public Reference Room is available by calling 1-800-SEC-0330. Also available on the Company’s website are its: Corporate Governance Guidelines, Governance Committee Charter, Compensation Committee Charter, Audit Committee Charter and Code of Business Conduct and Ethics. Any amendments or waivers of the Company’s Code of Business Conduct and Ethics will also be posted on the Company’s website at www.micron.com within four business days of the amendment or waiver. Copies of these documents are available to shareholders upon request. Information contained or referenced on the Company’s website is not incorporated by reference and does not form a part of this Annual Report on Form 10-K. In January 2008, the Company’s Chief Executive Officer certified to the New York Stock Exchange that he was not aware of any violation by the Company of the NYSE’s Corporate Governance Listing Standards.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8"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 Company is a global manufacturer and marketer of semiconductor devices, principally DRAM and NAND Flash memory and CMOS image sensors. The Company’s products are offered in a wide variety of package and configuration options, architectures and performance characteristics tailored to meet application and customer needs. Individual devices take advantage of the Company’s advanced semiconductor processing technology and manufacturing expertise. The Company aims to continually introduce new generations of products that offer lower costs per unit and improved performance characteristics. The Company operates in two segments, Memory and Imaging. (See “Item 8. Financial Statements and Supplementary Data – Notes to Consolidated Financial Statements – Segment Information.”)</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In 2008 and 2007 the semiconductor memory industry experienced a severe downturn due to a significant oversupply of products. Average selling prices per gigabit for the Company’s DRAM products and NAND Flash products in 2008 were down approximately 50% and 65%, respectively, as compared to 2007 and down approximately 65% and 85%, respectively, as compared to 2006. As a result of these market conditions, the Company and other semiconductor memory manufacturers have reported negative gross margins and substantial losses in recent periods. In 2008, the Company reported a net loss of $1.6 billion and many of its competitors reported negative cash flows from operations. In response to these market conditions, on October 9, 2008 the Company announced a plan to restructure its memory operations. The Company’s IM Flash joint venture with Intel Corporation (“Intel”) will discontinue its production of 200mm wafer NAND flash memory products at Micron’s Boise facility. The NAND Flash production shutdown will reduce IM Flash’s NAND flash production by approximately 35,000 200mm wafers per month. In addition, the Company and Intel agreed to suspend tooling and the ramp of NAND Flash production at IM Flash’s Singapore wafer fabrication plant. As part of this restructuring, the Company plans to reduce its global workforce by approximately 15 percent during 2009 and 2010. Cash costs for restructuring and other related expenses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 w:name="page3"/>
    <w:bookmarkEnd w:id="2"/>
    <w:p>
      <w:pPr>
        <w:ind w:right="240"/>
        <w:spacing w:after="0" w:line="290" w:lineRule="auto"/>
        <w:rPr>
          <w:sz w:val="20"/>
          <w:szCs w:val="20"/>
          <w:color w:val="auto"/>
        </w:rPr>
      </w:pPr>
      <w:r>
        <w:rPr>
          <w:rFonts w:ascii="Arial" w:cs="Arial" w:eastAsia="Arial" w:hAnsi="Arial"/>
          <w:sz w:val="15"/>
          <w:szCs w:val="15"/>
          <w:color w:val="auto"/>
        </w:rPr>
        <w:t>incurred in connection with this restructuring are anticipated to be approximately $60 million, and the benefit to the Company’s cash operating results for 2009 is expected to exceed $175 million.</w:t>
      </w:r>
    </w:p>
    <w:p>
      <w:pPr>
        <w:spacing w:after="0" w:line="163"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The effects of the worsening global economy and the tightening credit market are also making it increasingly difficult for semiconductor memory manufacturers to obtain external sources of financing to fund their operations. Although the Company believes that it is better positioned than some of its peers, it faces challenges in the current and near term that require it to continue to make significant improvements in its competitiveness. The Company is pursuing financing alternatives, delaying capital expenditures and implementing further cost-cutting initiatives.</w:t>
      </w:r>
    </w:p>
    <w:p>
      <w:pPr>
        <w:spacing w:after="0" w:line="180" w:lineRule="exact"/>
        <w:rPr>
          <w:sz w:val="20"/>
          <w:szCs w:val="20"/>
          <w:color w:val="auto"/>
        </w:rPr>
      </w:pPr>
    </w:p>
    <w:p>
      <w:pPr>
        <w:ind w:right="360"/>
        <w:spacing w:after="0" w:line="274" w:lineRule="auto"/>
        <w:rPr>
          <w:sz w:val="20"/>
          <w:szCs w:val="20"/>
          <w:color w:val="auto"/>
        </w:rPr>
      </w:pPr>
      <w:r>
        <w:rPr>
          <w:rFonts w:ascii="Arial" w:cs="Arial" w:eastAsia="Arial" w:hAnsi="Arial"/>
          <w:sz w:val="15"/>
          <w:szCs w:val="15"/>
          <w:b w:val="1"/>
          <w:bCs w:val="1"/>
          <w:i w:val="1"/>
          <w:iCs w:val="1"/>
          <w:color w:val="auto"/>
        </w:rPr>
        <w:t xml:space="preserve">Memory: </w:t>
      </w:r>
      <w:r>
        <w:rPr>
          <w:rFonts w:ascii="Arial" w:cs="Arial" w:eastAsia="Arial" w:hAnsi="Arial"/>
          <w:sz w:val="15"/>
          <w:szCs w:val="15"/>
          <w:color w:val="auto"/>
        </w:rPr>
        <w:t>The Memory segment’s primary products are DRAM and NAND Flash, which are key components used in a broad array of electronic applications, including personal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computers, workstations, network servers, mobile phones, Flash memory cards, USB storage devices, MP3/4 players and other consumer electronics products. The Company sells primarily to original equipment manufacturers, distributors and retailers located around the world.</w:t>
      </w:r>
    </w:p>
    <w:p>
      <w:pPr>
        <w:spacing w:after="0" w:line="174"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The Company is focused on improving its Memory segment’s competitiveness by developing new products, advancing its technology and reducing costs. In addition, the Company increased its manufacturing capacity in 2008 and 2007 by ramping NAND Flash production at two 300mm wafer fabrication facilities and converting another facility to 300mm DRAM wafer fabrication.</w:t>
      </w:r>
    </w:p>
    <w:p>
      <w:pPr>
        <w:spacing w:after="0" w:line="174"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In the third quarter of 2008, the Company and Nanya Technology Corporation (“Nanya”) formed MeiYa, a joint venture to manufacture stack DRAM products and sell those products exclusively to the Company and Nanya. As part of this transaction, the Company transferred and licensed certain intellectual property to Nanya and licensed certain intellectual property from Nanya. The Company and Nanya also agreed to jointly develop process technology and designs to manufacture stack DRAM products with each party bearing its own development costs until such time that the development costs exceed a specified amount, following which such costs would be shared. The Company’s development costs are expected to exceed Nanya’s development costs by a significant amount. Under this arrangement, the Company is to receive an aggregate of $232 million from Nanya and MeiYa</w:t>
      </w:r>
    </w:p>
    <w:p>
      <w:pPr>
        <w:ind w:right="200"/>
        <w:spacing w:after="0" w:line="276" w:lineRule="auto"/>
        <w:rPr>
          <w:sz w:val="20"/>
          <w:szCs w:val="20"/>
          <w:color w:val="auto"/>
        </w:rPr>
      </w:pPr>
      <w:r>
        <w:rPr>
          <w:rFonts w:ascii="Arial" w:cs="Arial" w:eastAsia="Arial" w:hAnsi="Arial"/>
          <w:sz w:val="15"/>
          <w:szCs w:val="15"/>
          <w:color w:val="auto"/>
        </w:rPr>
        <w:t>through 2010 for licensing and technology transfer fees, of which the Company realized $40 million of revenue in 2008. The Company will also receive royalties from Nanya on the sale of stack DRAM products manufactured by or for Nanya.</w:t>
      </w:r>
    </w:p>
    <w:p>
      <w:pPr>
        <w:spacing w:after="0" w:line="173"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On October 12, 2008, the Company announced that it had entered into an agreement to acquire Qimonda AG’s 35.6% ownership stake in Inotera Memories, Inc. (“Inotera”), a Taiwanese DRAM memory manufacturer, for $400 million in cash. The Company received commitments for $285 million of term loans to fund this acquisition in part. Inotera is expected to implement the Company’s stack DRAM process technology, and it is anticipated that the Company will receive royalties on Inotera’s production that is delivered to Nanya, a 35.6% stakeholder in Inotera. The Company will eventually gain access to approximately 60,000 300mm DRAM wafers per month, 50% of Inotera’s output. In connection with this acquisition, the Company expects to enter into a series of agreements with Nanya to restructure MeiYa. It is anticipated that both parties will cease future resource commitments to MeiYa and redirect those resources to Inotera. (See “Item 8. Financial Statements and Supplementary Data – Notes to Consolidated Financial Statements – Joint Ventures – DRAM Joint Ventures with Nanya Technology Corporation.”)</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i w:val="1"/>
          <w:iCs w:val="1"/>
          <w:color w:val="auto"/>
        </w:rPr>
        <w:t xml:space="preserve">Imaging: </w:t>
      </w:r>
      <w:r>
        <w:rPr>
          <w:rFonts w:ascii="Arial" w:cs="Arial" w:eastAsia="Arial" w:hAnsi="Arial"/>
          <w:sz w:val="15"/>
          <w:szCs w:val="15"/>
          <w:color w:val="auto"/>
        </w:rPr>
        <w:t>The Company’s Imaging segment operates under the Aptina brand name. Imaging’s primary products are CMOS image sensors, which are key components used in a broad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array of electronic applications, including mobile phones, digital still cameras, webcams and other consumer, security and automotive applications. The Company’s primary customers are camera module integrators located around the world. The Company is exploring partnering arrangements with outside parties regarding the separation of its Aptina imaging business to an independent entity in which the Company would retain a significant minority ownership interest. To that end, the Company began operating its Imaging business as a separate wholly-owned subsidiary in October 2008. Under the arrangements being considered, the Company expects that it will continue to manufacture CMOS image sensors for some period of time.</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18"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i w:val="1"/>
          <w:iCs w:val="1"/>
          <w:color w:val="auto"/>
        </w:rPr>
        <w:t xml:space="preserve">Memory: </w:t>
      </w:r>
      <w:r>
        <w:rPr>
          <w:rFonts w:ascii="Arial" w:cs="Arial" w:eastAsia="Arial" w:hAnsi="Arial"/>
          <w:sz w:val="15"/>
          <w:szCs w:val="15"/>
          <w:color w:val="auto"/>
        </w:rPr>
        <w:t>The Company’s Memory segment has two primary product types: DRAM and NAND Flash. Sales of Memory products were 89%, 88% and 86% of the Company’s total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sales in 2008, 2007 and 2006,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 w:name="page4"/>
    <w:bookmarkEnd w:id="3"/>
    <w:p>
      <w:pPr>
        <w:ind w:right="300"/>
        <w:spacing w:after="0" w:line="271" w:lineRule="auto"/>
        <w:rPr>
          <w:sz w:val="20"/>
          <w:szCs w:val="20"/>
          <w:color w:val="auto"/>
        </w:rPr>
      </w:pPr>
      <w:r>
        <w:rPr>
          <w:rFonts w:ascii="Arial" w:cs="Arial" w:eastAsia="Arial" w:hAnsi="Arial"/>
          <w:sz w:val="15"/>
          <w:szCs w:val="15"/>
          <w:b w:val="1"/>
          <w:bCs w:val="1"/>
          <w:u w:val="single" w:color="auto"/>
          <w:color w:val="auto"/>
        </w:rPr>
        <w:t>Dynamic Random Access Memory (“DRAM”)</w:t>
      </w:r>
      <w:r>
        <w:rPr>
          <w:rFonts w:ascii="Arial" w:cs="Arial" w:eastAsia="Arial" w:hAnsi="Arial"/>
          <w:sz w:val="15"/>
          <w:szCs w:val="15"/>
          <w:b w:val="1"/>
          <w:bCs w:val="1"/>
          <w:color w:val="auto"/>
        </w:rPr>
        <w:t xml:space="preserve">: </w:t>
      </w:r>
      <w:r>
        <w:rPr>
          <w:rFonts w:ascii="Arial" w:cs="Arial" w:eastAsia="Arial" w:hAnsi="Arial"/>
          <w:sz w:val="15"/>
          <w:szCs w:val="15"/>
          <w:color w:val="auto"/>
        </w:rPr>
        <w:t>DRAM products are high-density, low-cost-per-bit, random access memory devices that provide high-speed data storage and</w:t>
      </w:r>
      <w:r>
        <w:rPr>
          <w:rFonts w:ascii="Arial" w:cs="Arial" w:eastAsia="Arial" w:hAnsi="Arial"/>
          <w:sz w:val="15"/>
          <w:szCs w:val="15"/>
          <w:b w:val="1"/>
          <w:bCs w:val="1"/>
          <w:color w:val="auto"/>
        </w:rPr>
        <w:t xml:space="preserve"> </w:t>
      </w:r>
      <w:r>
        <w:rPr>
          <w:rFonts w:ascii="Arial" w:cs="Arial" w:eastAsia="Arial" w:hAnsi="Arial"/>
          <w:sz w:val="15"/>
          <w:szCs w:val="15"/>
          <w:color w:val="auto"/>
        </w:rPr>
        <w:t>retrieval. DRAM products were 54%, 65% and 76% of the Company’s total net sales in 2008, 2007 and 2006, respectively. The Company offers DRAM products with a variety of performance, pricing and other characteristics including high-volume DDR2 and DDR3 products as well as specialty DRAM memory products including DDR, SDRAM, Mobile DRAM and PSRAM.</w:t>
      </w:r>
    </w:p>
    <w:p>
      <w:pPr>
        <w:spacing w:after="0" w:line="172" w:lineRule="exact"/>
        <w:rPr>
          <w:sz w:val="20"/>
          <w:szCs w:val="20"/>
          <w:color w:val="auto"/>
        </w:rPr>
      </w:pPr>
    </w:p>
    <w:p>
      <w:pPr>
        <w:ind w:left="540" w:right="20"/>
        <w:spacing w:after="0" w:line="271" w:lineRule="auto"/>
        <w:rPr>
          <w:sz w:val="20"/>
          <w:szCs w:val="20"/>
          <w:color w:val="auto"/>
        </w:rPr>
      </w:pPr>
      <w:r>
        <w:rPr>
          <w:rFonts w:ascii="Arial" w:cs="Arial" w:eastAsia="Arial" w:hAnsi="Arial"/>
          <w:sz w:val="15"/>
          <w:szCs w:val="15"/>
          <w:b w:val="1"/>
          <w:bCs w:val="1"/>
          <w:color w:val="auto"/>
        </w:rPr>
        <w:t xml:space="preserve">DDR2 and DDR3: </w:t>
      </w:r>
      <w:r>
        <w:rPr>
          <w:rFonts w:ascii="Arial" w:cs="Arial" w:eastAsia="Arial" w:hAnsi="Arial"/>
          <w:sz w:val="15"/>
          <w:szCs w:val="15"/>
          <w:color w:val="auto"/>
        </w:rPr>
        <w:t>DDR2 and DDR3 are standardized, high-density, high-volume, DRAM products that are sold primarily for use as main system memory in computers and</w:t>
      </w:r>
      <w:r>
        <w:rPr>
          <w:rFonts w:ascii="Arial" w:cs="Arial" w:eastAsia="Arial" w:hAnsi="Arial"/>
          <w:sz w:val="15"/>
          <w:szCs w:val="15"/>
          <w:b w:val="1"/>
          <w:bCs w:val="1"/>
          <w:color w:val="auto"/>
        </w:rPr>
        <w:t xml:space="preserve"> </w:t>
      </w:r>
      <w:r>
        <w:rPr>
          <w:rFonts w:ascii="Arial" w:cs="Arial" w:eastAsia="Arial" w:hAnsi="Arial"/>
          <w:sz w:val="15"/>
          <w:szCs w:val="15"/>
          <w:color w:val="auto"/>
        </w:rPr>
        <w:t>servers. DDR2 and DDR3 products offer high speed and high bandwidth at a relatively low cost compared to other DRAM products. DDR2 products were the highest volume parts in the DRAM market in 2008 and were 28%, 32% and 25% of the Company’s total net sales in 2008, 2007 and 2006, respectively. The Company began volume production of DDR3 products in 2008 and expects that sales of these products will increase significantly in 2009.</w:t>
      </w:r>
    </w:p>
    <w:p>
      <w:pPr>
        <w:spacing w:after="0" w:line="178" w:lineRule="exact"/>
        <w:rPr>
          <w:sz w:val="20"/>
          <w:szCs w:val="20"/>
          <w:color w:val="auto"/>
        </w:rPr>
      </w:pPr>
    </w:p>
    <w:p>
      <w:pPr>
        <w:jc w:val="both"/>
        <w:ind w:left="540" w:right="540"/>
        <w:spacing w:after="0" w:line="274" w:lineRule="auto"/>
        <w:rPr>
          <w:sz w:val="20"/>
          <w:szCs w:val="20"/>
          <w:color w:val="auto"/>
        </w:rPr>
      </w:pPr>
      <w:r>
        <w:rPr>
          <w:rFonts w:ascii="Arial" w:cs="Arial" w:eastAsia="Arial" w:hAnsi="Arial"/>
          <w:sz w:val="15"/>
          <w:szCs w:val="15"/>
          <w:color w:val="auto"/>
        </w:rPr>
        <w:t>The Company offers DDR2 products in 256 megabit (“Mb”), 512 Mb, 1 Gb and 2 Gb densities. The Company offers DDR3 products in 1 Gb and 2 Gb densities. The Company expects that these densities will be necessary to meet future customer demands for a broad array of products. The Company also offers its DDR2 and DDR3 products in multiple configurations, speeds and package types.</w:t>
      </w:r>
    </w:p>
    <w:p>
      <w:pPr>
        <w:spacing w:after="0" w:line="168" w:lineRule="exact"/>
        <w:rPr>
          <w:sz w:val="20"/>
          <w:szCs w:val="20"/>
          <w:color w:val="auto"/>
        </w:rPr>
      </w:pPr>
    </w:p>
    <w:p>
      <w:pPr>
        <w:ind w:left="540" w:right="260"/>
        <w:spacing w:after="0" w:line="306" w:lineRule="auto"/>
        <w:rPr>
          <w:sz w:val="20"/>
          <w:szCs w:val="20"/>
          <w:color w:val="auto"/>
        </w:rPr>
      </w:pPr>
      <w:r>
        <w:rPr>
          <w:rFonts w:ascii="Arial" w:cs="Arial" w:eastAsia="Arial" w:hAnsi="Arial"/>
          <w:sz w:val="14"/>
          <w:szCs w:val="14"/>
          <w:b w:val="1"/>
          <w:bCs w:val="1"/>
          <w:color w:val="auto"/>
        </w:rPr>
        <w:t xml:space="preserve">DDR: </w:t>
      </w:r>
      <w:r>
        <w:rPr>
          <w:rFonts w:ascii="Arial" w:cs="Arial" w:eastAsia="Arial" w:hAnsi="Arial"/>
          <w:sz w:val="14"/>
          <w:szCs w:val="14"/>
          <w:color w:val="auto"/>
        </w:rPr>
        <w:t>In 2008, DDR was primarily used in networking devices, servers, consumer electronics, communications equipment and computer peripherals as well as memory</w:t>
      </w:r>
      <w:r>
        <w:rPr>
          <w:rFonts w:ascii="Arial" w:cs="Arial" w:eastAsia="Arial" w:hAnsi="Arial"/>
          <w:sz w:val="14"/>
          <w:szCs w:val="14"/>
          <w:b w:val="1"/>
          <w:bCs w:val="1"/>
          <w:color w:val="auto"/>
        </w:rPr>
        <w:t xml:space="preserve"> </w:t>
      </w:r>
      <w:r>
        <w:rPr>
          <w:rFonts w:ascii="Arial" w:cs="Arial" w:eastAsia="Arial" w:hAnsi="Arial"/>
          <w:sz w:val="14"/>
          <w:szCs w:val="14"/>
          <w:color w:val="auto"/>
        </w:rPr>
        <w:t>upgrades to legacy computers. Sales of DDR products were 9%, 15% and 26% of the Company’s total net sales in 2008, 2007 and 2006, respectively. DDR sales have declined as personal computer manufacturers have transitioned to DDR2 and DDR3 products. The Company offers 128 Mb, 256 Mb and 512 Mb and 1 Gb DDR products.</w:t>
      </w:r>
    </w:p>
    <w:p>
      <w:pPr>
        <w:spacing w:after="0" w:line="149" w:lineRule="exact"/>
        <w:rPr>
          <w:sz w:val="20"/>
          <w:szCs w:val="20"/>
          <w:color w:val="auto"/>
        </w:rPr>
      </w:pPr>
    </w:p>
    <w:p>
      <w:pPr>
        <w:jc w:val="both"/>
        <w:ind w:left="540" w:right="20"/>
        <w:spacing w:after="0" w:line="296" w:lineRule="auto"/>
        <w:rPr>
          <w:sz w:val="20"/>
          <w:szCs w:val="20"/>
          <w:color w:val="auto"/>
        </w:rPr>
      </w:pPr>
      <w:r>
        <w:rPr>
          <w:rFonts w:ascii="Arial" w:cs="Arial" w:eastAsia="Arial" w:hAnsi="Arial"/>
          <w:sz w:val="14"/>
          <w:szCs w:val="14"/>
          <w:b w:val="1"/>
          <w:bCs w:val="1"/>
          <w:color w:val="auto"/>
        </w:rPr>
        <w:t xml:space="preserve">Synchronous DRAM (“SDRAM”): </w:t>
      </w:r>
      <w:r>
        <w:rPr>
          <w:rFonts w:ascii="Arial" w:cs="Arial" w:eastAsia="Arial" w:hAnsi="Arial"/>
          <w:sz w:val="14"/>
          <w:szCs w:val="14"/>
          <w:color w:val="auto"/>
        </w:rPr>
        <w:t>In 2008, 2007 and 2006, SDRAM was primarily used in networking devices, servers, consumer electronics, communications equipment</w:t>
      </w:r>
      <w:r>
        <w:rPr>
          <w:rFonts w:ascii="Arial" w:cs="Arial" w:eastAsia="Arial" w:hAnsi="Arial"/>
          <w:sz w:val="14"/>
          <w:szCs w:val="14"/>
          <w:b w:val="1"/>
          <w:bCs w:val="1"/>
          <w:color w:val="auto"/>
        </w:rPr>
        <w:t xml:space="preserve"> </w:t>
      </w:r>
      <w:r>
        <w:rPr>
          <w:rFonts w:ascii="Arial" w:cs="Arial" w:eastAsia="Arial" w:hAnsi="Arial"/>
          <w:sz w:val="14"/>
          <w:szCs w:val="14"/>
          <w:color w:val="auto"/>
        </w:rPr>
        <w:t>and computer peripherals as well as memory upgrades to legacy computers. Sales of SDRAM products were 9%, 11% and 16% of the Company’s total net sales in 2008, 2007 and 2006, respectively. SDRAM sales have declined as personal computer manufacturers have transitioned to DDR and DDR2 products. The decline has been partially offset by increased usage of SDRAM products in other applications. The Company offers 64 Mb, 128 Mb, 256 Mb and 512 Mb SDRAM products.</w:t>
      </w:r>
    </w:p>
    <w:p>
      <w:pPr>
        <w:spacing w:after="0" w:line="156" w:lineRule="exact"/>
        <w:rPr>
          <w:sz w:val="20"/>
          <w:szCs w:val="20"/>
          <w:color w:val="auto"/>
        </w:rPr>
      </w:pPr>
    </w:p>
    <w:p>
      <w:pPr>
        <w:ind w:left="540"/>
        <w:spacing w:after="0" w:line="263" w:lineRule="auto"/>
        <w:rPr>
          <w:sz w:val="20"/>
          <w:szCs w:val="20"/>
          <w:color w:val="auto"/>
        </w:rPr>
      </w:pPr>
      <w:r>
        <w:rPr>
          <w:rFonts w:ascii="Arial" w:cs="Arial" w:eastAsia="Arial" w:hAnsi="Arial"/>
          <w:sz w:val="15"/>
          <w:szCs w:val="15"/>
          <w:b w:val="1"/>
          <w:bCs w:val="1"/>
          <w:color w:val="auto"/>
        </w:rPr>
        <w:t xml:space="preserve">Other Specialty DRAM Memory Products: </w:t>
      </w:r>
      <w:r>
        <w:rPr>
          <w:rFonts w:ascii="Arial" w:cs="Arial" w:eastAsia="Arial" w:hAnsi="Arial"/>
          <w:sz w:val="15"/>
          <w:szCs w:val="15"/>
          <w:color w:val="auto"/>
        </w:rPr>
        <w:t>The Company also offers other specialty memory products including Mobile DRAM, Pseudo-static RAM (“PSRAM”) and</w:t>
      </w:r>
      <w:r>
        <w:rPr>
          <w:rFonts w:ascii="Arial" w:cs="Arial" w:eastAsia="Arial" w:hAnsi="Arial"/>
          <w:sz w:val="15"/>
          <w:szCs w:val="15"/>
          <w:b w:val="1"/>
          <w:bCs w:val="1"/>
          <w:color w:val="auto"/>
        </w:rPr>
        <w:t xml:space="preserve"> </w:t>
      </w:r>
      <w:r>
        <w:rPr>
          <w:rFonts w:ascii="Arial" w:cs="Arial" w:eastAsia="Arial" w:hAnsi="Arial"/>
          <w:sz w:val="15"/>
          <w:szCs w:val="15"/>
          <w:color w:val="auto"/>
        </w:rPr>
        <w:t>Reduced Latency DRAM (“RLDRAM”). Mobile DRAM products are specialty DRAM memory devices designed for applications that demand minimal power consumption, such as personal digital assistants (PDAs), smart phones, GPS devices, digital still cameras and other handheld electronic devices. The Company sells SDRAM and DDR mobile memory products in 64 Mb, 128 Mb, 256 Mb, 512 Mb and 1Gb densities. The Company’s mobile DRAM products feature its proprietary Endur-IC™ technology, which the Company believes provides distinct advantages to its customers in terms of low power, high quality and high reliability. PSRAM products, marketed by the Company under the proprietary brand name CellularRAM™, are DRAM products with an SRAM-like interface. PSRAM combines the minimal power consumption of SRAM with a much lower cost-per-bit to provide an economical alternative to SRAM. PSRAM products are used primarily in cellular phone applications. RLDRAM products are low-latency DRAM memory devices with high clock rates targeted at network applications.</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5"/>
          <w:szCs w:val="15"/>
          <w:b w:val="1"/>
          <w:bCs w:val="1"/>
          <w:u w:val="single" w:color="auto"/>
          <w:color w:val="auto"/>
        </w:rPr>
        <w:t>NAND Flash Memory (“NAND”)</w:t>
      </w:r>
      <w:r>
        <w:rPr>
          <w:rFonts w:ascii="Arial" w:cs="Arial" w:eastAsia="Arial" w:hAnsi="Arial"/>
          <w:sz w:val="15"/>
          <w:szCs w:val="15"/>
          <w:b w:val="1"/>
          <w:bCs w:val="1"/>
          <w:color w:val="auto"/>
        </w:rPr>
        <w:t xml:space="preserve">: </w:t>
      </w:r>
      <w:r>
        <w:rPr>
          <w:rFonts w:ascii="Arial" w:cs="Arial" w:eastAsia="Arial" w:hAnsi="Arial"/>
          <w:sz w:val="15"/>
          <w:szCs w:val="15"/>
          <w:color w:val="auto"/>
        </w:rPr>
        <w:t>NAND products are electrically re-writeable, non-volatile semiconductor memory devices that retain content when power is turned off. NAND</w:t>
      </w:r>
      <w:r>
        <w:rPr>
          <w:rFonts w:ascii="Arial" w:cs="Arial" w:eastAsia="Arial" w:hAnsi="Arial"/>
          <w:sz w:val="15"/>
          <w:szCs w:val="15"/>
          <w:b w:val="1"/>
          <w:bCs w:val="1"/>
          <w:color w:val="auto"/>
        </w:rPr>
        <w:t xml:space="preserve"> </w:t>
      </w:r>
      <w:r>
        <w:rPr>
          <w:rFonts w:ascii="Arial" w:cs="Arial" w:eastAsia="Arial" w:hAnsi="Arial"/>
          <w:sz w:val="15"/>
          <w:szCs w:val="15"/>
          <w:color w:val="auto"/>
        </w:rPr>
        <w:t>sales were 35%, 23% and 6% of the Company’s total net sales in 2008, 2007 and 2006, respectively. NAND is ideal for mass-storage devices due to its faster erase and write times, higher density, and lower cost per bit than NOR Flash, which is the primary competing Flash architecture. The market for NAND products has grown rapidly and the Company expects it to continue to grow due to demand for removable and embedded storage devices. Removable storage devices such as USB and Flash memory cards are used with applications such as personal computers, digital still cameras, MP3/4 players and mobile phones. Embedded NAND-based storage devices are utilized in MP3/4 players, mobile phones, computers and other personal and consumer applications.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line="261" w:lineRule="auto"/>
        <w:rPr>
          <w:sz w:val="20"/>
          <w:szCs w:val="20"/>
          <w:color w:val="auto"/>
        </w:rPr>
      </w:pPr>
      <w:r>
        <w:rPr>
          <w:rFonts w:ascii="Arial" w:cs="Arial" w:eastAsia="Arial" w:hAnsi="Arial"/>
          <w:sz w:val="15"/>
          <w:szCs w:val="15"/>
          <w:color w:val="auto"/>
        </w:rPr>
        <w:t>NAND and DRAM share common manufacturing processes, enabling the Company to leverage its product and process technologies and manufacturing infrastructure across these two product lines. The Company’s NAND designs feature a small cell structure that allows for higher densities for demanding applications. The Company offers Single-Level Cell (“SLC”) products and Multi-Level Cell (“MLC”) NAND products, which have double the bit density of SLC products. In 2008, the Company offered SLC NAND products in 1 Gb, 2 Gb, and 4 Gb densities. In 2008, the Company offered 8 Gb and 16 Gb MLC NAND products. In 2008, the Company began sampling 32 Gb MLC NAND products manufactured using industry-leading 34 nanometer (“nm”) process technology. In 2008, the Company announced development of new high-speed NAND products that can reach speeds up to 200 megabytes per second (MB/s) for reading data and 100 MB/s for writing data as compared to 40 MB/s for reading data and less than 20 MB/s for writing data conventional SLC NAND. The high speeds are achieved by leveraging the new ONFI 2.0 specification and a four-plane architecture with higher clock speeds. In 2008, the Company introduced next-generation RealSSD™ solid-state drives for enterprise server and notebook applications which offer higher performance, reduced power consumption and enhanced reliability as compared to typical hard disk drives. Using Micron's MLC NAND process technology, the solid-state drives will be offered in 2.5-inch and 1.8-inch form factors, with densities up to 256 gigabytes for the 2.5 inch form factor and from 32 gigabytes to 128 gigabytes in the 1.8-inch form factor. The Company expects that demand for solid-state drives will increase significantly over the next few years.</w:t>
      </w:r>
    </w:p>
    <w:p>
      <w:pPr>
        <w:spacing w:after="0" w:line="186"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The Company’s Lexar subsidiary sells high-performance digital media products and other flash-based storage products through retail and original equipment manufacturing (OEM) channels. The Company’s digital media products include a variety of Flash memory cards with a range of speeds, capacities and value-added features. The Company’s digital media products also include its JumpDrive™ products, which are high-speed, portable USB flash drives for consumer applications that serve a variety of uses, including floppy disk replacement and digital media accessories such as card readers and image rescue software. The Company offers Flash memory cards in all major media formats currently used by digital cameras and other electronic host devices, including: CompactFlash, Memory Stick and Secure Digital Cards. Many of CompactFlash, Memory Stick and Memory Stick PRO products sold by the Company incorporate its patented controller technology. Other products, including Secure Digital Card Flash memory cards and some JumpDrive products, incorporate third party controllers. The Company also resells Flash memory products that are purchased from suppliers. The Company offers Flash memory cards in a variety of speeds and capacities. The Company sells products under its Lexar™ brand and also manufactures products that are sold under other brand names. The Company has a multi-year agreement with Eastman Kodak to sell digital media products under the Kodak brand name.</w:t>
      </w:r>
    </w:p>
    <w:p>
      <w:pPr>
        <w:spacing w:after="0" w:line="176"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b w:val="1"/>
          <w:bCs w:val="1"/>
          <w:i w:val="1"/>
          <w:iCs w:val="1"/>
          <w:color w:val="auto"/>
        </w:rPr>
        <w:t xml:space="preserve">Imaging: </w:t>
      </w:r>
      <w:r>
        <w:rPr>
          <w:rFonts w:ascii="Arial" w:cs="Arial" w:eastAsia="Arial" w:hAnsi="Arial"/>
          <w:sz w:val="15"/>
          <w:szCs w:val="15"/>
          <w:color w:val="auto"/>
        </w:rPr>
        <w:t>Complementary Metal-Oxide Semiconductor (“CMOS”) image sensors are the primary product of the Company’s Imaging segment. CMOS image sensors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semiconductor devices that capture and process images into pictures or video for a variety of consumer and industrial applications. The Company’s CMOS image sensors are used in products such as cellular phone cameras, digital still cameras, pill cameras for medical use, and in automotive and other emerging applications. The Company offers image sensors in a range of pixel resolutions from its VGA (video graphics array) products to its higher resolution 9-megapixel products. The Company manufactures a number of CMOS image sensors featuring an advanced pixel size of 1.4 square microns that enables a smaller form factor product. Image sensors are sold either as individual components or combined with integrated circuitry to create complete camera system-on-a-chip (“SOC”) solutions.</w:t>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The Company’s CMOS image sensors incorporate its DigitalClarity™ technology, featuring “active pixels” that enable better sensor performance that produces higher-quality images at faster frame rates. The Company’s CMOS image sensors’ active-pixel design architecture enabled the Company to achieve CMOS image sensor performance that in 2008 was comparable to high-end CCD sensors. The Company’s CMOS image sensors consume substantially less power than CCD devices, providing an advantage in battery-dependent portable device applications where most image sensors are used. By combining all camera functions on a single chip, from the capture of photons to the output of digital bits, CMOS image sensors reduce the part-count of a digital camera system, which in turn increases reliability, eases miniaturization, and enables on-chip programming of frame size, windowing, exposure and other camera parameters. The Company’s CMOS image sensors are also capable of producing high-quality images in low-light conditions. The Company’s low-leakage DRAM processes are particularly well-suited for the manufacture of CMOS image sensors.</w:t>
      </w:r>
    </w:p>
    <w:p>
      <w:pPr>
        <w:spacing w:after="0" w:line="184" w:lineRule="exact"/>
        <w:rPr>
          <w:sz w:val="20"/>
          <w:szCs w:val="20"/>
          <w:color w:val="auto"/>
        </w:rPr>
      </w:pPr>
    </w:p>
    <w:p>
      <w:pPr>
        <w:jc w:val="both"/>
        <w:ind w:right="220"/>
        <w:spacing w:after="0" w:line="302" w:lineRule="auto"/>
        <w:rPr>
          <w:sz w:val="20"/>
          <w:szCs w:val="20"/>
          <w:color w:val="auto"/>
        </w:rPr>
      </w:pPr>
      <w:r>
        <w:rPr>
          <w:rFonts w:ascii="Arial" w:cs="Arial" w:eastAsia="Arial" w:hAnsi="Arial"/>
          <w:sz w:val="14"/>
          <w:szCs w:val="14"/>
          <w:color w:val="auto"/>
        </w:rPr>
        <w:t>The Company conducts its Imaging operations under the Aptina brand name. Sales of Imaging products were 11%, 12% and 14% of the Company’s total net sales in 2008, 2007 and 2006, respectively. The overall market for image sensors is expected to increase over the next several years due to the growth forecasted for applications such as phone cameras and digital still cameras. CMOS image sensors are also expected to capture an increasing percentage of the overall image sensor market.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Manufacturing</w:t>
      </w:r>
    </w:p>
    <w:p>
      <w:pPr>
        <w:spacing w:after="0" w:line="218"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The Company’s manufacturing facilities are located in the United States, China, Italy, Japan, Puerto Rico and Singapore. The Company’s manufacturing facilities generally operate 24 hours per day, 7 days per week. Semiconductor manufacturing is extremely capital intensive, requiring large investments in sophisticated facilities and equipment. Most semiconductor equipment must be replaced every three to five years with increasingly advanced equipment.</w:t>
      </w:r>
    </w:p>
    <w:p>
      <w:pPr>
        <w:spacing w:after="0" w:line="174"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Company’s process for manufacturing semiconductor products is complex, involving a number of precise steps, including wafer fabrication, assembly and test. Efficient production of semiconductor products requires utilization of advanced semiconductor manufacturing techniques and effective deployment of these techniques across multiple facilities. The primary determinants of manufacturing cost are die size, number of mask layers, number of fabrication steps and number of good die produced on each wafer. Other factors that contribute to manufacturing costs are wafer size, cost and sophistication of manufacturing equipment, equipment utilization, process complexity, cost of raw materials, labor productivity, package type and cleanliness of the manufacturing environment. The Company is continuously enhancing its production processes, reducing die sizes and transitioning to higher density products. In 2008, the Company manufactured most of its DRAM products using its 78nm and 68nm line-width process technology and began transferring its DRAM production to 58nm line-width process technology. The Company expects to continue to transfer more of its DRAM production to 58nm line-width process technology in 2009. In 2008, the Company manufactured most of its NAND Flash memory products using its 50nm line-width process technology and began transferring its NAND production to 34nm line-width process technology. The Company expects that in 2009 the majority of its NAND Flash memory products will be manufactured using its 34nm line-width process technology. In 2008 and 2007, the Company significantly increased its 300mm wafer production as IM Flash ramped production at two 300mm wafer fabrication facilities and the Company’s TECH joint venture converted its DRAM production to 300mm wafers.</w:t>
      </w:r>
    </w:p>
    <w:p>
      <w:pPr>
        <w:spacing w:after="0" w:line="186"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Wafer fabrication occurs in a highly controlled, clean environment to minimize dust and other yield- and quality-limiting contaminants. Despite stringent manufacturing controls, dust particles, equipment errors, minute impurities in materials, defects in photomasks and circuit design marginalities or defects can lead to wafers being scrapped and individual circuits being nonfunctional. Success of the Company’s manufacturing operations depends largely on minimizing defects to maximize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80"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After fabrication, silicon wafers are separated into individual die. The Company sells semiconductor products in both packaged and unpackaged (i.e. “bare die”) forms. For packaged products, functional die are sorted, connected to external leads and encapsulated in plastic packages. The Company assembles products in a variety of packages, including TSOP (thin small outline package), TQFP (thin quad flat package) and FBGA (fine pitch ball grid array). Bare die products address customer requirements for smaller form factors and higher memory densities and provide superior flexibility. Bare die products are used in packaging technologies such as systems-in-a-package (SIPs) and multi-chip packages (MCPs), which reduce the board area required.</w:t>
      </w:r>
    </w:p>
    <w:p>
      <w:pPr>
        <w:spacing w:after="0" w:line="180"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DRAM die during the burn-in process, capturing quality and reliability data and reducing testing time and cost.</w:t>
      </w:r>
    </w:p>
    <w:p>
      <w:pPr>
        <w:spacing w:after="0" w:line="174" w:lineRule="exact"/>
        <w:rPr>
          <w:sz w:val="20"/>
          <w:szCs w:val="20"/>
          <w:color w:val="auto"/>
        </w:rPr>
      </w:pPr>
    </w:p>
    <w:p>
      <w:pPr>
        <w:ind w:right="240"/>
        <w:spacing w:after="0" w:line="274" w:lineRule="auto"/>
        <w:rPr>
          <w:sz w:val="20"/>
          <w:szCs w:val="20"/>
          <w:color w:val="auto"/>
        </w:rPr>
      </w:pPr>
      <w:r>
        <w:rPr>
          <w:rFonts w:ascii="Arial" w:cs="Arial" w:eastAsia="Arial" w:hAnsi="Arial"/>
          <w:sz w:val="15"/>
          <w:szCs w:val="15"/>
          <w:color w:val="auto"/>
        </w:rPr>
        <w:t>The Company assembles a significant portion of its memory products into memory modules. Memory modules consist of an array of memory components attached to printed circuit boards (“PCBs”) that insert directly into computer systems or other electronic devices. The Company’s Lexar subsidiary contracts with an independent foundry and assembly and testing organizations to manufacture flash media products such as memory cards and USB devices.</w:t>
      </w:r>
    </w:p>
    <w:p>
      <w:pPr>
        <w:spacing w:after="0" w:line="174"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The Company is pursuing alternatives to reduce its assembly, test and module assembly costs, including relocation of current operations to lower cost locations and outsourcing. These alternatives could affect the Company’s manufacturing processes in future periods.</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In recent years the Company has produced an increasingly broad portfolio of products, which enhances the Company’s ability to allocate resources to its most profitable products but increases the complexity of its manufacturing process. Although new product lines such as NAND Flash, CMOS image sensors and specialty memory can be manufactured using processes that are very similar to the processes for the Company’s predominant DRAM products, frequent conversions to new products and the allocation of manufacturing capacity to more complex, smaller-volume parts can affect the Company’s cost efficiency.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6" w:name="page7"/>
    <w:bookmarkEnd w:id="6"/>
    <w:p>
      <w:pPr>
        <w:ind w:right="60"/>
        <w:spacing w:after="0" w:line="293" w:lineRule="auto"/>
        <w:rPr>
          <w:sz w:val="20"/>
          <w:szCs w:val="20"/>
          <w:color w:val="auto"/>
        </w:rPr>
      </w:pPr>
      <w:r>
        <w:rPr>
          <w:rFonts w:ascii="Arial" w:cs="Arial" w:eastAsia="Arial" w:hAnsi="Arial"/>
          <w:sz w:val="14"/>
          <w:szCs w:val="14"/>
          <w:b w:val="1"/>
          <w:bCs w:val="1"/>
          <w:i w:val="1"/>
          <w:iCs w:val="1"/>
          <w:color w:val="auto"/>
        </w:rPr>
        <w:t xml:space="preserve">NAND Flash Joint Ventures with Intel Corporation: </w:t>
      </w:r>
      <w:r>
        <w:rPr>
          <w:rFonts w:ascii="Arial" w:cs="Arial" w:eastAsia="Arial" w:hAnsi="Arial"/>
          <w:sz w:val="14"/>
          <w:szCs w:val="14"/>
          <w:color w:val="auto"/>
        </w:rPr>
        <w:t>The Company has formed two joint ventures with Intel to manufacture NAND Flash memory products for the exclusive benefit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the partners: IM Flash Technologies, LLC and IM Flash Singapore LLP (collectively, “IM Flash”). IM Flash manufactures NAND Flash memory products pursuant to NAND Flash designs developed by the Company and Intel and licensed to the Company. The parties share the output of IM Flash generally in proportion to their investment in IM Flash. The Company owned a 51% interest in IM Flash at August 28, 2008. IM Flash’s financial results are included in the consolidated financial statements of the Company.</w:t>
      </w:r>
    </w:p>
    <w:p>
      <w:pPr>
        <w:spacing w:after="0" w:line="164"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On October 9, 2008, the Company announced that IM Flash will discontinue production of 200mm wafer NAND flash memory products at Micron’s Boise facility. The NAND Flash production shutdown will reduce IM Flash’s NAND flash production by approximately 35,000 200mm wafers per month. The Company will continue to manufacture a significantly reduced level of NAND Flash at the Boise facility outside of the IM Flash joint venture. In the first quarter of 2009, IM Flash substantially completed construction of a new 300mm wafer fabrication facility structure in Singapore. The Singapore facility has not been equipped and in October 2009 the Company and Intel agreed to suspend tooling and the ramp of NAND Flash production at the facility. (See “Item 8. Financial Statements and Supplementary Data – Notes to Consolidated Financial Statements – Joint Ventures – NAND Flash Joint Ventures with Intel.”)</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i w:val="1"/>
          <w:iCs w:val="1"/>
          <w:color w:val="auto"/>
        </w:rPr>
        <w:t xml:space="preserve">TECH Semiconductor Singapore Pte. Ltd. (“TECH”): </w:t>
      </w:r>
      <w:r>
        <w:rPr>
          <w:rFonts w:ascii="Arial" w:cs="Arial" w:eastAsia="Arial" w:hAnsi="Arial"/>
          <w:sz w:val="15"/>
          <w:szCs w:val="15"/>
          <w:color w:val="auto"/>
        </w:rPr>
        <w:t>TECH is a memory manufacturing joint venture in Singapore among Micron Technology, Inc., Canon Inc. and Hewlett-Packard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The Company owned an approximate 73% interest in TECH at August 28, 2008. TECH’s semiconductor manufacturing facilities use the Company’s product and process technology. Subject to specific terms and conditions, the Company has agreed to purchase all of the products manufactured by TECH. In 2008, TECH accounted for approximately 12% of the Company’s total wafer production. TECH completed its conversion of its manufacturing production from 200mm to 300mm wafers in 2008. TECH’s financial results were included in the consolidated financial statements of the Company beginning in the third quarter of 2006. (See “Item 8. Financial Statements and Supplementary Data – Notes to Consolidated Financial Statements – Joint Ventures – TECH Semiconductor Singapore Pte. Ltd.”)</w:t>
      </w:r>
    </w:p>
    <w:p>
      <w:pPr>
        <w:spacing w:after="0" w:line="195"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b w:val="1"/>
          <w:bCs w:val="1"/>
          <w:i w:val="1"/>
          <w:iCs w:val="1"/>
          <w:color w:val="auto"/>
        </w:rPr>
        <w:t xml:space="preserve">DRAM Joint Ventures with Nanya: </w:t>
      </w:r>
      <w:r>
        <w:rPr>
          <w:rFonts w:ascii="Arial" w:cs="Arial" w:eastAsia="Arial" w:hAnsi="Arial"/>
          <w:sz w:val="15"/>
          <w:szCs w:val="15"/>
          <w:color w:val="auto"/>
        </w:rPr>
        <w:t>On October 12, 2008, the Company announced that it had entered into an agreement to acquire Qimonda’s 35.6% ownership stake in Inotera,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Taiwanese DRAM memory manufacturer. Inotera is expected to implement the Company’s stack DRAM process technology. The Company will eventually gain access to approximately 60,000 300mm DRAM wafers per month, 50% of Inotera’s output. (See “Item 8. Financial Statements and Supplementary Data – Notes to Consolidated Financial Statements – Joint Ventures – DRAM Joint Ventures with Nanya Technology Corporation.”)</w:t>
      </w:r>
    </w:p>
    <w:p>
      <w:pPr>
        <w:spacing w:after="0" w:line="180" w:lineRule="exact"/>
        <w:rPr>
          <w:sz w:val="20"/>
          <w:szCs w:val="20"/>
          <w:color w:val="auto"/>
        </w:rPr>
      </w:pPr>
    </w:p>
    <w:p>
      <w:pPr>
        <w:ind w:right="200"/>
        <w:spacing w:after="0" w:line="266" w:lineRule="auto"/>
        <w:rPr>
          <w:sz w:val="20"/>
          <w:szCs w:val="20"/>
          <w:color w:val="auto"/>
        </w:rPr>
      </w:pPr>
      <w:r>
        <w:rPr>
          <w:rFonts w:ascii="Arial" w:cs="Arial" w:eastAsia="Arial" w:hAnsi="Arial"/>
          <w:sz w:val="15"/>
          <w:szCs w:val="15"/>
          <w:b w:val="1"/>
          <w:bCs w:val="1"/>
          <w:i w:val="1"/>
          <w:iCs w:val="1"/>
          <w:color w:val="auto"/>
        </w:rPr>
        <w:t xml:space="preserve">MP Mask Technology Center, LLC (“MP Mask”): </w:t>
      </w:r>
      <w:r>
        <w:rPr>
          <w:rFonts w:ascii="Arial" w:cs="Arial" w:eastAsia="Arial" w:hAnsi="Arial"/>
          <w:sz w:val="15"/>
          <w:szCs w:val="15"/>
          <w:color w:val="auto"/>
        </w:rPr>
        <w:t>The Company produces photomasks for leading-edge and advanced next generation semiconductors through MP Mask, a joint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venture with Photronics, Inc. (“Photronics”). The Company and Photronics have 50.01% and 49.99% interest, respectively, in MP Mask. The Company and Photronics also have supply arrangements wherein the Company purchases a substantial majority of the reticles produced by MP Mask. The financial results of MP Mask are included in the consolidated financial results of the Company. (See “Item 8. Financial Statements and Supplementary Data – Notes to Consolidated Financial Statements – Joint Ventures – MP Mask Technology Center, LLC.”)</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Availability of Raw Materials</w:t>
      </w:r>
    </w:p>
    <w:p>
      <w:pPr>
        <w:spacing w:after="0" w:line="218"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The Company’s production processes require raw materials that meet exacting standards, including several that are customized for, or unique to, the Company. The Company generally has multiple sources and sufficient availability of supply; however, only a limited number of suppliers are capable of delivering certain raw materials that meet the Company’s standards. Various factors could reduce the availability of raw materials such as silicon wafers, photomasks, chemicals, gases, lead frames, molding compound and other materials. In addition, any transportation problems could delay the Company’s receipt of raw 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Marketing and Customers</w:t>
      </w:r>
    </w:p>
    <w:p>
      <w:pPr>
        <w:spacing w:after="0" w:line="218"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The Company’s products are sold into computing, consumer, networking, telecommunications, and imaging markets. Approximately 50% of the Company’s net sales for 2008 were to the computing market, including desktop PCs, servers, notebooks and workstations. Sales to Intel, primarily for NAND Flash from the IM Flash joint ventures, were 19% of the Company’s net sales in 2008. Sales to Hewlett-Packard Company were 10% of the Company’s net sales in 2007.</w:t>
      </w:r>
    </w:p>
    <w:p>
      <w:pPr>
        <w:spacing w:after="0" w:line="174"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The Company’s Memory products are offered under the Micron, Lexar, SpecTek and Crucial brand names and private labels. The Company’s Imaging products are offered under the Aptina brand name. The Company markets its semiconductor products primarily through its own direct sales force and maintains sales offices in its primary markets around the world. The Company maintains inventory at locations in close proximity to certain key customers to facilitate rapid delivery of product shipments. The Company’s Lexar subsidiary sells NAND Flash memory products through retail and OEM channels. The Company’s Crucial Technology division sells memory products through a web-based customer direct sales channel. The Company’s products are also offered through independent sales representatives and distributors. Independent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The Company offers products designed to meet the diverse needs of computing, server, automotive, networking, security, commercial/industrial, consumer electronics, medical and mobile applications. Many of the Company’s customers require a thorough review or qualification of semiconductor products, which may take several months. As the Company further diversifies its product lines and reduces the die sizes of existing products, more products become subject to qualification which may delay volume introduction of specific devices by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18"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Because of volatile industry conditions customers are reluctant to enter into long-term, fixed-price contracts. Accordingly, new order volumes for the Company’s semiconductor products fluctuate significantly. Orders are typically accepted with acknowledgment that the terms may be adjusted to reflect market conditions at the date of shipment. Customers can change delivery schedules or cancel orders without significant penalty. For these reasons, the Company does not believe that its order backlog as of any particular date is a reliable indicator of actual sales for any succeeding period.</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Warranty</w:t>
      </w:r>
    </w:p>
    <w:p>
      <w:pPr>
        <w:spacing w:after="0" w:line="218"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Because the design and manufacturing process for semiconductor products is highly complex, it is possible that the Company may produce products that do not comply with customer specifications, contain defects or are otherwise incompatible with end uses. In accordance with industry practice, the Company generally provides a limited warranty that its products are in compliance with Company specifications existing at 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more extensive liability than that provided under the Company’s general terms and conditions.</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8"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Company faces intense competition in the semiconductor memory markets from a number of companies, including Elpida Memory, Inc.; Hynix Semiconductor Inc.; Qimonda AG; Samsung Electronics Co., Ltd; SanDisk Corporation; Toshiba Corporation and emerging companies in Taiwan and China. Some of the Company’s competitors are large corporations or conglomerates that may have greater resources to withstand downturns in the semiconductor markets in which the Company competes, invest in technology and capitalize on growth opportunities. The Company’s competitors seek to increase silicon capacity, improve yields, reduce die size and minimize mask levels in their product designs. These factors have significantly increased worldwide supply and put downward pressure on prices.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8" w:name="page9"/>
    <w:bookmarkEnd w:id="8"/>
    <w:p>
      <w:pPr>
        <w:ind w:right="160"/>
        <w:spacing w:after="0" w:line="266" w:lineRule="auto"/>
        <w:rPr>
          <w:sz w:val="20"/>
          <w:szCs w:val="20"/>
          <w:color w:val="auto"/>
        </w:rPr>
      </w:pPr>
      <w:r>
        <w:rPr>
          <w:rFonts w:ascii="Arial" w:cs="Arial" w:eastAsia="Arial" w:hAnsi="Arial"/>
          <w:sz w:val="15"/>
          <w:szCs w:val="15"/>
          <w:color w:val="auto"/>
        </w:rPr>
        <w:t>The Company faces competition in the image sensor market from a number of suppliers of CMOS image sensors including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may have greater presence in key markets, better access to certain customer bases, greater name recognition and more established strategic and financial relationships than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18"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Company’s process technology research and development (“R&amp;D”) efforts are focused primarily on development of successively smaller line-width process technologies which are designed to facilitate the Company’s transition to next generation memory products and CMOS image sensors. Additional process technology R&amp;D efforts focus on advanced computing and mobile memory architectures and new manufacturing materials. Product design and development efforts are concentrated on the Company’s 1 Gb and 2 Gb DDR2 and DDR3 products as well as high density and mobile NAND Flash memory (including MLC technology), specialty memory products, memory systems and CMOS image sensors. The Company’s R&amp;D expenses were $680 million, $805 million and $656 million in 2008, 2007 and 2006, respectively.</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To compete in the semiconductor memory industry, the Company must continue to develop technologically advanced products and processes. The Company believes that expansion of its semiconductor product offerings is necessary to meet expected market demand for specific memory and imaging solutions. The Company has several product design centers around the world, the largest located at its corporate headquarters in Boise, Idaho. In addition, the Company develops leading edge photolithography mask technology at its MP Mask joint venture facility in Boise.</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The Company and Intel share R&amp;D process and design costs for NAND Flash equally. The Company and Nanya also jointly develop process technology and designs to manufacture stack DRAM products with each party bearing its own development costs until such time that the development costs exceed a specified amount, following which such costs would be shared. The Company’s development costs are expected to exceed Nanya’s development costs by a significant amount. Product development costs are recorded as R&amp;D expense.</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Information</w:t>
      </w:r>
    </w:p>
    <w:p>
      <w:pPr>
        <w:spacing w:after="0" w:line="218"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Sales to customers outside the United States totaled $4.4 billion for 2008 and included $1.4 billion in sales to China, $559 million in sales to Europe, $441 million in sales to Japan and $1.7 billion in sales to the Asia Pacific region (excluding China and Japan). International sales totaled $4.0 billion for 2007 and $3.6 billion for 2006. As of August 28, 2008, the Company had net property, plant and equipment of $6.0 billion in the United States, $2.3 billion in Singapore, $259 million in Italy, $171 million in Japan and $32 million in other countries. (See “Item 8. Financial Statements and Supplementary Data – Notes to Consolidated Financial Statements – Geographic Information” and “Item 1A. Risk Factors.”)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Licenses</w:t>
      </w:r>
    </w:p>
    <w:p>
      <w:pPr>
        <w:spacing w:after="0" w:line="218" w:lineRule="exact"/>
        <w:rPr>
          <w:sz w:val="20"/>
          <w:szCs w:val="20"/>
          <w:color w:val="auto"/>
        </w:rPr>
      </w:pPr>
    </w:p>
    <w:p>
      <w:pPr>
        <w:ind w:right="120"/>
        <w:spacing w:after="0" w:line="328" w:lineRule="auto"/>
        <w:rPr>
          <w:sz w:val="20"/>
          <w:szCs w:val="20"/>
          <w:color w:val="auto"/>
        </w:rPr>
      </w:pPr>
      <w:r>
        <w:rPr>
          <w:rFonts w:ascii="Arial" w:cs="Arial" w:eastAsia="Arial" w:hAnsi="Arial"/>
          <w:sz w:val="14"/>
          <w:szCs w:val="14"/>
          <w:color w:val="auto"/>
        </w:rPr>
        <w:t>In recent years, the Company has been recognized as a leader in volume and quality of patents issued. As of August 28, 2008, the Company owned approximately 17,300 U.S. patents and 2,600 foreign patents. In addition, the Company has numerous U.S. and foreign patent applications pending. The Company’s patents have terms expiring through 2026.</w:t>
      </w:r>
    </w:p>
    <w:p>
      <w:pPr>
        <w:spacing w:after="0" w:line="140"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9" w:name="page10"/>
    <w:bookmarkEnd w:id="9"/>
    <w:p>
      <w:pPr>
        <w:ind w:right="460"/>
        <w:spacing w:after="0" w:line="290" w:lineRule="auto"/>
        <w:rPr>
          <w:sz w:val="20"/>
          <w:szCs w:val="20"/>
          <w:color w:val="auto"/>
        </w:rPr>
      </w:pPr>
      <w:r>
        <w:rPr>
          <w:rFonts w:ascii="Arial" w:cs="Arial" w:eastAsia="Arial" w:hAnsi="Arial"/>
          <w:sz w:val="15"/>
          <w:szCs w:val="15"/>
          <w:color w:val="auto"/>
        </w:rPr>
        <w:t>In recent years, the Company has recovered some of its investment in technology through sales of intellectual property rights to joint venture partners and other third parties. The Company is pursing further opportunities to recover its investment in intellectual property through partnering arrangements.</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18" w:lineRule="exact"/>
        <w:rPr>
          <w:sz w:val="20"/>
          <w:szCs w:val="20"/>
          <w:color w:val="auto"/>
        </w:rPr>
      </w:pPr>
    </w:p>
    <w:p>
      <w:pPr>
        <w:ind w:right="40"/>
        <w:spacing w:after="0" w:line="312" w:lineRule="auto"/>
        <w:rPr>
          <w:sz w:val="20"/>
          <w:szCs w:val="20"/>
          <w:color w:val="auto"/>
        </w:rPr>
      </w:pPr>
      <w:r>
        <w:rPr>
          <w:rFonts w:ascii="Arial" w:cs="Arial" w:eastAsia="Arial" w:hAnsi="Arial"/>
          <w:sz w:val="13"/>
          <w:szCs w:val="13"/>
          <w:color w:val="auto"/>
        </w:rPr>
        <w:t>As of August 28, 2008, the Company had approximately 22,800 employees, including approximately 12,300 in the United States, 5,900 in Singapore, 2,100 in Italy, 1,500 in Japan, 500 in China and 300 in the United Kingdom. The Company’s employees include 2,300 employees in its IM Flash joint ventures that are located in the United States and Singapore and 2,200 employees in its TECH joint venture that are located in Singapore. Approximately 400 of the Company’s employees in Italy are represented by labor organizations that have entered into national and local labor contracts with the Company. The Company’s employment levels can vary depending on market conditions and the level of the Company’s production, research and product and process development. Many of the Company’s employees are highly skilled, and the Company’s continued success depends in part upon its ability to attract and retain such employees. The loss of key Company personnel could have a material adverse effect on the Company’s business, results of operations or financial condition.</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Compliance</w:t>
      </w:r>
    </w:p>
    <w:p>
      <w:pPr>
        <w:spacing w:after="0" w:line="218"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auto"/>
        </w:rPr>
        <w:t>Government regulations impose various environmental controls on raw materials and discharges, emissions and solid wastes from the Company’s manufacturing processes. In 2008, the Company’s wafer wholly-owned fabrication facilities continued to conform to the requirements of ISO 14001 certification. To continue certification, the Company met annual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regulations, changes in the regulations could necessitate additional capital expenditures, modification of operations or other compliance actions.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 of the Registrant</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174" w:lineRule="exact"/>
        <w:rPr>
          <w:sz w:val="20"/>
          <w:szCs w:val="20"/>
          <w:color w:val="auto"/>
        </w:rPr>
      </w:pPr>
    </w:p>
    <w:p>
      <w:pPr>
        <w:ind w:right="340"/>
        <w:spacing w:after="0" w:line="290" w:lineRule="auto"/>
        <w:rPr>
          <w:sz w:val="20"/>
          <w:szCs w:val="20"/>
          <w:color w:val="auto"/>
        </w:rPr>
      </w:pPr>
      <w:r>
        <w:rPr>
          <w:rFonts w:ascii="Arial" w:cs="Arial" w:eastAsia="Arial" w:hAnsi="Arial"/>
          <w:sz w:val="15"/>
          <w:szCs w:val="15"/>
          <w:color w:val="auto"/>
        </w:rPr>
        <w:t>As of August 28, 2008, the following executive officers and directors of the Company were subject to the reporting requirements of Section 16(a) of the Securities Exchange Act of 1934, as amended.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1600" w:type="dxa"/>
            <w:vAlign w:val="bottom"/>
            <w:tcBorders>
              <w:bottom w:val="single" w:sz="8" w:color="auto"/>
            </w:tcBorders>
          </w:tcPr>
          <w:p>
            <w:pPr>
              <w:jc w:val="center"/>
              <w:ind w:left="903"/>
              <w:spacing w:after="0"/>
              <w:rPr>
                <w:sz w:val="20"/>
                <w:szCs w:val="20"/>
                <w:color w:val="auto"/>
              </w:rPr>
            </w:pPr>
            <w:r>
              <w:rPr>
                <w:rFonts w:ascii="Arial" w:cs="Arial" w:eastAsia="Arial" w:hAnsi="Arial"/>
                <w:sz w:val="15"/>
                <w:szCs w:val="15"/>
                <w:b w:val="1"/>
                <w:bCs w:val="1"/>
                <w:color w:val="auto"/>
                <w:w w:val="91"/>
              </w:rPr>
              <w:t>Age</w:t>
            </w:r>
          </w:p>
        </w:tc>
        <w:tc>
          <w:tcPr>
            <w:tcW w:w="722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Position</w:t>
            </w:r>
          </w:p>
        </w:tc>
        <w:tc>
          <w:tcPr>
            <w:tcW w:w="140" w:type="dxa"/>
            <w:vAlign w:val="bottom"/>
          </w:tcPr>
          <w:p>
            <w:pPr>
              <w:spacing w:after="0"/>
              <w:rPr>
                <w:sz w:val="17"/>
                <w:szCs w:val="17"/>
                <w:color w:val="auto"/>
              </w:rPr>
            </w:pP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Mark W. Adams</w:t>
            </w:r>
          </w:p>
        </w:tc>
        <w:tc>
          <w:tcPr>
            <w:tcW w:w="1600" w:type="dxa"/>
            <w:vAlign w:val="bottom"/>
            <w:shd w:val="clear" w:color="auto" w:fill="CCEEFF"/>
          </w:tcPr>
          <w:p>
            <w:pPr>
              <w:jc w:val="center"/>
              <w:ind w:left="923"/>
              <w:spacing w:after="0"/>
              <w:rPr>
                <w:sz w:val="20"/>
                <w:szCs w:val="20"/>
                <w:color w:val="auto"/>
              </w:rPr>
            </w:pPr>
            <w:r>
              <w:rPr>
                <w:rFonts w:ascii="Arial" w:cs="Arial" w:eastAsia="Arial" w:hAnsi="Arial"/>
                <w:sz w:val="15"/>
                <w:szCs w:val="15"/>
                <w:color w:val="auto"/>
                <w:w w:val="95"/>
              </w:rPr>
              <w:t>44</w:t>
            </w: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Vice President of Worldwide Sales</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Steven R. Appleton</w:t>
            </w:r>
          </w:p>
        </w:tc>
        <w:tc>
          <w:tcPr>
            <w:tcW w:w="1600" w:type="dxa"/>
            <w:vAlign w:val="bottom"/>
          </w:tcPr>
          <w:p>
            <w:pPr>
              <w:jc w:val="center"/>
              <w:ind w:left="923"/>
              <w:spacing w:after="0"/>
              <w:rPr>
                <w:sz w:val="20"/>
                <w:szCs w:val="20"/>
                <w:color w:val="auto"/>
              </w:rPr>
            </w:pPr>
            <w:r>
              <w:rPr>
                <w:rFonts w:ascii="Arial" w:cs="Arial" w:eastAsia="Arial" w:hAnsi="Arial"/>
                <w:sz w:val="15"/>
                <w:szCs w:val="15"/>
                <w:color w:val="auto"/>
                <w:w w:val="95"/>
              </w:rPr>
              <w:t>48</w:t>
            </w:r>
          </w:p>
        </w:tc>
        <w:tc>
          <w:tcPr>
            <w:tcW w:w="7360" w:type="dxa"/>
            <w:vAlign w:val="bottom"/>
            <w:gridSpan w:val="2"/>
          </w:tcPr>
          <w:p>
            <w:pPr>
              <w:ind w:left="180"/>
              <w:spacing w:after="0"/>
              <w:rPr>
                <w:sz w:val="20"/>
                <w:szCs w:val="20"/>
                <w:color w:val="auto"/>
              </w:rPr>
            </w:pPr>
            <w:r>
              <w:rPr>
                <w:rFonts w:ascii="Arial" w:cs="Arial" w:eastAsia="Arial" w:hAnsi="Arial"/>
                <w:sz w:val="15"/>
                <w:szCs w:val="15"/>
                <w:color w:val="auto"/>
              </w:rPr>
              <w:t>Chairman and Chief Executive Officer</w:t>
            </w: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Kipp A. Bedard</w:t>
            </w:r>
          </w:p>
        </w:tc>
        <w:tc>
          <w:tcPr>
            <w:tcW w:w="1600" w:type="dxa"/>
            <w:vAlign w:val="bottom"/>
            <w:shd w:val="clear" w:color="auto" w:fill="CCEEFF"/>
          </w:tcPr>
          <w:p>
            <w:pPr>
              <w:jc w:val="center"/>
              <w:ind w:left="923"/>
              <w:spacing w:after="0"/>
              <w:rPr>
                <w:sz w:val="20"/>
                <w:szCs w:val="20"/>
                <w:color w:val="auto"/>
              </w:rPr>
            </w:pPr>
            <w:r>
              <w:rPr>
                <w:rFonts w:ascii="Arial" w:cs="Arial" w:eastAsia="Arial" w:hAnsi="Arial"/>
                <w:sz w:val="15"/>
                <w:szCs w:val="15"/>
                <w:color w:val="auto"/>
                <w:w w:val="95"/>
              </w:rPr>
              <w:t>49</w:t>
            </w: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Vice President of Investor Relations</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D. Mark Durcan</w:t>
            </w:r>
          </w:p>
        </w:tc>
        <w:tc>
          <w:tcPr>
            <w:tcW w:w="1600" w:type="dxa"/>
            <w:vAlign w:val="bottom"/>
          </w:tcPr>
          <w:p>
            <w:pPr>
              <w:jc w:val="center"/>
              <w:ind w:left="923"/>
              <w:spacing w:after="0"/>
              <w:rPr>
                <w:sz w:val="20"/>
                <w:szCs w:val="20"/>
                <w:color w:val="auto"/>
              </w:rPr>
            </w:pPr>
            <w:r>
              <w:rPr>
                <w:rFonts w:ascii="Arial" w:cs="Arial" w:eastAsia="Arial" w:hAnsi="Arial"/>
                <w:sz w:val="15"/>
                <w:szCs w:val="15"/>
                <w:color w:val="auto"/>
                <w:w w:val="95"/>
              </w:rPr>
              <w:t>47</w:t>
            </w:r>
          </w:p>
        </w:tc>
        <w:tc>
          <w:tcPr>
            <w:tcW w:w="7360" w:type="dxa"/>
            <w:vAlign w:val="bottom"/>
            <w:gridSpan w:val="2"/>
          </w:tcPr>
          <w:p>
            <w:pPr>
              <w:ind w:left="180"/>
              <w:spacing w:after="0"/>
              <w:rPr>
                <w:sz w:val="20"/>
                <w:szCs w:val="20"/>
                <w:color w:val="auto"/>
              </w:rPr>
            </w:pPr>
            <w:r>
              <w:rPr>
                <w:rFonts w:ascii="Arial" w:cs="Arial" w:eastAsia="Arial" w:hAnsi="Arial"/>
                <w:sz w:val="15"/>
                <w:szCs w:val="15"/>
                <w:color w:val="auto"/>
              </w:rPr>
              <w:t>President and Chief Operating Officer</w:t>
            </w: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Ronald C. Foster</w:t>
            </w:r>
          </w:p>
        </w:tc>
        <w:tc>
          <w:tcPr>
            <w:tcW w:w="1600" w:type="dxa"/>
            <w:vAlign w:val="bottom"/>
            <w:shd w:val="clear" w:color="auto" w:fill="CCEEFF"/>
          </w:tcPr>
          <w:p>
            <w:pPr>
              <w:jc w:val="center"/>
              <w:ind w:left="923"/>
              <w:spacing w:after="0"/>
              <w:rPr>
                <w:sz w:val="20"/>
                <w:szCs w:val="20"/>
                <w:color w:val="auto"/>
              </w:rPr>
            </w:pPr>
            <w:r>
              <w:rPr>
                <w:rFonts w:ascii="Arial" w:cs="Arial" w:eastAsia="Arial" w:hAnsi="Arial"/>
                <w:sz w:val="15"/>
                <w:szCs w:val="15"/>
                <w:color w:val="auto"/>
                <w:w w:val="95"/>
              </w:rPr>
              <w:t>57</w:t>
            </w: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Vice President of Finance and Chief Financial Officer</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Jay L. Hawkins</w:t>
            </w:r>
          </w:p>
        </w:tc>
        <w:tc>
          <w:tcPr>
            <w:tcW w:w="1600" w:type="dxa"/>
            <w:vAlign w:val="bottom"/>
          </w:tcPr>
          <w:p>
            <w:pPr>
              <w:jc w:val="center"/>
              <w:ind w:left="923"/>
              <w:spacing w:after="0"/>
              <w:rPr>
                <w:sz w:val="20"/>
                <w:szCs w:val="20"/>
                <w:color w:val="auto"/>
              </w:rPr>
            </w:pPr>
            <w:r>
              <w:rPr>
                <w:rFonts w:ascii="Arial" w:cs="Arial" w:eastAsia="Arial" w:hAnsi="Arial"/>
                <w:sz w:val="15"/>
                <w:szCs w:val="15"/>
                <w:color w:val="auto"/>
                <w:w w:val="95"/>
              </w:rPr>
              <w:t>48</w:t>
            </w:r>
          </w:p>
        </w:tc>
        <w:tc>
          <w:tcPr>
            <w:tcW w:w="7360" w:type="dxa"/>
            <w:vAlign w:val="bottom"/>
            <w:gridSpan w:val="2"/>
          </w:tcPr>
          <w:p>
            <w:pPr>
              <w:ind w:left="180"/>
              <w:spacing w:after="0"/>
              <w:rPr>
                <w:sz w:val="20"/>
                <w:szCs w:val="20"/>
                <w:color w:val="auto"/>
              </w:rPr>
            </w:pPr>
            <w:r>
              <w:rPr>
                <w:rFonts w:ascii="Arial" w:cs="Arial" w:eastAsia="Arial" w:hAnsi="Arial"/>
                <w:sz w:val="15"/>
                <w:szCs w:val="15"/>
                <w:color w:val="auto"/>
              </w:rPr>
              <w:t>Vice President of Operations</w:t>
            </w: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Roderic W. Lewis</w:t>
            </w:r>
          </w:p>
        </w:tc>
        <w:tc>
          <w:tcPr>
            <w:tcW w:w="1600" w:type="dxa"/>
            <w:vAlign w:val="bottom"/>
            <w:shd w:val="clear" w:color="auto" w:fill="CCEEFF"/>
          </w:tcPr>
          <w:p>
            <w:pPr>
              <w:jc w:val="center"/>
              <w:ind w:left="923"/>
              <w:spacing w:after="0"/>
              <w:rPr>
                <w:sz w:val="20"/>
                <w:szCs w:val="20"/>
                <w:color w:val="auto"/>
              </w:rPr>
            </w:pPr>
            <w:r>
              <w:rPr>
                <w:rFonts w:ascii="Arial" w:cs="Arial" w:eastAsia="Arial" w:hAnsi="Arial"/>
                <w:sz w:val="15"/>
                <w:szCs w:val="15"/>
                <w:color w:val="auto"/>
                <w:w w:val="95"/>
              </w:rPr>
              <w:t>53</w:t>
            </w: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Vice President of Legal Affairs, General Counsel and Corporate Secretary</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Patrick T. Otte</w:t>
            </w:r>
          </w:p>
        </w:tc>
        <w:tc>
          <w:tcPr>
            <w:tcW w:w="1600" w:type="dxa"/>
            <w:vAlign w:val="bottom"/>
          </w:tcPr>
          <w:p>
            <w:pPr>
              <w:jc w:val="center"/>
              <w:ind w:left="923"/>
              <w:spacing w:after="0"/>
              <w:rPr>
                <w:sz w:val="20"/>
                <w:szCs w:val="20"/>
                <w:color w:val="auto"/>
              </w:rPr>
            </w:pPr>
            <w:r>
              <w:rPr>
                <w:rFonts w:ascii="Arial" w:cs="Arial" w:eastAsia="Arial" w:hAnsi="Arial"/>
                <w:sz w:val="15"/>
                <w:szCs w:val="15"/>
                <w:color w:val="auto"/>
                <w:w w:val="95"/>
              </w:rPr>
              <w:t>46</w:t>
            </w:r>
          </w:p>
        </w:tc>
        <w:tc>
          <w:tcPr>
            <w:tcW w:w="7360" w:type="dxa"/>
            <w:vAlign w:val="bottom"/>
            <w:gridSpan w:val="2"/>
          </w:tcPr>
          <w:p>
            <w:pPr>
              <w:ind w:left="180"/>
              <w:spacing w:after="0"/>
              <w:rPr>
                <w:sz w:val="20"/>
                <w:szCs w:val="20"/>
                <w:color w:val="auto"/>
              </w:rPr>
            </w:pPr>
            <w:r>
              <w:rPr>
                <w:rFonts w:ascii="Arial" w:cs="Arial" w:eastAsia="Arial" w:hAnsi="Arial"/>
                <w:sz w:val="15"/>
                <w:szCs w:val="15"/>
                <w:color w:val="auto"/>
              </w:rPr>
              <w:t>Vice President of Human Resources</w:t>
            </w: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Brian J. Shields</w:t>
            </w:r>
          </w:p>
        </w:tc>
        <w:tc>
          <w:tcPr>
            <w:tcW w:w="1600" w:type="dxa"/>
            <w:vAlign w:val="bottom"/>
            <w:shd w:val="clear" w:color="auto" w:fill="CCEEFF"/>
          </w:tcPr>
          <w:p>
            <w:pPr>
              <w:jc w:val="center"/>
              <w:ind w:left="923"/>
              <w:spacing w:after="0"/>
              <w:rPr>
                <w:sz w:val="20"/>
                <w:szCs w:val="20"/>
                <w:color w:val="auto"/>
              </w:rPr>
            </w:pPr>
            <w:r>
              <w:rPr>
                <w:rFonts w:ascii="Arial" w:cs="Arial" w:eastAsia="Arial" w:hAnsi="Arial"/>
                <w:sz w:val="15"/>
                <w:szCs w:val="15"/>
                <w:color w:val="auto"/>
                <w:w w:val="95"/>
              </w:rPr>
              <w:t>47</w:t>
            </w: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Vice President of Worldwide Wafer Fabrication</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Brian M. Shirley</w:t>
            </w:r>
          </w:p>
        </w:tc>
        <w:tc>
          <w:tcPr>
            <w:tcW w:w="1600" w:type="dxa"/>
            <w:vAlign w:val="bottom"/>
          </w:tcPr>
          <w:p>
            <w:pPr>
              <w:jc w:val="center"/>
              <w:ind w:left="923"/>
              <w:spacing w:after="0"/>
              <w:rPr>
                <w:sz w:val="20"/>
                <w:szCs w:val="20"/>
                <w:color w:val="auto"/>
              </w:rPr>
            </w:pPr>
            <w:r>
              <w:rPr>
                <w:rFonts w:ascii="Arial" w:cs="Arial" w:eastAsia="Arial" w:hAnsi="Arial"/>
                <w:sz w:val="15"/>
                <w:szCs w:val="15"/>
                <w:color w:val="auto"/>
                <w:w w:val="95"/>
              </w:rPr>
              <w:t>39</w:t>
            </w:r>
          </w:p>
        </w:tc>
        <w:tc>
          <w:tcPr>
            <w:tcW w:w="7360" w:type="dxa"/>
            <w:vAlign w:val="bottom"/>
            <w:gridSpan w:val="2"/>
          </w:tcPr>
          <w:p>
            <w:pPr>
              <w:ind w:left="180"/>
              <w:spacing w:after="0"/>
              <w:rPr>
                <w:sz w:val="20"/>
                <w:szCs w:val="20"/>
                <w:color w:val="auto"/>
              </w:rPr>
            </w:pPr>
            <w:r>
              <w:rPr>
                <w:rFonts w:ascii="Arial" w:cs="Arial" w:eastAsia="Arial" w:hAnsi="Arial"/>
                <w:sz w:val="15"/>
                <w:szCs w:val="15"/>
                <w:color w:val="auto"/>
              </w:rPr>
              <w:t>Vice President of Memory</w:t>
            </w: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Teruaki Aoki</w:t>
            </w:r>
          </w:p>
        </w:tc>
        <w:tc>
          <w:tcPr>
            <w:tcW w:w="1600" w:type="dxa"/>
            <w:vAlign w:val="bottom"/>
            <w:shd w:val="clear" w:color="auto" w:fill="CCEEFF"/>
          </w:tcPr>
          <w:p>
            <w:pPr>
              <w:jc w:val="center"/>
              <w:ind w:left="923"/>
              <w:spacing w:after="0"/>
              <w:rPr>
                <w:sz w:val="20"/>
                <w:szCs w:val="20"/>
                <w:color w:val="auto"/>
              </w:rPr>
            </w:pPr>
            <w:r>
              <w:rPr>
                <w:rFonts w:ascii="Arial" w:cs="Arial" w:eastAsia="Arial" w:hAnsi="Arial"/>
                <w:sz w:val="15"/>
                <w:szCs w:val="15"/>
                <w:color w:val="auto"/>
                <w:w w:val="95"/>
              </w:rPr>
              <w:t>67</w:t>
            </w: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Director</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James W. Bagley</w:t>
            </w:r>
          </w:p>
        </w:tc>
        <w:tc>
          <w:tcPr>
            <w:tcW w:w="1600" w:type="dxa"/>
            <w:vAlign w:val="bottom"/>
          </w:tcPr>
          <w:p>
            <w:pPr>
              <w:jc w:val="center"/>
              <w:ind w:left="923"/>
              <w:spacing w:after="0"/>
              <w:rPr>
                <w:sz w:val="20"/>
                <w:szCs w:val="20"/>
                <w:color w:val="auto"/>
              </w:rPr>
            </w:pPr>
            <w:r>
              <w:rPr>
                <w:rFonts w:ascii="Arial" w:cs="Arial" w:eastAsia="Arial" w:hAnsi="Arial"/>
                <w:sz w:val="15"/>
                <w:szCs w:val="15"/>
                <w:color w:val="auto"/>
                <w:w w:val="95"/>
              </w:rPr>
              <w:t>69</w:t>
            </w:r>
          </w:p>
        </w:tc>
        <w:tc>
          <w:tcPr>
            <w:tcW w:w="736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Robert L. Bailey</w:t>
            </w:r>
          </w:p>
        </w:tc>
        <w:tc>
          <w:tcPr>
            <w:tcW w:w="1600" w:type="dxa"/>
            <w:vAlign w:val="bottom"/>
            <w:shd w:val="clear" w:color="auto" w:fill="CCEEFF"/>
          </w:tcPr>
          <w:p>
            <w:pPr>
              <w:jc w:val="center"/>
              <w:ind w:left="923"/>
              <w:spacing w:after="0"/>
              <w:rPr>
                <w:sz w:val="20"/>
                <w:szCs w:val="20"/>
                <w:color w:val="auto"/>
              </w:rPr>
            </w:pPr>
            <w:r>
              <w:rPr>
                <w:rFonts w:ascii="Arial" w:cs="Arial" w:eastAsia="Arial" w:hAnsi="Arial"/>
                <w:sz w:val="15"/>
                <w:szCs w:val="15"/>
                <w:color w:val="auto"/>
                <w:w w:val="95"/>
              </w:rPr>
              <w:t>51</w:t>
            </w: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Director</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Mercedes Johnson</w:t>
            </w:r>
          </w:p>
        </w:tc>
        <w:tc>
          <w:tcPr>
            <w:tcW w:w="1600" w:type="dxa"/>
            <w:vAlign w:val="bottom"/>
          </w:tcPr>
          <w:p>
            <w:pPr>
              <w:jc w:val="center"/>
              <w:ind w:left="923"/>
              <w:spacing w:after="0"/>
              <w:rPr>
                <w:sz w:val="20"/>
                <w:szCs w:val="20"/>
                <w:color w:val="auto"/>
              </w:rPr>
            </w:pPr>
            <w:r>
              <w:rPr>
                <w:rFonts w:ascii="Arial" w:cs="Arial" w:eastAsia="Arial" w:hAnsi="Arial"/>
                <w:sz w:val="15"/>
                <w:szCs w:val="15"/>
                <w:color w:val="auto"/>
                <w:w w:val="95"/>
              </w:rPr>
              <w:t>54</w:t>
            </w:r>
          </w:p>
        </w:tc>
        <w:tc>
          <w:tcPr>
            <w:tcW w:w="736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Lawrence N. Mondry</w:t>
            </w:r>
          </w:p>
        </w:tc>
        <w:tc>
          <w:tcPr>
            <w:tcW w:w="1600" w:type="dxa"/>
            <w:vAlign w:val="bottom"/>
            <w:shd w:val="clear" w:color="auto" w:fill="CCEEFF"/>
          </w:tcPr>
          <w:p>
            <w:pPr>
              <w:jc w:val="center"/>
              <w:ind w:left="923"/>
              <w:spacing w:after="0"/>
              <w:rPr>
                <w:sz w:val="20"/>
                <w:szCs w:val="20"/>
                <w:color w:val="auto"/>
              </w:rPr>
            </w:pPr>
            <w:r>
              <w:rPr>
                <w:rFonts w:ascii="Arial" w:cs="Arial" w:eastAsia="Arial" w:hAnsi="Arial"/>
                <w:sz w:val="15"/>
                <w:szCs w:val="15"/>
                <w:color w:val="auto"/>
                <w:w w:val="95"/>
              </w:rPr>
              <w:t>48</w:t>
            </w: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Director</w:t>
            </w:r>
          </w:p>
        </w:tc>
      </w:tr>
      <w:tr>
        <w:trPr>
          <w:trHeight w:val="196"/>
        </w:trPr>
        <w:tc>
          <w:tcPr>
            <w:tcW w:w="2480" w:type="dxa"/>
            <w:vAlign w:val="bottom"/>
          </w:tcPr>
          <w:p>
            <w:pPr>
              <w:spacing w:after="0"/>
              <w:rPr>
                <w:sz w:val="20"/>
                <w:szCs w:val="20"/>
                <w:color w:val="auto"/>
              </w:rPr>
            </w:pPr>
            <w:r>
              <w:rPr>
                <w:rFonts w:ascii="Arial" w:cs="Arial" w:eastAsia="Arial" w:hAnsi="Arial"/>
                <w:sz w:val="15"/>
                <w:szCs w:val="15"/>
                <w:color w:val="auto"/>
              </w:rPr>
              <w:t>Robert E. Switz</w:t>
            </w:r>
          </w:p>
        </w:tc>
        <w:tc>
          <w:tcPr>
            <w:tcW w:w="1600" w:type="dxa"/>
            <w:vAlign w:val="bottom"/>
          </w:tcPr>
          <w:p>
            <w:pPr>
              <w:jc w:val="center"/>
              <w:ind w:left="923"/>
              <w:spacing w:after="0"/>
              <w:rPr>
                <w:sz w:val="20"/>
                <w:szCs w:val="20"/>
                <w:color w:val="auto"/>
              </w:rPr>
            </w:pPr>
            <w:r>
              <w:rPr>
                <w:rFonts w:ascii="Arial" w:cs="Arial" w:eastAsia="Arial" w:hAnsi="Arial"/>
                <w:sz w:val="15"/>
                <w:szCs w:val="15"/>
                <w:color w:val="auto"/>
                <w:w w:val="95"/>
              </w:rPr>
              <w:t>62</w:t>
            </w:r>
          </w:p>
        </w:tc>
        <w:tc>
          <w:tcPr>
            <w:tcW w:w="736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r>
      <w:tr>
        <w:trPr>
          <w:trHeight w:val="720"/>
        </w:trPr>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20" w:type="dxa"/>
            <w:vAlign w:val="bottom"/>
          </w:tcPr>
          <w:p>
            <w:pPr>
              <w:ind w:left="1600"/>
              <w:spacing w:after="0"/>
              <w:rPr>
                <w:sz w:val="20"/>
                <w:szCs w:val="20"/>
                <w:color w:val="auto"/>
              </w:rPr>
            </w:pPr>
            <w:r>
              <w:rPr>
                <w:rFonts w:ascii="Arial" w:cs="Arial" w:eastAsia="Arial" w:hAnsi="Arial"/>
                <w:sz w:val="15"/>
                <w:szCs w:val="15"/>
                <w:color w:val="auto"/>
              </w:rPr>
              <w:t>9</w:t>
            </w:r>
          </w:p>
        </w:tc>
        <w:tc>
          <w:tcPr>
            <w:tcW w:w="140" w:type="dxa"/>
            <w:vAlign w:val="bottom"/>
          </w:tcPr>
          <w:p>
            <w:pPr>
              <w:spacing w:after="0"/>
              <w:rPr>
                <w:sz w:val="24"/>
                <w:szCs w:val="24"/>
                <w:color w:val="auto"/>
              </w:rPr>
            </w:pPr>
          </w:p>
        </w:tc>
      </w:tr>
      <w:tr>
        <w:trPr>
          <w:trHeight w:val="101"/>
        </w:trPr>
        <w:tc>
          <w:tcPr>
            <w:tcW w:w="248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7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465" w:right="199" w:bottom="1440" w:gutter="0" w:footer="0" w:header="0"/>
        </w:sectPr>
      </w:pPr>
    </w:p>
    <w:bookmarkStart w:id="10" w:name="page11"/>
    <w:bookmarkEnd w:id="10"/>
    <w:p>
      <w:pPr>
        <w:jc w:val="both"/>
        <w:ind w:right="280"/>
        <w:spacing w:after="0" w:line="274" w:lineRule="auto"/>
        <w:rPr>
          <w:sz w:val="20"/>
          <w:szCs w:val="20"/>
          <w:color w:val="auto"/>
        </w:rPr>
      </w:pPr>
      <w:r>
        <w:rPr>
          <w:rFonts w:ascii="Arial" w:cs="Arial" w:eastAsia="Arial" w:hAnsi="Arial"/>
          <w:sz w:val="15"/>
          <w:szCs w:val="15"/>
          <w:i w:val="1"/>
          <w:iCs w:val="1"/>
          <w:color w:val="auto"/>
        </w:rPr>
        <w:t xml:space="preserve">Mark W. Adams </w:t>
      </w:r>
      <w:r>
        <w:rPr>
          <w:rFonts w:ascii="Arial" w:cs="Arial" w:eastAsia="Arial" w:hAnsi="Arial"/>
          <w:sz w:val="15"/>
          <w:szCs w:val="15"/>
          <w:color w:val="auto"/>
        </w:rPr>
        <w:t>joined the Company in June 2006. From January 2006 until he joined the Company, Mr. Adams was the Chief Operating Officer of Lexar Media, Inc. Mr. Adams</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the Vice President of Sales and Marketing for Creative Labs, Inc. from December 2002 to January 2006. From March 2000 to September 2002, Mr. Adams was the Chief Executive Officer of Coresma, Inc. Mr. Adams holds a BA in Economics from Boston College and an MBA from Harvard Business School.</w:t>
      </w:r>
    </w:p>
    <w:p>
      <w:pPr>
        <w:spacing w:after="0" w:line="174"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i w:val="1"/>
          <w:iCs w:val="1"/>
          <w:color w:val="auto"/>
        </w:rPr>
        <w:t xml:space="preserve">Steven R. Appleton </w:t>
      </w:r>
      <w:r>
        <w:rPr>
          <w:rFonts w:ascii="Arial" w:cs="Arial" w:eastAsia="Arial" w:hAnsi="Arial"/>
          <w:sz w:val="14"/>
          <w:szCs w:val="14"/>
          <w:color w:val="auto"/>
        </w:rPr>
        <w:t>joined the Company in February 1983 and has served in various capacities with the Company and its subsidiaries. Mr. Appleton first became an officer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in August 1989 and has served in various officer positions with the Company since that time. From April 1991 until July 1992 and since May 1994, Mr. Appleton has served on the Company’s Board of Directors. From September 1994 to June 2007, Mr. Appleton served as the Chief Executive Officer, President and Chairman of the Board of Directors of the Company. In June 2007, Mr. Appleton relinquished his position as President of the Company but retained his positions of Chief Executive Officer and Chairman of the Board. Mr. Appleton is a member of the Board of Directors of National Semiconductor Corporation. Mr. Appleton holds a BA in Business Management from Boise State University.</w:t>
      </w:r>
    </w:p>
    <w:p>
      <w:pPr>
        <w:spacing w:after="0" w:line="167"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i w:val="1"/>
          <w:iCs w:val="1"/>
          <w:color w:val="auto"/>
        </w:rPr>
        <w:t xml:space="preserve">Kipp A. Bedard </w:t>
      </w:r>
      <w:r>
        <w:rPr>
          <w:rFonts w:ascii="Arial" w:cs="Arial" w:eastAsia="Arial" w:hAnsi="Arial"/>
          <w:sz w:val="15"/>
          <w:szCs w:val="15"/>
          <w:color w:val="auto"/>
        </w:rPr>
        <w:t>joined the Company in November 1983 and has served in various capacities with the Company and its subsidiaries. Mr. Bedard first became an officer of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in April 1990 and has served in various officer positions since that time. Since January 1994, Mr. Bedard has served as Vice President of Investor Relations for the Company. Mr. Bedard holds a BBA in Accounting from Boise State University.</w:t>
      </w:r>
    </w:p>
    <w:p>
      <w:pPr>
        <w:spacing w:after="0" w:line="174" w:lineRule="exact"/>
        <w:rPr>
          <w:sz w:val="20"/>
          <w:szCs w:val="20"/>
          <w:color w:val="auto"/>
        </w:rPr>
      </w:pPr>
    </w:p>
    <w:p>
      <w:pPr>
        <w:spacing w:after="0" w:line="274" w:lineRule="auto"/>
        <w:rPr>
          <w:sz w:val="20"/>
          <w:szCs w:val="20"/>
          <w:color w:val="auto"/>
        </w:rPr>
      </w:pPr>
      <w:r>
        <w:rPr>
          <w:rFonts w:ascii="Arial" w:cs="Arial" w:eastAsia="Arial" w:hAnsi="Arial"/>
          <w:sz w:val="15"/>
          <w:szCs w:val="15"/>
          <w:i w:val="1"/>
          <w:iCs w:val="1"/>
          <w:color w:val="auto"/>
        </w:rPr>
        <w:t xml:space="preserve">D. Mark Durcan </w:t>
      </w:r>
      <w:r>
        <w:rPr>
          <w:rFonts w:ascii="Arial" w:cs="Arial" w:eastAsia="Arial" w:hAnsi="Arial"/>
          <w:sz w:val="15"/>
          <w:szCs w:val="15"/>
          <w:color w:val="auto"/>
        </w:rPr>
        <w:t>joined the Company in June 1984 and has served in various technical positions with the Company and its subsidiaries since that time. Mr. Durcan was appointed Chief</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Officer in February 2006 and President in June 2007. Mr. Durcan has been an officer of the Company since 1996. Mr. Durcan holds a BS and MChE in Chemical Engineering from Rice University.</w:t>
      </w:r>
    </w:p>
    <w:p>
      <w:pPr>
        <w:spacing w:after="0" w:line="174" w:lineRule="exact"/>
        <w:rPr>
          <w:sz w:val="20"/>
          <w:szCs w:val="20"/>
          <w:color w:val="auto"/>
        </w:rPr>
      </w:pPr>
    </w:p>
    <w:p>
      <w:pPr>
        <w:ind w:right="160"/>
        <w:spacing w:after="0" w:line="274" w:lineRule="auto"/>
        <w:rPr>
          <w:sz w:val="20"/>
          <w:szCs w:val="20"/>
          <w:color w:val="auto"/>
        </w:rPr>
      </w:pPr>
      <w:r>
        <w:rPr>
          <w:rFonts w:ascii="Arial" w:cs="Arial" w:eastAsia="Arial" w:hAnsi="Arial"/>
          <w:sz w:val="15"/>
          <w:szCs w:val="15"/>
          <w:i w:val="1"/>
          <w:iCs w:val="1"/>
          <w:color w:val="auto"/>
        </w:rPr>
        <w:t xml:space="preserve">Ronald C. Foster </w:t>
      </w:r>
      <w:r>
        <w:rPr>
          <w:rFonts w:ascii="Arial" w:cs="Arial" w:eastAsia="Arial" w:hAnsi="Arial"/>
          <w:sz w:val="15"/>
          <w:szCs w:val="15"/>
          <w:color w:val="auto"/>
        </w:rPr>
        <w:t>joined the Company in April 2008 after serving as a member of the Board of Directors from June 2004 to April 2005. From March 2005 to March 2008, he was the</w:t>
      </w:r>
      <w:r>
        <w:rPr>
          <w:rFonts w:ascii="Arial" w:cs="Arial" w:eastAsia="Arial" w:hAnsi="Arial"/>
          <w:sz w:val="15"/>
          <w:szCs w:val="15"/>
          <w:i w:val="1"/>
          <w:iCs w:val="1"/>
          <w:color w:val="auto"/>
        </w:rPr>
        <w:t xml:space="preserve"> </w:t>
      </w:r>
      <w:r>
        <w:rPr>
          <w:rFonts w:ascii="Arial" w:cs="Arial" w:eastAsia="Arial" w:hAnsi="Arial"/>
          <w:sz w:val="15"/>
          <w:szCs w:val="15"/>
          <w:color w:val="auto"/>
        </w:rPr>
        <w:t>Chief Financial Officer for FormFactor, Inc. Mr. Foster previously served in senior financial management positions for Hewlett-Packard, Applied Materials, Novell and JDS Uniphase. Mr. Foster holds an MBA from the University of Chicago and a BA in Economics from Whitman College.</w:t>
      </w:r>
    </w:p>
    <w:p>
      <w:pPr>
        <w:spacing w:after="0" w:line="174" w:lineRule="exact"/>
        <w:rPr>
          <w:sz w:val="20"/>
          <w:szCs w:val="20"/>
          <w:color w:val="auto"/>
        </w:rPr>
      </w:pPr>
    </w:p>
    <w:p>
      <w:pPr>
        <w:jc w:val="both"/>
        <w:ind w:right="260"/>
        <w:spacing w:after="0" w:line="274" w:lineRule="auto"/>
        <w:rPr>
          <w:sz w:val="20"/>
          <w:szCs w:val="20"/>
          <w:color w:val="auto"/>
        </w:rPr>
      </w:pPr>
      <w:r>
        <w:rPr>
          <w:rFonts w:ascii="Arial" w:cs="Arial" w:eastAsia="Arial" w:hAnsi="Arial"/>
          <w:sz w:val="15"/>
          <w:szCs w:val="15"/>
          <w:i w:val="1"/>
          <w:iCs w:val="1"/>
          <w:color w:val="auto"/>
        </w:rPr>
        <w:t xml:space="preserve">Jay L. Hawkins </w:t>
      </w:r>
      <w:r>
        <w:rPr>
          <w:rFonts w:ascii="Arial" w:cs="Arial" w:eastAsia="Arial" w:hAnsi="Arial"/>
          <w:sz w:val="15"/>
          <w:szCs w:val="15"/>
          <w:color w:val="auto"/>
        </w:rPr>
        <w:t>joined the Company in March 1984 and has served in various manufacturing positions for the Company and its subsidiaries. Mr. Hawkins served as Vice President,</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Manufacturing Administration from February 1996 through June 1997, at which time he became Vice President of Operations. Mr. Hawkins holds a BBA in Marketing from Boise State University.</w:t>
      </w:r>
    </w:p>
    <w:p>
      <w:pPr>
        <w:spacing w:after="0" w:line="174" w:lineRule="exact"/>
        <w:rPr>
          <w:sz w:val="20"/>
          <w:szCs w:val="20"/>
          <w:color w:val="auto"/>
        </w:rPr>
      </w:pPr>
    </w:p>
    <w:p>
      <w:pPr>
        <w:ind w:right="180"/>
        <w:spacing w:after="0" w:line="274" w:lineRule="auto"/>
        <w:rPr>
          <w:sz w:val="20"/>
          <w:szCs w:val="20"/>
          <w:color w:val="auto"/>
        </w:rPr>
      </w:pPr>
      <w:r>
        <w:rPr>
          <w:rFonts w:ascii="Arial" w:cs="Arial" w:eastAsia="Arial" w:hAnsi="Arial"/>
          <w:sz w:val="15"/>
          <w:szCs w:val="15"/>
          <w:i w:val="1"/>
          <w:iCs w:val="1"/>
          <w:color w:val="auto"/>
        </w:rPr>
        <w:t xml:space="preserve">Roderic W. Lewis </w:t>
      </w:r>
      <w:r>
        <w:rPr>
          <w:rFonts w:ascii="Arial" w:cs="Arial" w:eastAsia="Arial" w:hAnsi="Arial"/>
          <w:sz w:val="15"/>
          <w:szCs w:val="15"/>
          <w:color w:val="auto"/>
        </w:rPr>
        <w:t>joined the Company in August 1991 and has served in various capacities with the Company and its subsidiaries. Mr. Lewis has served as Vice President of Legal</w:t>
      </w:r>
      <w:r>
        <w:rPr>
          <w:rFonts w:ascii="Arial" w:cs="Arial" w:eastAsia="Arial" w:hAnsi="Arial"/>
          <w:sz w:val="15"/>
          <w:szCs w:val="15"/>
          <w:i w:val="1"/>
          <w:iCs w:val="1"/>
          <w:color w:val="auto"/>
        </w:rPr>
        <w:t xml:space="preserve"> </w:t>
      </w:r>
      <w:r>
        <w:rPr>
          <w:rFonts w:ascii="Arial" w:cs="Arial" w:eastAsia="Arial" w:hAnsi="Arial"/>
          <w:sz w:val="15"/>
          <w:szCs w:val="15"/>
          <w:color w:val="auto"/>
        </w:rPr>
        <w:t>Affairs, General Counsel and Corporate Secretary since July 1996. Mr. Lewis holds a BA in Economics and Asian Studies from Brigham Young University and a JD from Columbia University School of Law.</w:t>
      </w:r>
    </w:p>
    <w:p>
      <w:pPr>
        <w:spacing w:after="0" w:line="174" w:lineRule="exact"/>
        <w:rPr>
          <w:sz w:val="20"/>
          <w:szCs w:val="20"/>
          <w:color w:val="auto"/>
        </w:rPr>
      </w:pPr>
    </w:p>
    <w:p>
      <w:pPr>
        <w:jc w:val="both"/>
        <w:ind w:right="120"/>
        <w:spacing w:after="0" w:line="274" w:lineRule="auto"/>
        <w:rPr>
          <w:sz w:val="20"/>
          <w:szCs w:val="20"/>
          <w:color w:val="auto"/>
        </w:rPr>
      </w:pPr>
      <w:r>
        <w:rPr>
          <w:rFonts w:ascii="Arial" w:cs="Arial" w:eastAsia="Arial" w:hAnsi="Arial"/>
          <w:sz w:val="15"/>
          <w:szCs w:val="15"/>
          <w:i w:val="1"/>
          <w:iCs w:val="1"/>
          <w:color w:val="auto"/>
        </w:rPr>
        <w:t xml:space="preserve">Patrick T. Otte </w:t>
      </w:r>
      <w:r>
        <w:rPr>
          <w:rFonts w:ascii="Arial" w:cs="Arial" w:eastAsia="Arial" w:hAnsi="Arial"/>
          <w:sz w:val="15"/>
          <w:szCs w:val="15"/>
          <w:color w:val="auto"/>
        </w:rPr>
        <w:t>has served as the Company's Vice President of Human Resources since March 2007. Mr. Otte joined Micron in 1987 and has served in various positions of increasing</w:t>
      </w:r>
      <w:r>
        <w:rPr>
          <w:rFonts w:ascii="Arial" w:cs="Arial" w:eastAsia="Arial" w:hAnsi="Arial"/>
          <w:sz w:val="15"/>
          <w:szCs w:val="15"/>
          <w:i w:val="1"/>
          <w:iCs w:val="1"/>
          <w:color w:val="auto"/>
        </w:rPr>
        <w:t xml:space="preserve"> </w:t>
      </w:r>
      <w:r>
        <w:rPr>
          <w:rFonts w:ascii="Arial" w:cs="Arial" w:eastAsia="Arial" w:hAnsi="Arial"/>
          <w:sz w:val="15"/>
          <w:szCs w:val="15"/>
          <w:color w:val="auto"/>
        </w:rPr>
        <w:t>responsibility, including Production Manager in several of Micron’s fabrication facilities, Operations Manager for Micron Technology Italia S.r.l. and, Site Director for the Company's facility in Manassas, Virginia. Mr. Otte holds a Bachelor of Science degree from St. Paul Bible College in Minneapolis, Minnesota.</w:t>
      </w:r>
    </w:p>
    <w:p>
      <w:pPr>
        <w:spacing w:after="0" w:line="174" w:lineRule="exact"/>
        <w:rPr>
          <w:sz w:val="20"/>
          <w:szCs w:val="20"/>
          <w:color w:val="auto"/>
        </w:rPr>
      </w:pPr>
    </w:p>
    <w:p>
      <w:pPr>
        <w:ind w:right="380"/>
        <w:spacing w:after="0" w:line="290" w:lineRule="auto"/>
        <w:rPr>
          <w:sz w:val="20"/>
          <w:szCs w:val="20"/>
          <w:color w:val="auto"/>
        </w:rPr>
      </w:pPr>
      <w:r>
        <w:rPr>
          <w:rFonts w:ascii="Arial" w:cs="Arial" w:eastAsia="Arial" w:hAnsi="Arial"/>
          <w:sz w:val="15"/>
          <w:szCs w:val="15"/>
          <w:i w:val="1"/>
          <w:iCs w:val="1"/>
          <w:color w:val="auto"/>
        </w:rPr>
        <w:t xml:space="preserve">Brian J. Shields </w:t>
      </w:r>
      <w:r>
        <w:rPr>
          <w:rFonts w:ascii="Arial" w:cs="Arial" w:eastAsia="Arial" w:hAnsi="Arial"/>
          <w:sz w:val="15"/>
          <w:szCs w:val="15"/>
          <w:color w:val="auto"/>
        </w:rPr>
        <w:t>joined the Company in November 1986 and has served in various operational positions with the Company. Mr. Shields first became an officer of the Company in</w:t>
      </w:r>
      <w:r>
        <w:rPr>
          <w:rFonts w:ascii="Arial" w:cs="Arial" w:eastAsia="Arial" w:hAnsi="Arial"/>
          <w:sz w:val="15"/>
          <w:szCs w:val="15"/>
          <w:i w:val="1"/>
          <w:iCs w:val="1"/>
          <w:color w:val="auto"/>
        </w:rPr>
        <w:t xml:space="preserve"> </w:t>
      </w:r>
      <w:r>
        <w:rPr>
          <w:rFonts w:ascii="Arial" w:cs="Arial" w:eastAsia="Arial" w:hAnsi="Arial"/>
          <w:sz w:val="15"/>
          <w:szCs w:val="15"/>
          <w:color w:val="auto"/>
        </w:rPr>
        <w:t>March 2003.</w:t>
      </w:r>
    </w:p>
    <w:p>
      <w:pPr>
        <w:spacing w:after="0" w:line="163" w:lineRule="exact"/>
        <w:rPr>
          <w:sz w:val="20"/>
          <w:szCs w:val="20"/>
          <w:color w:val="auto"/>
        </w:rPr>
      </w:pPr>
    </w:p>
    <w:p>
      <w:pPr>
        <w:ind w:right="380"/>
        <w:spacing w:after="0" w:line="290" w:lineRule="auto"/>
        <w:rPr>
          <w:sz w:val="20"/>
          <w:szCs w:val="20"/>
          <w:color w:val="auto"/>
        </w:rPr>
      </w:pPr>
      <w:r>
        <w:rPr>
          <w:rFonts w:ascii="Arial" w:cs="Arial" w:eastAsia="Arial" w:hAnsi="Arial"/>
          <w:sz w:val="15"/>
          <w:szCs w:val="15"/>
          <w:i w:val="1"/>
          <w:iCs w:val="1"/>
          <w:color w:val="auto"/>
        </w:rPr>
        <w:t xml:space="preserve">Brian M. Shirley </w:t>
      </w:r>
      <w:r>
        <w:rPr>
          <w:rFonts w:ascii="Arial" w:cs="Arial" w:eastAsia="Arial" w:hAnsi="Arial"/>
          <w:sz w:val="15"/>
          <w:szCs w:val="15"/>
          <w:color w:val="auto"/>
        </w:rPr>
        <w:t>joined the Company in August 1992 and has served in various technical positions with the Company. Mr. Shirley became an officer of the Company in February</w:t>
      </w:r>
      <w:r>
        <w:rPr>
          <w:rFonts w:ascii="Arial" w:cs="Arial" w:eastAsia="Arial" w:hAnsi="Arial"/>
          <w:sz w:val="15"/>
          <w:szCs w:val="15"/>
          <w:i w:val="1"/>
          <w:iCs w:val="1"/>
          <w:color w:val="auto"/>
        </w:rPr>
        <w:t xml:space="preserve"> </w:t>
      </w:r>
      <w:r>
        <w:rPr>
          <w:rFonts w:ascii="Arial" w:cs="Arial" w:eastAsia="Arial" w:hAnsi="Arial"/>
          <w:sz w:val="15"/>
          <w:szCs w:val="15"/>
          <w:color w:val="auto"/>
        </w:rPr>
        <w:t>2006. Mr. Shirley holds a BS in Electrical Engineering from Stanford University.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465" w:right="259" w:bottom="1440" w:gutter="0" w:footer="0" w:header="0"/>
        </w:sectPr>
      </w:pPr>
    </w:p>
    <w:bookmarkStart w:id="11" w:name="page12"/>
    <w:bookmarkEnd w:id="11"/>
    <w:p>
      <w:pPr>
        <w:ind w:right="280"/>
        <w:spacing w:after="0" w:line="266" w:lineRule="auto"/>
        <w:rPr>
          <w:sz w:val="20"/>
          <w:szCs w:val="20"/>
          <w:color w:val="auto"/>
        </w:rPr>
      </w:pPr>
      <w:r>
        <w:rPr>
          <w:rFonts w:ascii="Arial" w:cs="Arial" w:eastAsia="Arial" w:hAnsi="Arial"/>
          <w:sz w:val="15"/>
          <w:szCs w:val="15"/>
          <w:i w:val="1"/>
          <w:iCs w:val="1"/>
          <w:color w:val="auto"/>
        </w:rPr>
        <w:t xml:space="preserve">Teruaki Aoki </w:t>
      </w:r>
      <w:r>
        <w:rPr>
          <w:rFonts w:ascii="Arial" w:cs="Arial" w:eastAsia="Arial" w:hAnsi="Arial"/>
          <w:sz w:val="15"/>
          <w:szCs w:val="15"/>
          <w:color w:val="auto"/>
        </w:rPr>
        <w:t>has served as Vice Chairman of Sony Foundation for Education since July 2008. Dr. Aoki has been associated with Sony since 1970 and has held various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Advisory Board Member of Kellogg School of Management of Northwestern University. Dr. Aoki also serves on the board of Citizen Holdings Co., Ltd. Dr. Aoki is the Chairman of the Board’s Governance Committee.</w:t>
      </w:r>
    </w:p>
    <w:p>
      <w:pPr>
        <w:spacing w:after="0" w:line="180" w:lineRule="exact"/>
        <w:rPr>
          <w:sz w:val="20"/>
          <w:szCs w:val="20"/>
          <w:color w:val="auto"/>
        </w:rPr>
      </w:pPr>
    </w:p>
    <w:p>
      <w:pPr>
        <w:ind w:right="160"/>
        <w:spacing w:after="0" w:line="274" w:lineRule="auto"/>
        <w:rPr>
          <w:sz w:val="20"/>
          <w:szCs w:val="20"/>
          <w:color w:val="auto"/>
        </w:rPr>
      </w:pPr>
      <w:r>
        <w:rPr>
          <w:rFonts w:ascii="Arial" w:cs="Arial" w:eastAsia="Arial" w:hAnsi="Arial"/>
          <w:sz w:val="15"/>
          <w:szCs w:val="15"/>
          <w:i w:val="1"/>
          <w:iCs w:val="1"/>
          <w:color w:val="auto"/>
        </w:rPr>
        <w:t xml:space="preserve">James W. Bagley </w:t>
      </w:r>
      <w:r>
        <w:rPr>
          <w:rFonts w:ascii="Arial" w:cs="Arial" w:eastAsia="Arial" w:hAnsi="Arial"/>
          <w:sz w:val="15"/>
          <w:szCs w:val="15"/>
          <w:color w:val="auto"/>
        </w:rPr>
        <w:t>became the Executive Chairman of Lam Research Corporation (“Lam”), a supplier of semiconductor manufacturing equipment, in June 2005. From August 1997</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June 2005, Mr. Bagley served as the Chairman and Chief Executive Officer of Lam. Mr. Bagley is a member of the Board of Directors of Teradyne, Inc. He has served on the Company’s Board of Directors since June 1997. Mr. Bagley holds a MS and BS in Electrical Engineering from Mississippi State University.</w:t>
      </w:r>
    </w:p>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15"/>
          <w:szCs w:val="15"/>
          <w:i w:val="1"/>
          <w:iCs w:val="1"/>
          <w:color w:val="auto"/>
        </w:rPr>
        <w:t xml:space="preserve">Robert L. Bailey </w:t>
      </w:r>
      <w:r>
        <w:rPr>
          <w:rFonts w:ascii="Arial" w:cs="Arial" w:eastAsia="Arial" w:hAnsi="Arial"/>
          <w:sz w:val="15"/>
          <w:szCs w:val="15"/>
          <w:color w:val="auto"/>
        </w:rPr>
        <w:t>was the President and Chief Executive Officer of PMC-Sierra (“PMC”) from July 1997 until May 2008. PMC is a leading provider of broadband communication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storage semiconductor solutions for the next-generation Internet. Mr. Bailey has been a director of PMC since October 1996. Mr. Bailey served as PMC’s President and Chief Executive Officer from July 1997 to May 2008. He has been Chairman of PMC’s Board of Directors since 2005 and also served as PMC’s Chairman from February 2000 until February 2003. Mr. Bailey served as President, Chief Executive Officer and director of PMC-Sierra, Ltd., PMC's Canadian operating subsidiary since December 1993. Mr. Bailey was employed by AT&amp;T-Microelectronics (now a division of LSI Logic) from August 1989 to November 1993, where he served as Vice President and General Manager, and at Texas Instruments in various management positions from June 1979 to August 1989. Mr. Bailey holds a BS degree in Electrical Engineering from the University of Bridgeport and an MBA from the University of Dallas.</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i w:val="1"/>
          <w:iCs w:val="1"/>
          <w:color w:val="auto"/>
        </w:rPr>
        <w:t xml:space="preserve">Mercedes Johnson </w:t>
      </w:r>
      <w:r>
        <w:rPr>
          <w:rFonts w:ascii="Arial" w:cs="Arial" w:eastAsia="Arial" w:hAnsi="Arial"/>
          <w:sz w:val="14"/>
          <w:szCs w:val="14"/>
          <w:color w:val="auto"/>
        </w:rPr>
        <w:t>was the Senior Vice President and Chief Financial Officer of Avago Technologies Limited, a semiconductor company, from December 2005 to August 2008. Prior to</w:t>
      </w:r>
      <w:r>
        <w:rPr>
          <w:rFonts w:ascii="Arial" w:cs="Arial" w:eastAsia="Arial" w:hAnsi="Arial"/>
          <w:sz w:val="14"/>
          <w:szCs w:val="14"/>
          <w:i w:val="1"/>
          <w:iCs w:val="1"/>
          <w:color w:val="auto"/>
        </w:rPr>
        <w:t xml:space="preserve"> </w:t>
      </w:r>
      <w:r>
        <w:rPr>
          <w:rFonts w:ascii="Arial" w:cs="Arial" w:eastAsia="Arial" w:hAnsi="Arial"/>
          <w:sz w:val="14"/>
          <w:szCs w:val="14"/>
          <w:color w:val="auto"/>
        </w:rPr>
        <w:t>that, she served as the Senior Vice President, Finance, of Lam from June 2004 to January 2005 and as Lam’s Chief Financial Officer from May 1997 to May 2004. Before joining Lam, Ms. Johnson spent 10 years with Applied Materials, Inc., where she served in various senior financial management positions, including Vice President and Worldwide Operations Controller. Ms. Johnson holds a degree in Accounting from the University of Buenos Aires and currently serves on the Board of Directors for Intersil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Lawrence N. Mondry </w:t>
      </w:r>
      <w:r>
        <w:rPr>
          <w:rFonts w:ascii="Arial" w:cs="Arial" w:eastAsia="Arial" w:hAnsi="Arial"/>
          <w:sz w:val="14"/>
          <w:szCs w:val="14"/>
          <w:color w:val="auto"/>
        </w:rPr>
        <w:t>was the President and Chief Executive Officer of CSK Auto Corporation, (“CSK”), a specialty retailer of automotive aftermarket parts, from June 2006 to July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2008. Prior to his appointment at CSK, Mr. Mondry served as the Chief Executive Officer of CompUSA Inc. from November 2003 to May 2006. Mr. Mondry joined CompUSA in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1990. Mr. Mondry currently serves on the Board of Directors of CSK. Mr. Mondry is the Chairman of the Board’s Compensation Committee.</w:t>
      </w:r>
    </w:p>
    <w:p>
      <w:pPr>
        <w:spacing w:after="0" w:line="211" w:lineRule="exact"/>
        <w:rPr>
          <w:sz w:val="20"/>
          <w:szCs w:val="20"/>
          <w:color w:val="auto"/>
        </w:rPr>
      </w:pPr>
    </w:p>
    <w:p>
      <w:pPr>
        <w:ind w:right="260"/>
        <w:spacing w:after="0" w:line="268" w:lineRule="auto"/>
        <w:rPr>
          <w:sz w:val="20"/>
          <w:szCs w:val="20"/>
          <w:color w:val="auto"/>
        </w:rPr>
      </w:pPr>
      <w:r>
        <w:rPr>
          <w:rFonts w:ascii="Arial" w:cs="Arial" w:eastAsia="Arial" w:hAnsi="Arial"/>
          <w:sz w:val="15"/>
          <w:szCs w:val="15"/>
          <w:i w:val="1"/>
          <w:iCs w:val="1"/>
          <w:color w:val="auto"/>
        </w:rPr>
        <w:t xml:space="preserve">Robert E. Switz </w:t>
      </w:r>
      <w:r>
        <w:rPr>
          <w:rFonts w:ascii="Arial" w:cs="Arial" w:eastAsia="Arial" w:hAnsi="Arial"/>
          <w:sz w:val="15"/>
          <w:szCs w:val="15"/>
          <w:color w:val="auto"/>
        </w:rPr>
        <w:t>is currently Chairman, President and Chief Executive Officer of ADC Telecommunications, Inc., (“ADC”), a supplier of network infrastructure products and</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Mr. Switz has been with ADC since 1994 and prior to his current position, served ADC as Executive Vice President and Chief Financial Officer. Mr. Switz holds an MBA from the University of Bridgeport as well as a degree in Marketing/Economics from Quinnipiac University. Mr. Switz also serves on the Board of Directors for ADC and Broadcom Corporation. Mr. Switz is the Chairman of the Board’s Audit Committee.</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There is no family relationship between any director or executive officer of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 xml:space="preserve">Item 1A. </w:t>
      </w:r>
      <w:r>
        <w:rPr>
          <w:rFonts w:ascii="Arial" w:cs="Arial" w:eastAsia="Arial" w:hAnsi="Arial"/>
          <w:sz w:val="15"/>
          <w:szCs w:val="15"/>
          <w:b w:val="1"/>
          <w:bCs w:val="1"/>
          <w:i w:val="1"/>
          <w:iCs w:val="1"/>
          <w:color w:val="auto"/>
        </w:rPr>
        <w:t>Risk Factors</w:t>
      </w:r>
    </w:p>
    <w:p>
      <w:pPr>
        <w:spacing w:after="0" w:line="228"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In addition to the factors discussed elsewhere in this Form 10-K, the following are important factors which could cause actual results or events to differ materially from those contained in any forward-looking statements made by or on behalf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experienced dramatic declines in average selling prices for our semiconductor memory products which have adversely affected our business.</w:t>
      </w:r>
    </w:p>
    <w:p>
      <w:pPr>
        <w:spacing w:after="0" w:line="228" w:lineRule="exact"/>
        <w:rPr>
          <w:sz w:val="20"/>
          <w:szCs w:val="20"/>
          <w:color w:val="auto"/>
        </w:rPr>
      </w:pPr>
    </w:p>
    <w:p>
      <w:pPr>
        <w:jc w:val="both"/>
        <w:ind w:right="80"/>
        <w:spacing w:after="0" w:line="283" w:lineRule="auto"/>
        <w:rPr>
          <w:sz w:val="20"/>
          <w:szCs w:val="20"/>
          <w:color w:val="auto"/>
        </w:rPr>
      </w:pPr>
      <w:r>
        <w:rPr>
          <w:rFonts w:ascii="Arial" w:cs="Arial" w:eastAsia="Arial" w:hAnsi="Arial"/>
          <w:sz w:val="14"/>
          <w:szCs w:val="14"/>
          <w:color w:val="auto"/>
        </w:rPr>
        <w:t>For 2008 average selling prices of DRAM products and NAND Flash products decreased approximately 50% and 65%, respectively, as compared to 2007. For 2007, average selling prices of DRAM products and NAND Flash products decreased 23% and 56%, respectively, as compared to 2006. In other recent years, we also have experienced significant annual decreases in per gigabit average selling prices for our memory products including: 34% in 2006, 24% in 2005, 17% in 2003, 53% in 2002 and 60% in 2001. At times, average selling prices for our memory products have been below our costs. We recorded inventory write-downs of $282 million in 2008 and $20 million in 2007 as a result of significant decreases in average selling prices for our semiconductor memory products. If the estimated market values of products held in finished goods and work in process inventories at a quarter end date are below the manufacturing cost of these products, we recognize charges to cost of goods sold to write down the carrying value of our inventories to market value. Future charges for inventory write-downs could be significantly larger than the amount recorded in 2008 and 2007. If average selling prices for our memory products remain depressed or decrease faster than we can decrease per gigabit costs, as they recently have, our business, results of operations or financial condition could be materially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unable to generate sufficient cash flows or obtain access to external financing necessary to fund our operations and make adequate capital investments.</w:t>
      </w:r>
    </w:p>
    <w:p>
      <w:pPr>
        <w:spacing w:after="0" w:line="239"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approximate between $1.0 billion to $1.3 billion for 2009. Cash and investments of IM Flash and TECH are generally not available to finance our other operations. In the past we have utilized external sources of financing and access to capital markets has historically been very important to us. As a result of the severe downturn in the semiconductor memory market, the downturn in general economic conditions, and the adverse conditions in the credit markets, financing instruments that we have used in the past are currently not available to us and may not be available to us for extended periods.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 inability to do the foregoing could have a material adverse effect on our business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reduce our per gigabit manufacturing costs at the rate average selling prices decline.</w:t>
      </w:r>
    </w:p>
    <w:p>
      <w:pPr>
        <w:spacing w:after="0" w:line="228"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shorter product lifecycles of certain specialty memory products.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semiconductor memory industry is highly competitive.</w:t>
      </w:r>
    </w:p>
    <w:p>
      <w:pPr>
        <w:spacing w:after="0" w:line="228" w:lineRule="exact"/>
        <w:rPr>
          <w:sz w:val="20"/>
          <w:szCs w:val="20"/>
          <w:color w:val="auto"/>
        </w:rPr>
      </w:pPr>
    </w:p>
    <w:p>
      <w:pPr>
        <w:ind w:right="220"/>
        <w:spacing w:after="0" w:line="268" w:lineRule="auto"/>
        <w:rPr>
          <w:sz w:val="20"/>
          <w:szCs w:val="20"/>
          <w:color w:val="auto"/>
        </w:rPr>
      </w:pPr>
      <w:r>
        <w:rPr>
          <w:rFonts w:ascii="Arial" w:cs="Arial" w:eastAsia="Arial" w:hAnsi="Arial"/>
          <w:sz w:val="15"/>
          <w:szCs w:val="15"/>
          <w:color w:val="auto"/>
        </w:rPr>
        <w:t>We face intense competition in the semiconductor memory market from a number of companies, including Elpida Memory, Inc.; Hynix Semiconductor Inc.; Qimonda AG;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3" w:name="page14"/>
    <w:bookmarkEnd w:id="13"/>
    <w:p>
      <w:pPr>
        <w:ind w:right="420"/>
        <w:spacing w:after="0" w:line="284" w:lineRule="auto"/>
        <w:rPr>
          <w:sz w:val="20"/>
          <w:szCs w:val="20"/>
          <w:color w:val="auto"/>
        </w:rPr>
      </w:pPr>
      <w:r>
        <w:rPr>
          <w:rFonts w:ascii="Arial" w:cs="Arial" w:eastAsia="Arial" w:hAnsi="Arial"/>
          <w:sz w:val="14"/>
          <w:szCs w:val="14"/>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w:t>
      </w:r>
    </w:p>
    <w:p>
      <w:pPr>
        <w:ind w:right="20"/>
        <w:spacing w:after="0" w:line="262" w:lineRule="auto"/>
        <w:rPr>
          <w:sz w:val="20"/>
          <w:szCs w:val="20"/>
          <w:color w:val="auto"/>
        </w:rPr>
      </w:pPr>
      <w:r>
        <w:rPr>
          <w:rFonts w:ascii="Arial" w:cs="Arial" w:eastAsia="Arial" w:hAnsi="Arial"/>
          <w:sz w:val="15"/>
          <w:szCs w:val="15"/>
          <w:color w:val="auto"/>
        </w:rPr>
        <w:t>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NAND Flash memory operations involve numerous risks.</w:t>
      </w:r>
    </w:p>
    <w:p>
      <w:pPr>
        <w:spacing w:after="0" w:line="228"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As a result of severe oversupply in the NAND Flash market, our average selling prices of NAND Flash products for 2008 decreased approximately 65% as compared to 2007 after decreasing 56% for 2007 as compared to 2006. As a result, we experienced negative gross margins on sales of our NAND Flash products in 2008. In October 2008, we announced that our IM Flash joint venture with Intel Corporation will discontinue production of 200mm wafer NAND flash memory at Micron’s Boise facility. The NAND Flash production shutdown will reduce IM Flash’s NAND flash production by approximately 35,000 200mm wafers per month. In addition, we and Intel agreed to suspend tooling and the ramp of production NAND Flash at IM Flash’s Singapore wafer fabrication plant. A continuation of the challenging conditions in the NAND Flash market will materially adversely affect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joint ventures and strategic partnerships involve numerous risks.</w:t>
      </w:r>
    </w:p>
    <w:p>
      <w:pPr>
        <w:spacing w:after="0" w:line="228" w:lineRule="exact"/>
        <w:rPr>
          <w:sz w:val="20"/>
          <w:szCs w:val="20"/>
          <w:color w:val="auto"/>
        </w:rPr>
      </w:pPr>
    </w:p>
    <w:p>
      <w:pPr>
        <w:ind w:right="180"/>
        <w:spacing w:after="0" w:line="302" w:lineRule="auto"/>
        <w:rPr>
          <w:sz w:val="20"/>
          <w:szCs w:val="20"/>
          <w:color w:val="auto"/>
        </w:rPr>
      </w:pPr>
      <w:r>
        <w:rPr>
          <w:rFonts w:ascii="Arial" w:cs="Arial" w:eastAsia="Arial" w:hAnsi="Arial"/>
          <w:sz w:val="14"/>
          <w:szCs w:val="14"/>
          <w:color w:val="auto"/>
        </w:rPr>
        <w:t>We have entered into partnering arrangements to manufacture products and develop new manufacturing process technologies and products. These arrangements include our IM Flash NAND flash joint ventures with Intel, our DRAM joint ventures with Nanya, our TECH DRAM joint venture and our MP Mask joint venture with Photronics. These strategic partnerships and joint ventures are subject to various risks that could adversely affect the value of our investments and our results of operations. These risks include the following:</w:t>
      </w:r>
    </w:p>
    <w:p>
      <w:pPr>
        <w:spacing w:after="0" w:line="157" w:lineRule="exact"/>
        <w:rPr>
          <w:sz w:val="20"/>
          <w:szCs w:val="20"/>
          <w:color w:val="auto"/>
        </w:rPr>
      </w:pPr>
    </w:p>
    <w:p>
      <w:pPr>
        <w:ind w:left="420" w:hanging="114"/>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interests could diverge from our partners in the future or we may not be able to agree with partners on the amount, timing or nature of further investments in our joint venture;</w:t>
      </w:r>
    </w:p>
    <w:p>
      <w:pPr>
        <w:spacing w:after="0" w:line="233" w:lineRule="exact"/>
        <w:rPr>
          <w:rFonts w:ascii="Arial" w:cs="Arial" w:eastAsia="Arial" w:hAnsi="Arial"/>
          <w:sz w:val="14"/>
          <w:szCs w:val="14"/>
          <w:color w:val="auto"/>
        </w:rPr>
      </w:pPr>
    </w:p>
    <w:p>
      <w:pPr>
        <w:ind w:left="820" w:hanging="108"/>
        <w:spacing w:after="0"/>
        <w:tabs>
          <w:tab w:leader="none" w:pos="820" w:val="left"/>
        </w:tabs>
        <w:numPr>
          <w:ilvl w:val="1"/>
          <w:numId w:val="3"/>
        </w:numPr>
        <w:rPr>
          <w:rFonts w:ascii="Arial" w:cs="Arial" w:eastAsia="Arial" w:hAnsi="Arial"/>
          <w:sz w:val="14"/>
          <w:szCs w:val="14"/>
          <w:color w:val="auto"/>
        </w:rPr>
      </w:pPr>
      <w:r>
        <w:rPr>
          <w:rFonts w:ascii="Arial" w:cs="Arial" w:eastAsia="Arial" w:hAnsi="Arial"/>
          <w:sz w:val="14"/>
          <w:szCs w:val="14"/>
          <w:color w:val="auto"/>
        </w:rPr>
        <w:t>due to financial constraints, our partners may be unable to meet their commitments to us or our joint ventures and may pose credit risks for our transactions with them;</w:t>
      </w:r>
    </w:p>
    <w:p>
      <w:pPr>
        <w:spacing w:after="0" w:line="233" w:lineRule="exact"/>
        <w:rPr>
          <w:rFonts w:ascii="Arial" w:cs="Arial" w:eastAsia="Arial" w:hAnsi="Arial"/>
          <w:sz w:val="14"/>
          <w:szCs w:val="14"/>
          <w:color w:val="auto"/>
        </w:rPr>
      </w:pPr>
    </w:p>
    <w:p>
      <w:pPr>
        <w:ind w:left="820" w:hanging="108"/>
        <w:spacing w:after="0"/>
        <w:tabs>
          <w:tab w:leader="none" w:pos="820" w:val="left"/>
        </w:tabs>
        <w:numPr>
          <w:ilvl w:val="1"/>
          <w:numId w:val="3"/>
        </w:numPr>
        <w:rPr>
          <w:rFonts w:ascii="Arial" w:cs="Arial" w:eastAsia="Arial" w:hAnsi="Arial"/>
          <w:sz w:val="15"/>
          <w:szCs w:val="15"/>
          <w:color w:val="auto"/>
        </w:rPr>
      </w:pPr>
      <w:r>
        <w:rPr>
          <w:rFonts w:ascii="Arial" w:cs="Arial" w:eastAsia="Arial" w:hAnsi="Arial"/>
          <w:sz w:val="15"/>
          <w:szCs w:val="15"/>
          <w:color w:val="auto"/>
        </w:rPr>
        <w:t>the terms of our arrangements may turn out to be unfavorable;</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1"/>
          <w:numId w:val="3"/>
        </w:numPr>
        <w:rPr>
          <w:rFonts w:ascii="Arial" w:cs="Arial" w:eastAsia="Arial" w:hAnsi="Arial"/>
          <w:sz w:val="15"/>
          <w:szCs w:val="15"/>
          <w:color w:val="auto"/>
        </w:rPr>
      </w:pPr>
      <w:r>
        <w:rPr>
          <w:rFonts w:ascii="Arial" w:cs="Arial" w:eastAsia="Arial" w:hAnsi="Arial"/>
          <w:sz w:val="15"/>
          <w:szCs w:val="15"/>
          <w:color w:val="auto"/>
        </w:rPr>
        <w:t>cash flows may be inadequate to fund increased capital requirements;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1"/>
          <w:numId w:val="3"/>
        </w:numPr>
        <w:rPr>
          <w:rFonts w:ascii="Arial" w:cs="Arial" w:eastAsia="Arial" w:hAnsi="Arial"/>
          <w:sz w:val="15"/>
          <w:szCs w:val="15"/>
          <w:color w:val="auto"/>
        </w:rPr>
      </w:pPr>
      <w:r>
        <w:rPr>
          <w:rFonts w:ascii="Arial" w:cs="Arial" w:eastAsia="Arial" w:hAnsi="Arial"/>
          <w:sz w:val="15"/>
          <w:szCs w:val="15"/>
          <w:color w:val="auto"/>
        </w:rPr>
        <w:t>we may experience difficulties in transferring technology to joint ventures;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1"/>
          <w:numId w:val="3"/>
        </w:numPr>
        <w:rPr>
          <w:rFonts w:ascii="Arial" w:cs="Arial" w:eastAsia="Arial" w:hAnsi="Arial"/>
          <w:sz w:val="15"/>
          <w:szCs w:val="15"/>
          <w:color w:val="auto"/>
        </w:rPr>
      </w:pPr>
      <w:r>
        <w:rPr>
          <w:rFonts w:ascii="Arial" w:cs="Arial" w:eastAsia="Arial" w:hAnsi="Arial"/>
          <w:sz w:val="15"/>
          <w:szCs w:val="15"/>
          <w:color w:val="auto"/>
        </w:rPr>
        <w:t>we may experience difficulties and delays in ramping production from joint ventures; and</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1"/>
          <w:numId w:val="3"/>
        </w:numPr>
        <w:rPr>
          <w:rFonts w:ascii="Arial" w:cs="Arial" w:eastAsia="Arial" w:hAnsi="Arial"/>
          <w:sz w:val="15"/>
          <w:szCs w:val="15"/>
          <w:color w:val="auto"/>
        </w:rPr>
      </w:pPr>
      <w:r>
        <w:rPr>
          <w:rFonts w:ascii="Arial" w:cs="Arial" w:eastAsia="Arial" w:hAnsi="Arial"/>
          <w:sz w:val="15"/>
          <w:szCs w:val="15"/>
          <w:color w:val="auto"/>
        </w:rPr>
        <w:t>political or economic instability may occur in the countries where our joint ventures and/or partners are located.</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If our joint ventures and strategic partnerships are unsuccessful our business, results of operations or financial condition may be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Economic conditions may harm our business.</w:t>
      </w:r>
    </w:p>
    <w:p>
      <w:pPr>
        <w:spacing w:after="0" w:line="228"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Economic and business conditions, including a continuing downturn in the semiconductor memory industry or the overall economy could adversely affect our business. Adverse conditions may affect consumer demand for devices that incorporate our products such as mobile phones, personal computers, Flash memory cards and USB devices. Reduced demand for our products could result in market oversupply and significant decreases in our selling prices. A continuation of conditions in credit markets would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our business, results of operations or financial condition could be materially adversely affected.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We may incur additional restructure charges or not realize the expected benefits of new initiatives to reduce costs across our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On October 9, 2008 we announced a plan to restructure our memory operations including IM Flash’s shutdown of 200mm wafer NAND flash memory production at our Boise</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facility. The NAND Flash production shutdown will reduce IM Flash’s NAND flash production by approximately 35,000 200mm wafers per month. In addition, we and Intel agreed to suspend tooling and the ramp of production at IM Flash’s Singapore wafer fabrication plant. As part of this restructuring, we plan to reduce our global workforce by approximately 15 percent during 2009 and 2010. Cash costs for restructuring and other related expenses incurred in connection with this restructuring are anticipated to be approximately $60 million, and the benefit to our cash operating results for 2009 is expected to exceed $175 million. We may incur additional restructure costs or not realize the expected benefits of these new initiatives. As a result of these initiatives, we expect to lose production output, incur restructuring or other infrequent charges and we may experience disruptions in our operations, loss of key personnel and difficulties in delivering products timely.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acquisition of a 35.6% interest in Inotera Memories, Inc. involves numerous risks.</w:t>
      </w:r>
    </w:p>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On October 12, 2008, we announced that we had entered into an agreement to acquire Qimonda AG’s 35.6% ownership stake in Inotera Memories, Inc., a Taiwanese DRAM memory manufacturer, for $400 million in cash. We received commitments of $285 million of term loans to fund this acquisition in part. Inotera is expected to implement the Company’s stack process technology. We expect to eventually gain access to approximately 60,000 300mm DRAM wafers per month, 50% of Inotera’s output. Our acquisition of an interest in Inotera involves numerous risks including the following:</w:t>
      </w:r>
    </w:p>
    <w:p>
      <w:pPr>
        <w:spacing w:after="0" w:line="180" w:lineRule="exact"/>
        <w:rPr>
          <w:sz w:val="20"/>
          <w:szCs w:val="20"/>
          <w:color w:val="auto"/>
        </w:rPr>
      </w:pPr>
    </w:p>
    <w:p>
      <w:pPr>
        <w:ind w:left="820" w:hanging="108"/>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difficulties in converting Inotera production from Qimonda’s trench technology to our stack technology;</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difficulties in obtaining financing for capital expenditures necessary to convert Inotera production to our stack technology;</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increasing debt to finance the acquisition;</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uncertainties around the timing and amount of wafer supply received;</w:t>
      </w:r>
    </w:p>
    <w:p>
      <w:pPr>
        <w:spacing w:after="0" w:line="221" w:lineRule="exact"/>
        <w:rPr>
          <w:rFonts w:ascii="Arial" w:cs="Arial" w:eastAsia="Arial" w:hAnsi="Arial"/>
          <w:sz w:val="15"/>
          <w:szCs w:val="15"/>
          <w:color w:val="auto"/>
        </w:rPr>
      </w:pPr>
    </w:p>
    <w:p>
      <w:pPr>
        <w:ind w:left="820" w:hanging="108"/>
        <w:spacing w:after="0" w:line="290" w:lineRule="auto"/>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obligations during the technology transition period to procure product based on a competitor’s technology which may be difficult to sell and provide product support for due to our limited understanding of the technology;</w:t>
      </w:r>
    </w:p>
    <w:p>
      <w:pPr>
        <w:spacing w:after="0" w:line="162" w:lineRule="exact"/>
        <w:rPr>
          <w:rFonts w:ascii="Arial" w:cs="Arial" w:eastAsia="Arial" w:hAnsi="Arial"/>
          <w:sz w:val="15"/>
          <w:szCs w:val="15"/>
          <w:color w:val="auto"/>
        </w:rPr>
      </w:pPr>
    </w:p>
    <w:p>
      <w:pPr>
        <w:ind w:left="820" w:hanging="108"/>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uncertainties relating to Qimonda’s purchase of certain agreed quantities of products made using Qimonda’s trench technology during the technology transition period;</w:t>
      </w:r>
    </w:p>
    <w:p>
      <w:pPr>
        <w:spacing w:after="0" w:line="233" w:lineRule="exact"/>
        <w:rPr>
          <w:rFonts w:ascii="Arial" w:cs="Arial" w:eastAsia="Arial" w:hAnsi="Arial"/>
          <w:sz w:val="14"/>
          <w:szCs w:val="14"/>
          <w:color w:val="auto"/>
        </w:rPr>
      </w:pPr>
    </w:p>
    <w:p>
      <w:pPr>
        <w:ind w:left="820" w:hanging="108"/>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uncertainties relating to Qimonda’s financial stability prior to and after the final closing of the transaction; and</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inability to reach satisfactory joint venture agreements.</w:t>
      </w:r>
    </w:p>
    <w:p>
      <w:pPr>
        <w:spacing w:after="0" w:line="222"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As a result of these risks, we may be unable to complete the Inotera acquisition or achieve our objectives for the acquisition, which may materially adversely affect our business, results of operations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 adverse result in our litigation matters could materially adversely affect our business, results of operations or financial condition.</w:t>
      </w:r>
    </w:p>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On January 13, 2006, Rambus, Inc. (“Rambus”) filed a lawsuit against us in the U.S. District Court for the Northern District of California. Rambus alleges that certain of our DDR2, DDR3, RLDRAM, and RLDRAM II products infringe as many as eighteen Rambus patents and seeks monetary damages, treble damages, and injunctive relief. The accused products account for a significant portion of our net sales. On June 2, 2006, we filed an answer and counterclaim against Rambus alleging, among other things, antitrust and fraud claims. Trial on the patent phase of that case is currently scheduled to begin January 19, 2009.</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ind w:right="80"/>
        <w:spacing w:after="0" w:line="293" w:lineRule="auto"/>
        <w:rPr>
          <w:sz w:val="20"/>
          <w:szCs w:val="20"/>
          <w:color w:val="auto"/>
        </w:rPr>
      </w:pPr>
      <w:r>
        <w:rPr>
          <w:rFonts w:ascii="Arial" w:cs="Arial" w:eastAsia="Arial" w:hAnsi="Arial"/>
          <w:sz w:val="14"/>
          <w:szCs w:val="14"/>
          <w:color w:val="auto"/>
        </w:rPr>
        <w:t>On May 5, 2004, Rambus filed a lawsuit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 Trial is currently scheduled to begin in March 2009. (See “Item 3. Legal Proceedings” for additional details on these cases and other Rambus matters pending in Europe and Delaware.)</w:t>
      </w:r>
    </w:p>
    <w:p>
      <w:pPr>
        <w:spacing w:after="0" w:line="164" w:lineRule="exact"/>
        <w:rPr>
          <w:sz w:val="20"/>
          <w:szCs w:val="20"/>
          <w:color w:val="auto"/>
        </w:rPr>
      </w:pPr>
    </w:p>
    <w:p>
      <w:pPr>
        <w:ind w:right="400"/>
        <w:spacing w:after="0" w:line="290" w:lineRule="auto"/>
        <w:rPr>
          <w:sz w:val="20"/>
          <w:szCs w:val="20"/>
          <w:color w:val="auto"/>
        </w:rPr>
      </w:pPr>
      <w:r>
        <w:rPr>
          <w:rFonts w:ascii="Arial" w:cs="Arial" w:eastAsia="Arial" w:hAnsi="Arial"/>
          <w:sz w:val="15"/>
          <w:szCs w:val="15"/>
          <w:color w:val="auto"/>
        </w:rPr>
        <w:t>We are unable to predict the outcome of these lawsuits. The adverse resolution of these lawsuits could result in significant liability and could have a material adverse effect on our business, results of operations or financial condition.</w:t>
      </w:r>
    </w:p>
    <w:p>
      <w:pPr>
        <w:spacing w:after="0" w:line="157" w:lineRule="exact"/>
        <w:rPr>
          <w:sz w:val="20"/>
          <w:szCs w:val="20"/>
          <w:color w:val="auto"/>
        </w:rPr>
      </w:pPr>
    </w:p>
    <w:p>
      <w:pPr>
        <w:ind w:right="360"/>
        <w:spacing w:after="0" w:line="298" w:lineRule="auto"/>
        <w:rPr>
          <w:sz w:val="20"/>
          <w:szCs w:val="20"/>
          <w:color w:val="auto"/>
        </w:rPr>
      </w:pPr>
      <w:r>
        <w:rPr>
          <w:rFonts w:ascii="Arial" w:cs="Arial" w:eastAsia="Arial" w:hAnsi="Arial"/>
          <w:sz w:val="15"/>
          <w:szCs w:val="15"/>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57"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We are engaged in patent litigation with Mosaid Technologies, Inc. ("Mosaid") in the U.S. District Court for the Northern District of California. Mosaid alleges that certain of our DRAM and CMOS image sensor products infringe up to twelve Mosaid patents and seeks monetary damages, treble damages, and injunctive relief. The accused products account for a significant portion of our net sales. Trial is currently scheduled for June 5, 2009. (See “Item 3. Legal Proceedings” for additional details.)</w:t>
      </w:r>
    </w:p>
    <w:p>
      <w:pPr>
        <w:spacing w:after="0" w:line="174" w:lineRule="exact"/>
        <w:rPr>
          <w:sz w:val="20"/>
          <w:szCs w:val="20"/>
          <w:color w:val="auto"/>
        </w:rPr>
      </w:pPr>
    </w:p>
    <w:p>
      <w:pPr>
        <w:ind w:right="300"/>
        <w:spacing w:after="0" w:line="274" w:lineRule="auto"/>
        <w:rPr>
          <w:sz w:val="20"/>
          <w:szCs w:val="20"/>
          <w:color w:val="auto"/>
        </w:rPr>
      </w:pPr>
      <w:r>
        <w:rPr>
          <w:rFonts w:ascii="Arial" w:cs="Arial" w:eastAsia="Arial" w:hAnsi="Arial"/>
          <w:sz w:val="15"/>
          <w:szCs w:val="15"/>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74" w:lineRule="exact"/>
        <w:rPr>
          <w:sz w:val="20"/>
          <w:szCs w:val="20"/>
          <w:color w:val="auto"/>
        </w:rPr>
      </w:pPr>
    </w:p>
    <w:p>
      <w:pPr>
        <w:spacing w:after="0" w:line="371" w:lineRule="auto"/>
        <w:rPr>
          <w:sz w:val="20"/>
          <w:szCs w:val="20"/>
          <w:color w:val="auto"/>
        </w:rPr>
      </w:pPr>
      <w:r>
        <w:rPr>
          <w:rFonts w:ascii="Arial" w:cs="Arial" w:eastAsia="Arial" w:hAnsi="Arial"/>
          <w:sz w:val="13"/>
          <w:szCs w:val="13"/>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Allegations of anticompetitive conduct.</w:t>
      </w:r>
    </w:p>
    <w:p>
      <w:pPr>
        <w:spacing w:after="0" w:line="228"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January 29, 2008, the Northern District of California Court granted in part and denied in part our motion to dismiss the plaintiff’s second amended consolidated complaint. The District Court subsequently certified the decision for interlocutory appeal. On February 27, 2008, plaintiffs filed a third amended complaint. On June 26, 2008, the United States Court of Appeals for the Ninth Circuit accepted plaintiffs’ interlocutory appeal. (See “Item 3. Legal Proceedings” for additional details on these cases and related matters.)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Various states, through their Attorneys General, have filed suit against us and other DRAM manufacturers alleging violations of state and federal competition 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(See “Item 3. Legal Proceedings” for additional details on these cases and related matters.)</w:t>
      </w:r>
    </w:p>
    <w:p>
      <w:pPr>
        <w:spacing w:after="0" w:line="180"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A number of purported class action lawsuits have been filed against us and other SRAM suppliers asserting claims on behalf of a purported class of individuals and entities that purchased SRAM directly or indirectly from various SRAM suppliers. The complaints allege price fixing in violation of federal antitrust laws and state antitrust and unfair competition laws and seek treble monetary damages, restitution, costs, interest and attorneys' fees. The first trial in these cases is currently scheduled for September 2010. (See “Item 3. Legal Proceedings” for additional details on these cases and related matters.)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16" w:name="page17"/>
    <w:bookmarkEnd w:id="16"/>
    <w:p>
      <w:pPr>
        <w:jc w:val="both"/>
        <w:ind w:right="60"/>
        <w:spacing w:after="0" w:line="274" w:lineRule="auto"/>
        <w:rPr>
          <w:sz w:val="20"/>
          <w:szCs w:val="20"/>
          <w:color w:val="auto"/>
        </w:rPr>
      </w:pPr>
      <w:r>
        <w:rPr>
          <w:rFonts w:ascii="Arial" w:cs="Arial" w:eastAsia="Arial" w:hAnsi="Arial"/>
          <w:sz w:val="15"/>
          <w:szCs w:val="15"/>
          <w:color w:val="auto"/>
        </w:rPr>
        <w:t>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 (See “Item 3. Legal Proceedings” for additional details on these cases and related matters.)</w:t>
      </w:r>
    </w:p>
    <w:p>
      <w:pPr>
        <w:spacing w:after="0" w:line="174"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Allegations of violations of securities laws.</w:t>
      </w:r>
    </w:p>
    <w:p>
      <w:pPr>
        <w:spacing w:after="0" w:line="228"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 (See “Item 3. Legal Proceedings” for additional details on these cases and related matters.)</w:t>
      </w:r>
    </w:p>
    <w:p>
      <w:pPr>
        <w:spacing w:after="0" w:line="184"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 in our debt instruments may obligate us to repay debt, increase contributions to our TECH joint venture and limit our ability to obtain financing.</w:t>
      </w:r>
    </w:p>
    <w:p>
      <w:pPr>
        <w:spacing w:after="0" w:line="228"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Our ability to comply with the financial and other covenants contained in our debt may be affected by economic or business conditions or other events. As of August 28, 2008, the Company had notes payable of $108 million, denominated in Japanese yen, that were subject to covenants, including the ratio of debt to equity. As a result of financing that we are pursuing for our acquisition of a 35.6% interest in Inotera, we may prepay all of this yen-denominated debt in the first quarter of 2009 to avoid defaulting on these covenants. In addition, as of August 28, 2008, our 73% owned TECH Semiconductor Singapore Pte. Ltd., (“TECH”) subsidiary, had $600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Additionally, if TECH is unable to repay its borrowings when due, the lenders under TECH’s credit facility could proceed against substantially all of TECH’s assets. We have guaranteed approximately 73% of the outstanding amount of TECH’s credit facility, and our obligation increases to 100% of the outstanding amount of the facility upon the occurrence of certain conditions. If TECH’s debt is accelerated, we may not have sufficient assets to repay amounts due. Existing covenant restrictions may limit our ability to obtain additional debt financing and to avoid covenant defaults we may have to pay off debt obligations and make additional contributions to TECH, which could adversely affect our liquidity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Products that fail to meet specifications, are defective or that are otherwise incompatible with end uses could impose significant costs on us.</w:t>
      </w:r>
    </w:p>
    <w:p>
      <w:pPr>
        <w:spacing w:after="0" w:line="228"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63" w:lineRule="exact"/>
        <w:rPr>
          <w:sz w:val="20"/>
          <w:szCs w:val="20"/>
          <w:color w:val="auto"/>
        </w:rPr>
      </w:pPr>
    </w:p>
    <w:p>
      <w:pPr>
        <w:jc w:val="both"/>
        <w:ind w:right="60"/>
        <w:spacing w:after="0" w:line="274" w:lineRule="auto"/>
        <w:rPr>
          <w:sz w:val="20"/>
          <w:szCs w:val="20"/>
          <w:color w:val="auto"/>
        </w:rPr>
      </w:pPr>
      <w:r>
        <w:rPr>
          <w:rFonts w:ascii="Arial" w:cs="Arial" w:eastAsia="Arial" w:hAnsi="Arial"/>
          <w:sz w:val="15"/>
          <w:szCs w:val="15"/>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7" w:name="page18"/>
    <w:bookmarkEnd w:id="17"/>
    <w:p>
      <w:pPr>
        <w:ind w:left="820" w:hanging="108"/>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may replace product or otherwise compensate customers for costs incurred or damages caused by defective or incompatible product, and</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may encounter adverse publicity, which could cause a decrease in sales of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debt level is higher than compared to historical periods.</w:t>
      </w:r>
    </w:p>
    <w:p>
      <w:pPr>
        <w:spacing w:after="0" w:line="228" w:lineRule="exact"/>
        <w:rPr>
          <w:sz w:val="20"/>
          <w:szCs w:val="20"/>
          <w:color w:val="auto"/>
        </w:rPr>
      </w:pPr>
    </w:p>
    <w:p>
      <w:pPr>
        <w:jc w:val="both"/>
        <w:ind w:right="280"/>
        <w:spacing w:after="0" w:line="274" w:lineRule="auto"/>
        <w:rPr>
          <w:sz w:val="20"/>
          <w:szCs w:val="20"/>
          <w:color w:val="auto"/>
        </w:rPr>
      </w:pPr>
      <w:r>
        <w:rPr>
          <w:rFonts w:ascii="Arial" w:cs="Arial" w:eastAsia="Arial" w:hAnsi="Arial"/>
          <w:sz w:val="15"/>
          <w:szCs w:val="15"/>
          <w:color w:val="auto"/>
        </w:rPr>
        <w:t>We currently have a higher level of debt compared to historical periods. As of August 28, 2008, we had $2.7 billion of debt, and we will incur an additional $285 million of debt in connection with our acquisition of a 35.6% interest in Inotera. We may need to incur additional debt in the future. Our debt level could have a negative impact on us. For example it could:</w:t>
      </w:r>
    </w:p>
    <w:p>
      <w:pPr>
        <w:spacing w:after="0" w:line="174" w:lineRule="exact"/>
        <w:rPr>
          <w:sz w:val="20"/>
          <w:szCs w:val="20"/>
          <w:color w:val="auto"/>
        </w:rPr>
      </w:pPr>
    </w:p>
    <w:p>
      <w:pPr>
        <w:ind w:left="820" w:hanging="108"/>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make it more difficult for us to make payments on our debt;</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require us to dedicate a substantial portion of our cash flow from operations and other capital resources to debt service;</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limit our future ability to raise funds for capital expenditures, acquisitions, research and development and other general corporate requirements;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increase our vulnerability to adverse economic and semiconductor memory industry conditions;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expose us to fluctuations in interest rates with respect to that portion of our debt which is at variable rate of interest; and</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require us to make additional investments in joint ventures to maintain compliance with financial covenants.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product development may be unsuccessful.</w:t>
      </w:r>
    </w:p>
    <w:p>
      <w:pPr>
        <w:spacing w:after="0" w:line="228"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77" w:lineRule="exact"/>
        <w:rPr>
          <w:sz w:val="20"/>
          <w:szCs w:val="20"/>
          <w:color w:val="auto"/>
        </w:rPr>
      </w:pPr>
    </w:p>
    <w:p>
      <w:pPr>
        <w:ind w:right="400"/>
        <w:spacing w:after="0" w:line="298" w:lineRule="auto"/>
        <w:rPr>
          <w:sz w:val="20"/>
          <w:szCs w:val="20"/>
          <w:color w:val="auto"/>
        </w:rPr>
      </w:pPr>
      <w:r>
        <w:rPr>
          <w:rFonts w:ascii="Arial" w:cs="Arial" w:eastAsia="Arial" w:hAnsi="Arial"/>
          <w:sz w:val="15"/>
          <w:szCs w:val="15"/>
          <w:b w:val="1"/>
          <w:bCs w:val="1"/>
          <w:color w:val="auto"/>
        </w:rPr>
        <w:t>The future success of our Imaging business will be dependent on continued market acceptance of our products and the development, introduction and marketing of new Imaging products.</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face competition in the image sensor market from a number of suppliers of CMOS image sensors including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80"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In recent years, our Imaging net sales and gross margins decreased and we faced increased competition. There can be no assurance that we will be able to grow or maintain our market share or gross margins for Imaging products in the future. The success of our Imaging business will depend on a number of factors, including:</w:t>
      </w:r>
    </w:p>
    <w:p>
      <w:pPr>
        <w:spacing w:after="0" w:line="163" w:lineRule="exact"/>
        <w:rPr>
          <w:sz w:val="20"/>
          <w:szCs w:val="20"/>
          <w:color w:val="auto"/>
        </w:rPr>
      </w:pPr>
    </w:p>
    <w:p>
      <w:pPr>
        <w:ind w:left="820" w:hanging="108"/>
        <w:spacing w:after="0"/>
        <w:tabs>
          <w:tab w:leader="none" w:pos="82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development of products that maintain a technological advantage over the products of our competitors;</w:t>
      </w:r>
    </w:p>
    <w:p>
      <w:pPr>
        <w:spacing w:after="0" w:line="221" w:lineRule="exact"/>
        <w:rPr>
          <w:rFonts w:ascii="Arial" w:cs="Arial" w:eastAsia="Arial" w:hAnsi="Arial"/>
          <w:sz w:val="15"/>
          <w:szCs w:val="15"/>
          <w:color w:val="auto"/>
        </w:rPr>
      </w:pPr>
    </w:p>
    <w:p>
      <w:pPr>
        <w:ind w:left="820" w:right="20" w:hanging="108"/>
        <w:spacing w:after="0" w:line="290" w:lineRule="auto"/>
        <w:tabs>
          <w:tab w:leader="none" w:pos="8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accurate prediction of market requirements and evolving standards, including pixel resolution, output interface standards, power requirements, optical lens size, input standards and other requirements;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18" w:name="page19"/>
    <w:bookmarkEnd w:id="18"/>
    <w:p>
      <w:pPr>
        <w:ind w:left="820" w:hanging="108"/>
        <w:spacing w:after="0"/>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timely completion and introduction of new Imaging products that satisfy customer requirements;</w:t>
      </w:r>
    </w:p>
    <w:p>
      <w:pPr>
        <w:spacing w:after="0" w:line="221" w:lineRule="exact"/>
        <w:rPr>
          <w:rFonts w:ascii="Arial" w:cs="Arial" w:eastAsia="Arial" w:hAnsi="Arial"/>
          <w:sz w:val="15"/>
          <w:szCs w:val="15"/>
          <w:color w:val="auto"/>
        </w:rPr>
      </w:pPr>
    </w:p>
    <w:p>
      <w:pPr>
        <w:ind w:left="820" w:right="20" w:hanging="108"/>
        <w:spacing w:after="0" w:line="290" w:lineRule="auto"/>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62" w:lineRule="exact"/>
        <w:rPr>
          <w:rFonts w:ascii="Arial" w:cs="Arial" w:eastAsia="Arial" w:hAnsi="Arial"/>
          <w:sz w:val="15"/>
          <w:szCs w:val="15"/>
          <w:color w:val="auto"/>
        </w:rPr>
      </w:pPr>
    </w:p>
    <w:p>
      <w:pPr>
        <w:ind w:left="820" w:hanging="108"/>
        <w:spacing w:after="0"/>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efficient, cost-effective manufacturing as we transition to new products and higher volumes.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efforts to restructure our Imaging business may be unsuccessful.</w:t>
      </w:r>
    </w:p>
    <w:p>
      <w:pPr>
        <w:spacing w:after="0" w:line="228"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are exploring partnering arrangements with outside parties regarding the separation of our Aptina Imaging business to an independent entity in which we would retain a significant minority ownership interest. To that end, we began operating our Imaging business as a separate, wholly-owned, subsidiary in October 2008. To the extent we form a partnering arrangement, the resulting business model may not be successful and the Imaging operations revenues and margins could be adversely affected. We may incur significant costs to convert Imaging operations to a new business structure and operations could be disrupted. In addition, we may lose key personnel. If our efforts to restructure the Imaging business are unsuccessful, our business, results of operations or financial condition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expect to make future acquisitions and alliances, which involve numerous risks.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Acquisitions and the formation of alliances such as joint ventures and other partnering arrangements, involve numerous risks including the following:</w:t>
      </w:r>
    </w:p>
    <w:p>
      <w:pPr>
        <w:spacing w:after="0" w:line="222" w:lineRule="exact"/>
        <w:rPr>
          <w:sz w:val="20"/>
          <w:szCs w:val="20"/>
          <w:color w:val="auto"/>
        </w:rPr>
      </w:pPr>
    </w:p>
    <w:p>
      <w:pPr>
        <w:ind w:left="820" w:hanging="108"/>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difficulties in integrating the operations, technologies and products of acquired or newly formed entities;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increasing capital expenditures to upgrade and maintain facilities;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increasing debt to finance any acquisition or formation of a new business;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difficulties in protecting our intellectual property as we enter into a greater number of licensing arrangements;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diverting management’s attention from normal daily operations;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managing larger or more complex operations and facilities and employees in separate geographic areas; and</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hiring and retaining key employees.</w:t>
      </w:r>
    </w:p>
    <w:p>
      <w:pPr>
        <w:spacing w:after="0" w:line="222"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net operating loss and tax credit carryforwards may be limited.</w:t>
      </w:r>
    </w:p>
    <w:p>
      <w:pPr>
        <w:spacing w:after="0" w:line="228"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674" w:right="21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color w:val="auto"/>
        </w:rPr>
        <w:t>Changes in foreign currency exchange rates could materially adversely affect our business, results of operations or financial condition.</w:t>
      </w:r>
    </w:p>
    <w:p>
      <w:pPr>
        <w:spacing w:after="0" w:line="228"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Our financial statements are prepared in accordance with U.S. GAAP and are reported in U.S. dollars. Across our multi-national operations, there are transactions and balances denominated in other currencies, primarily the euro, yen and Singapore dollar. We recorded a net loss of $25 million from changes in currency exchange rates for 2008. We estimate that, based on its assets and liabilities denominated in currencies other than the U.S. dollar as of August 28, 2008, a 1% change in the exchange rate versus the U.S. dollar would result in foreign currency gains or losses of approximately U.S. $1 million for the euro and yen. In the event that the U.S. dollar weakens significantly compared to the euro, yen or Singapore dollar, our results of operations or financial condition will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face risks associated with our international sales and operations that could materially adversely affect our business, results of operations or financial condition.</w:t>
      </w:r>
    </w:p>
    <w:p>
      <w:pPr>
        <w:spacing w:after="0" w:line="239" w:lineRule="exact"/>
        <w:rPr>
          <w:sz w:val="20"/>
          <w:szCs w:val="20"/>
          <w:color w:val="auto"/>
        </w:rPr>
      </w:pPr>
    </w:p>
    <w:p>
      <w:pPr>
        <w:ind w:right="300"/>
        <w:spacing w:after="0" w:line="290" w:lineRule="auto"/>
        <w:rPr>
          <w:sz w:val="20"/>
          <w:szCs w:val="20"/>
          <w:color w:val="auto"/>
        </w:rPr>
      </w:pPr>
      <w:r>
        <w:rPr>
          <w:rFonts w:ascii="Arial" w:cs="Arial" w:eastAsia="Arial" w:hAnsi="Arial"/>
          <w:sz w:val="15"/>
          <w:szCs w:val="15"/>
          <w:color w:val="auto"/>
        </w:rPr>
        <w:t>Sales to customers outside the United States approximated 75% of our consolidated net sales for 2008. In addition, we have manufacturing operations in China, Italy, Japan, Puerto Rico and Singapore. Our international sales and operations are subject to a variety of risks, including:</w:t>
      </w:r>
    </w:p>
    <w:p>
      <w:pPr>
        <w:spacing w:after="0" w:line="163" w:lineRule="exact"/>
        <w:rPr>
          <w:sz w:val="20"/>
          <w:szCs w:val="20"/>
          <w:color w:val="auto"/>
        </w:rPr>
      </w:pPr>
    </w:p>
    <w:p>
      <w:pPr>
        <w:ind w:left="820" w:hanging="108"/>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currency exchange rate fluctuations;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export and import duties, changes to import and export regulations, and restrictions on the transfer of funds;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political and economic instability;</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problems with the transportation or delivery of our products;</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issues arising from cultural or language differences and labor unrest;</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longer payment cycles and greater difficulty in collecting accounts receivable; and</w:t>
      </w:r>
    </w:p>
    <w:p>
      <w:pPr>
        <w:spacing w:after="0" w:line="221" w:lineRule="exact"/>
        <w:rPr>
          <w:rFonts w:ascii="Arial" w:cs="Arial" w:eastAsia="Arial" w:hAnsi="Arial"/>
          <w:sz w:val="15"/>
          <w:szCs w:val="15"/>
          <w:color w:val="auto"/>
        </w:rPr>
      </w:pPr>
    </w:p>
    <w:p>
      <w:pPr>
        <w:ind w:left="820" w:hanging="108"/>
        <w:spacing w:after="0"/>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compliance with trade and other laws in a variety of jurisdictions.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These factors may materially adversely affect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our manufacturing process is disrupted, our business, results of operations or financial condition could be materially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We manufacture products using highly complex processes that require technologically advanced equipment and continuous modification to improve yields and</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performance. Difficulties in the manufacturing process or the effects from a shift in product mix can reduce yields or disrupt production and may increase our per gigabit manufacturing costs. Additionally, our control over operations at our IM Flash, TECH, Inotera, MeiYa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Disruptions in our supply of raw materials could materially adversely affect our business, results of operations or financial condition.</w:t>
      </w:r>
    </w:p>
    <w:p>
      <w:pPr>
        <w:spacing w:after="0" w:line="228" w:lineRule="exact"/>
        <w:rPr>
          <w:sz w:val="20"/>
          <w:szCs w:val="20"/>
          <w:color w:val="auto"/>
        </w:rPr>
      </w:pPr>
    </w:p>
    <w:p>
      <w:pPr>
        <w:jc w:val="both"/>
        <w:ind w:right="200"/>
        <w:spacing w:after="0" w:line="274" w:lineRule="auto"/>
        <w:rPr>
          <w:sz w:val="20"/>
          <w:szCs w:val="20"/>
          <w:color w:val="auto"/>
        </w:rPr>
      </w:pPr>
      <w:r>
        <w:rPr>
          <w:rFonts w:ascii="Arial" w:cs="Arial" w:eastAsia="Arial" w:hAnsi="Arial"/>
          <w:sz w:val="15"/>
          <w:szCs w:val="15"/>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line="274" w:lineRule="auto"/>
        <w:rPr>
          <w:sz w:val="20"/>
          <w:szCs w:val="20"/>
          <w:color w:val="auto"/>
        </w:rPr>
      </w:pPr>
      <w:r>
        <w:rPr>
          <w:rFonts w:ascii="Arial" w:cs="Arial" w:eastAsia="Arial" w:hAnsi="Arial"/>
          <w:sz w:val="15"/>
          <w:szCs w:val="15"/>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1B. </w:t>
      </w:r>
      <w:r>
        <w:rPr>
          <w:rFonts w:ascii="Arial" w:cs="Arial" w:eastAsia="Arial" w:hAnsi="Arial"/>
          <w:sz w:val="15"/>
          <w:szCs w:val="15"/>
          <w:b w:val="1"/>
          <w:bCs w:val="1"/>
          <w:i w:val="1"/>
          <w:iCs w:val="1"/>
          <w:color w:val="auto"/>
        </w:rPr>
        <w:t>Unresolved Staff Comments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465" w:right="279" w:bottom="1440" w:gutter="0" w:footer="0" w:header="0"/>
        </w:sectPr>
      </w:pPr>
    </w:p>
    <w:bookmarkStart w:id="21" w:name="page22"/>
    <w:bookmarkEnd w:id="21"/>
    <w:p>
      <w:pPr>
        <w:ind w:left="7"/>
        <w:spacing w:after="0"/>
        <w:rPr>
          <w:sz w:val="20"/>
          <w:szCs w:val="20"/>
          <w:color w:val="auto"/>
        </w:rPr>
      </w:pPr>
      <w:r>
        <w:rPr>
          <w:rFonts w:ascii="Arial" w:cs="Arial" w:eastAsia="Arial" w:hAnsi="Arial"/>
          <w:sz w:val="15"/>
          <w:szCs w:val="15"/>
          <w:b w:val="1"/>
          <w:bCs w:val="1"/>
          <w:color w:val="auto"/>
        </w:rPr>
        <w:t xml:space="preserve">Item 2. </w:t>
      </w:r>
      <w:r>
        <w:rPr>
          <w:rFonts w:ascii="Arial" w:cs="Arial" w:eastAsia="Arial" w:hAnsi="Arial"/>
          <w:sz w:val="15"/>
          <w:szCs w:val="15"/>
          <w:b w:val="1"/>
          <w:bCs w:val="1"/>
          <w:i w:val="1"/>
          <w:iCs w:val="1"/>
          <w:color w:val="auto"/>
        </w:rPr>
        <w:t>Properties</w:t>
      </w:r>
    </w:p>
    <w:p>
      <w:pPr>
        <w:spacing w:after="0" w:line="228"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Company’s corporate headquarters are located in Boise, Idaho. The following is a summary of the Company’s principal facilities:</w:t>
      </w:r>
    </w:p>
    <w:p>
      <w:pPr>
        <w:spacing w:after="0" w:line="216" w:lineRule="exact"/>
        <w:rPr>
          <w:sz w:val="20"/>
          <w:szCs w:val="20"/>
          <w:color w:val="auto"/>
        </w:rPr>
      </w:pPr>
    </w:p>
    <w:tbl>
      <w:tblPr>
        <w:tblLayout w:type="fixed"/>
        <w:tblInd w:w="7" w:type="dxa"/>
        <w:tblCellMar>
          <w:top w:w="0" w:type="dxa"/>
          <w:left w:w="0" w:type="dxa"/>
          <w:bottom w:w="0" w:type="dxa"/>
          <w:right w:w="0" w:type="dxa"/>
        </w:tblCellMar>
      </w:tblPr>
      <w:tr>
        <w:trPr>
          <w:trHeight w:val="205"/>
        </w:trPr>
        <w:tc>
          <w:tcPr>
            <w:tcW w:w="2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Location</w:t>
            </w:r>
          </w:p>
        </w:tc>
        <w:tc>
          <w:tcPr>
            <w:tcW w:w="896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Principal Operations</w:t>
            </w:r>
          </w:p>
        </w:tc>
      </w:tr>
      <w:tr>
        <w:trPr>
          <w:trHeight w:val="360"/>
        </w:trPr>
        <w:tc>
          <w:tcPr>
            <w:tcW w:w="2480" w:type="dxa"/>
            <w:vAlign w:val="bottom"/>
          </w:tcPr>
          <w:p>
            <w:pPr>
              <w:spacing w:after="0"/>
              <w:rPr>
                <w:sz w:val="20"/>
                <w:szCs w:val="20"/>
                <w:color w:val="auto"/>
              </w:rPr>
            </w:pPr>
            <w:r>
              <w:rPr>
                <w:rFonts w:ascii="Arial" w:cs="Arial" w:eastAsia="Arial" w:hAnsi="Arial"/>
                <w:sz w:val="15"/>
                <w:szCs w:val="15"/>
                <w:color w:val="auto"/>
              </w:rPr>
              <w:t>Boise, Idaho</w:t>
            </w:r>
          </w:p>
        </w:tc>
        <w:tc>
          <w:tcPr>
            <w:tcW w:w="8960" w:type="dxa"/>
            <w:vAlign w:val="bottom"/>
          </w:tcPr>
          <w:p>
            <w:pPr>
              <w:ind w:left="1040"/>
              <w:spacing w:after="0"/>
              <w:rPr>
                <w:sz w:val="20"/>
                <w:szCs w:val="20"/>
                <w:color w:val="auto"/>
              </w:rPr>
            </w:pPr>
            <w:r>
              <w:rPr>
                <w:rFonts w:ascii="Arial" w:cs="Arial" w:eastAsia="Arial" w:hAnsi="Arial"/>
                <w:sz w:val="15"/>
                <w:szCs w:val="15"/>
                <w:color w:val="auto"/>
              </w:rPr>
              <w:t>Wafer fabrication, test and assembly, reticle manufacturing and R&amp;D</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Lehi, Utah</w:t>
            </w:r>
          </w:p>
        </w:tc>
        <w:tc>
          <w:tcPr>
            <w:tcW w:w="8960" w:type="dxa"/>
            <w:vAlign w:val="bottom"/>
          </w:tcPr>
          <w:p>
            <w:pPr>
              <w:ind w:left="1040"/>
              <w:spacing w:after="0"/>
              <w:rPr>
                <w:sz w:val="20"/>
                <w:szCs w:val="20"/>
                <w:color w:val="auto"/>
              </w:rPr>
            </w:pPr>
            <w:r>
              <w:rPr>
                <w:rFonts w:ascii="Arial" w:cs="Arial" w:eastAsia="Arial" w:hAnsi="Arial"/>
                <w:sz w:val="15"/>
                <w:szCs w:val="15"/>
                <w:color w:val="auto"/>
              </w:rPr>
              <w:t>Wafer fabrication</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Manassas, Virginia</w:t>
            </w:r>
          </w:p>
        </w:tc>
        <w:tc>
          <w:tcPr>
            <w:tcW w:w="8960" w:type="dxa"/>
            <w:vAlign w:val="bottom"/>
          </w:tcPr>
          <w:p>
            <w:pPr>
              <w:ind w:left="1040"/>
              <w:spacing w:after="0"/>
              <w:rPr>
                <w:sz w:val="20"/>
                <w:szCs w:val="20"/>
                <w:color w:val="auto"/>
              </w:rPr>
            </w:pPr>
            <w:r>
              <w:rPr>
                <w:rFonts w:ascii="Arial" w:cs="Arial" w:eastAsia="Arial" w:hAnsi="Arial"/>
                <w:sz w:val="15"/>
                <w:szCs w:val="15"/>
                <w:color w:val="auto"/>
              </w:rPr>
              <w:t>Wafer fabrication</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Singapore</w:t>
            </w:r>
          </w:p>
        </w:tc>
        <w:tc>
          <w:tcPr>
            <w:tcW w:w="8960" w:type="dxa"/>
            <w:vAlign w:val="bottom"/>
          </w:tcPr>
          <w:p>
            <w:pPr>
              <w:ind w:left="1040"/>
              <w:spacing w:after="0"/>
              <w:rPr>
                <w:sz w:val="20"/>
                <w:szCs w:val="20"/>
                <w:color w:val="auto"/>
              </w:rPr>
            </w:pPr>
            <w:r>
              <w:rPr>
                <w:rFonts w:ascii="Arial" w:cs="Arial" w:eastAsia="Arial" w:hAnsi="Arial"/>
                <w:sz w:val="15"/>
                <w:szCs w:val="15"/>
                <w:color w:val="auto"/>
              </w:rPr>
              <w:t>Two wafer fabrication facilities and a test, assembly and module assembly facility</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Nishiwaki City, Japan</w:t>
            </w:r>
          </w:p>
        </w:tc>
        <w:tc>
          <w:tcPr>
            <w:tcW w:w="8960" w:type="dxa"/>
            <w:vAlign w:val="bottom"/>
          </w:tcPr>
          <w:p>
            <w:pPr>
              <w:ind w:left="1040"/>
              <w:spacing w:after="0"/>
              <w:rPr>
                <w:sz w:val="20"/>
                <w:szCs w:val="20"/>
                <w:color w:val="auto"/>
              </w:rPr>
            </w:pPr>
            <w:r>
              <w:rPr>
                <w:rFonts w:ascii="Arial" w:cs="Arial" w:eastAsia="Arial" w:hAnsi="Arial"/>
                <w:sz w:val="15"/>
                <w:szCs w:val="15"/>
                <w:color w:val="auto"/>
              </w:rPr>
              <w:t>Wafer fabrication</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Avezzano, Italy</w:t>
            </w:r>
          </w:p>
        </w:tc>
        <w:tc>
          <w:tcPr>
            <w:tcW w:w="8960" w:type="dxa"/>
            <w:vAlign w:val="bottom"/>
          </w:tcPr>
          <w:p>
            <w:pPr>
              <w:ind w:left="1040"/>
              <w:spacing w:after="0"/>
              <w:rPr>
                <w:sz w:val="20"/>
                <w:szCs w:val="20"/>
                <w:color w:val="auto"/>
              </w:rPr>
            </w:pPr>
            <w:r>
              <w:rPr>
                <w:rFonts w:ascii="Arial" w:cs="Arial" w:eastAsia="Arial" w:hAnsi="Arial"/>
                <w:sz w:val="15"/>
                <w:szCs w:val="15"/>
                <w:color w:val="auto"/>
              </w:rPr>
              <w:t>Wafer fabrication</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Nampa, Idaho</w:t>
            </w:r>
          </w:p>
        </w:tc>
        <w:tc>
          <w:tcPr>
            <w:tcW w:w="8960" w:type="dxa"/>
            <w:vAlign w:val="bottom"/>
          </w:tcPr>
          <w:p>
            <w:pPr>
              <w:ind w:left="1040"/>
              <w:spacing w:after="0"/>
              <w:rPr>
                <w:sz w:val="20"/>
                <w:szCs w:val="20"/>
                <w:color w:val="auto"/>
              </w:rPr>
            </w:pPr>
            <w:r>
              <w:rPr>
                <w:rFonts w:ascii="Arial" w:cs="Arial" w:eastAsia="Arial" w:hAnsi="Arial"/>
                <w:sz w:val="15"/>
                <w:szCs w:val="15"/>
                <w:color w:val="auto"/>
              </w:rPr>
              <w:t>Test</w:t>
            </w: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Aguadilla, Puerto Rico</w:t>
            </w:r>
          </w:p>
        </w:tc>
        <w:tc>
          <w:tcPr>
            <w:tcW w:w="8960" w:type="dxa"/>
            <w:vAlign w:val="bottom"/>
          </w:tcPr>
          <w:p>
            <w:pPr>
              <w:ind w:left="1040"/>
              <w:spacing w:after="0"/>
              <w:rPr>
                <w:sz w:val="20"/>
                <w:szCs w:val="20"/>
                <w:color w:val="auto"/>
              </w:rPr>
            </w:pPr>
            <w:r>
              <w:rPr>
                <w:rFonts w:ascii="Arial" w:cs="Arial" w:eastAsia="Arial" w:hAnsi="Arial"/>
                <w:sz w:val="15"/>
                <w:szCs w:val="15"/>
                <w:color w:val="auto"/>
              </w:rPr>
              <w:t>Module assembly, test</w:t>
            </w:r>
          </w:p>
        </w:tc>
      </w:tr>
      <w:tr>
        <w:trPr>
          <w:trHeight w:val="196"/>
        </w:trPr>
        <w:tc>
          <w:tcPr>
            <w:tcW w:w="2480" w:type="dxa"/>
            <w:vAlign w:val="bottom"/>
          </w:tcPr>
          <w:p>
            <w:pPr>
              <w:spacing w:after="0"/>
              <w:rPr>
                <w:sz w:val="20"/>
                <w:szCs w:val="20"/>
                <w:color w:val="auto"/>
              </w:rPr>
            </w:pPr>
            <w:r>
              <w:rPr>
                <w:rFonts w:ascii="Arial" w:cs="Arial" w:eastAsia="Arial" w:hAnsi="Arial"/>
                <w:sz w:val="15"/>
                <w:szCs w:val="15"/>
                <w:color w:val="auto"/>
              </w:rPr>
              <w:t>Xi’an, China</w:t>
            </w:r>
          </w:p>
        </w:tc>
        <w:tc>
          <w:tcPr>
            <w:tcW w:w="8960" w:type="dxa"/>
            <w:vAlign w:val="bottom"/>
          </w:tcPr>
          <w:p>
            <w:pPr>
              <w:ind w:left="1040"/>
              <w:spacing w:after="0"/>
              <w:rPr>
                <w:sz w:val="20"/>
                <w:szCs w:val="20"/>
                <w:color w:val="auto"/>
              </w:rPr>
            </w:pPr>
            <w:r>
              <w:rPr>
                <w:rFonts w:ascii="Arial" w:cs="Arial" w:eastAsia="Arial" w:hAnsi="Arial"/>
                <w:sz w:val="15"/>
                <w:szCs w:val="15"/>
                <w:color w:val="auto"/>
              </w:rPr>
              <w:t>Test</w:t>
            </w:r>
          </w:p>
        </w:tc>
      </w:tr>
    </w:tbl>
    <w:p>
      <w:pPr>
        <w:spacing w:after="0" w:line="198" w:lineRule="exact"/>
        <w:rPr>
          <w:sz w:val="20"/>
          <w:szCs w:val="20"/>
          <w:color w:val="auto"/>
        </w:rPr>
      </w:pPr>
    </w:p>
    <w:p>
      <w:pPr>
        <w:ind w:left="7" w:right="100"/>
        <w:spacing w:after="0" w:line="280" w:lineRule="auto"/>
        <w:rPr>
          <w:sz w:val="20"/>
          <w:szCs w:val="20"/>
          <w:color w:val="auto"/>
        </w:rPr>
      </w:pPr>
      <w:r>
        <w:rPr>
          <w:rFonts w:ascii="Arial" w:cs="Arial" w:eastAsia="Arial" w:hAnsi="Arial"/>
          <w:sz w:val="14"/>
          <w:szCs w:val="14"/>
          <w:color w:val="auto"/>
        </w:rPr>
        <w:t>The Company also owns and leases a number of other facilities in locations throughout the world that are used for design, research and development, and sales and marketing activities. The Company’s facility in Lehi is owned and operated by its IM Flash joint venture with Intel. (See “Item 8. Financial Statements and Supplementary Data – Notes to Consolidated Financial Statements – Joint Ventures – NAND Flash Joint Ventures with Intel.”) One of the Company’s wafer fabrication facilities in Singapore is owned by its TECH joint venture and collateralizes, in part, TECH’s $600 million credit facility. (See “Item 8. Financial Statements and Supplementary Data – Notes to Consolidated Financial Statements</w:t>
      </w:r>
    </w:p>
    <w:p>
      <w:pPr>
        <w:spacing w:after="0" w:line="1" w:lineRule="exact"/>
        <w:rPr>
          <w:sz w:val="20"/>
          <w:szCs w:val="20"/>
          <w:color w:val="auto"/>
        </w:rPr>
      </w:pPr>
    </w:p>
    <w:p>
      <w:pPr>
        <w:ind w:left="7" w:right="120"/>
        <w:spacing w:after="0" w:line="264" w:lineRule="auto"/>
        <w:rPr>
          <w:sz w:val="20"/>
          <w:szCs w:val="20"/>
          <w:color w:val="auto"/>
        </w:rPr>
      </w:pPr>
      <w:r>
        <w:rPr>
          <w:rFonts w:ascii="Arial" w:cs="Arial" w:eastAsia="Arial" w:hAnsi="Arial"/>
          <w:sz w:val="15"/>
          <w:szCs w:val="15"/>
          <w:color w:val="auto"/>
        </w:rPr>
        <w:t>– Joint Ventures – TECH Semiconductor Singapore Pte. Ltd.”) The Company’s other wafer fabrication facility in Singapore is owned by its IM Flash Singapore joint venture. The IM Flash Singapore facility was substantially completed in the first quarter of 2009 but has not been equipped. In October 2008, the Company and Intel agreed to suspend tooling and the ramp of production at IM Flash’s Singapore wafer fabrication plant. On October 9, 2008, the Company announced that its IM Flash joint venture with Intel Corporation will discontinue production of 200mm wafer NAND flash memory at Micron’s Boise facility.</w:t>
      </w:r>
    </w:p>
    <w:p>
      <w:pPr>
        <w:spacing w:after="0" w:line="182" w:lineRule="exact"/>
        <w:rPr>
          <w:sz w:val="20"/>
          <w:szCs w:val="20"/>
          <w:color w:val="auto"/>
        </w:rPr>
      </w:pPr>
    </w:p>
    <w:p>
      <w:pPr>
        <w:ind w:left="7" w:right="100"/>
        <w:spacing w:after="0" w:line="290" w:lineRule="auto"/>
        <w:rPr>
          <w:sz w:val="20"/>
          <w:szCs w:val="20"/>
          <w:color w:val="auto"/>
        </w:rPr>
      </w:pPr>
      <w:r>
        <w:rPr>
          <w:rFonts w:ascii="Arial" w:cs="Arial" w:eastAsia="Arial" w:hAnsi="Arial"/>
          <w:sz w:val="15"/>
          <w:szCs w:val="15"/>
          <w:color w:val="auto"/>
        </w:rPr>
        <w:t>The Company believes that its existing facilities are suitable and adequate for its present purposes. The Company does not identify or allocate assets by operating segment. (See “Item 8. Financial Statements and Supplementary Data – Notes to Consolidated Financial Statements – Geographic Information.”)</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 xml:space="preserve">Item 3. </w:t>
      </w:r>
      <w:r>
        <w:rPr>
          <w:rFonts w:ascii="Arial" w:cs="Arial" w:eastAsia="Arial" w:hAnsi="Arial"/>
          <w:sz w:val="15"/>
          <w:szCs w:val="15"/>
          <w:b w:val="1"/>
          <w:bCs w:val="1"/>
          <w:i w:val="1"/>
          <w:iCs w:val="1"/>
          <w:color w:val="auto"/>
        </w:rPr>
        <w:t>Legal Proceedings</w:t>
      </w:r>
    </w:p>
    <w:p>
      <w:pPr>
        <w:spacing w:after="0" w:line="22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Patent Matters</w:t>
      </w:r>
    </w:p>
    <w:p>
      <w:pPr>
        <w:spacing w:after="0" w:line="228" w:lineRule="exact"/>
        <w:rPr>
          <w:sz w:val="20"/>
          <w:szCs w:val="20"/>
          <w:color w:val="auto"/>
        </w:rPr>
      </w:pPr>
    </w:p>
    <w:p>
      <w:pPr>
        <w:ind w:left="7" w:right="40"/>
        <w:spacing w:after="0" w:line="281" w:lineRule="auto"/>
        <w:rPr>
          <w:sz w:val="20"/>
          <w:szCs w:val="20"/>
          <w:color w:val="auto"/>
        </w:rPr>
      </w:pPr>
      <w:r>
        <w:rPr>
          <w:rFonts w:ascii="Arial" w:cs="Arial" w:eastAsia="Arial" w:hAnsi="Arial"/>
          <w:sz w:val="14"/>
          <w:szCs w:val="14"/>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w:t>
      </w:r>
    </w:p>
    <w:p>
      <w:pPr>
        <w:spacing w:after="0" w:line="1" w:lineRule="exact"/>
        <w:rPr>
          <w:sz w:val="20"/>
          <w:szCs w:val="20"/>
          <w:color w:val="auto"/>
        </w:rPr>
      </w:pPr>
    </w:p>
    <w:p>
      <w:pPr>
        <w:ind w:left="7" w:right="140" w:hanging="7"/>
        <w:spacing w:after="0" w:line="276" w:lineRule="auto"/>
        <w:tabs>
          <w:tab w:leader="none" w:pos="22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In the Delaware action, the Company subsequently added claims and defenses based on Rambus’s alleged spoliation of evidence and litigation misconduct. The spoliation and litigation misconduct claims and defenses were heard in a bench trial before Judge Robinson in October</w:t>
      </w:r>
    </w:p>
    <w:p>
      <w:pPr>
        <w:spacing w:after="0" w:line="1"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2007. Post-trial briefing is complete, and a decision on this phase is now pending.</w:t>
      </w:r>
    </w:p>
    <w:p>
      <w:pPr>
        <w:spacing w:after="0" w:line="211" w:lineRule="exact"/>
        <w:rPr>
          <w:sz w:val="20"/>
          <w:szCs w:val="20"/>
          <w:color w:val="auto"/>
        </w:rPr>
      </w:pPr>
    </w:p>
    <w:p>
      <w:pPr>
        <w:ind w:left="7" w:right="60"/>
        <w:spacing w:after="0" w:line="279" w:lineRule="auto"/>
        <w:rPr>
          <w:sz w:val="20"/>
          <w:szCs w:val="20"/>
          <w:color w:val="auto"/>
        </w:rPr>
      </w:pPr>
      <w:r>
        <w:rPr>
          <w:rFonts w:ascii="Arial" w:cs="Arial" w:eastAsia="Arial" w:hAnsi="Arial"/>
          <w:sz w:val="14"/>
          <w:szCs w:val="14"/>
          <w:color w:val="auto"/>
        </w:rPr>
        <w:t>A number of other suits involving Rambus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w:t>
      </w:r>
    </w:p>
    <w:p>
      <w:pPr>
        <w:spacing w:after="0" w:line="2" w:lineRule="exact"/>
        <w:rPr>
          <w:sz w:val="20"/>
          <w:szCs w:val="20"/>
          <w:color w:val="auto"/>
        </w:rPr>
      </w:pPr>
    </w:p>
    <w:p>
      <w:pPr>
        <w:ind w:left="7" w:right="80" w:hanging="7"/>
        <w:spacing w:after="0" w:line="276" w:lineRule="auto"/>
        <w:tabs>
          <w:tab w:leader="none" w:pos="346"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Additionally, on August 14, 2001, Rambus filed suit against Micron Semiconductor (Deutschland) GmbH in the District Court of Mannheim, Germany alleging that certain of the Company’s DDR SDRAM products infringe Rambus’ country counterparts to its European patent 1 022 642. In the European suits against the</w:t>
      </w:r>
    </w:p>
    <w:p>
      <w:pPr>
        <w:spacing w:after="0" w:line="17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7138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459" w:right="219" w:bottom="1440" w:gutter="0" w:footer="0" w:header="0"/>
        </w:sectPr>
      </w:pPr>
    </w:p>
    <w:bookmarkStart w:id="22" w:name="page23"/>
    <w:bookmarkEnd w:id="22"/>
    <w:p>
      <w:pPr>
        <w:ind w:right="340"/>
        <w:spacing w:after="0" w:line="302" w:lineRule="auto"/>
        <w:rPr>
          <w:sz w:val="20"/>
          <w:szCs w:val="20"/>
          <w:color w:val="auto"/>
        </w:rPr>
      </w:pPr>
      <w:r>
        <w:rPr>
          <w:rFonts w:ascii="Arial" w:cs="Arial" w:eastAsia="Arial" w:hAnsi="Arial"/>
          <w:sz w:val="14"/>
          <w:szCs w:val="14"/>
          <w:color w:val="auto"/>
        </w:rPr>
        <w:t>Company, Rambus is seeking monetary damages and injunctive relief. Subsequent to the filing of the various European suits, the European Patent Office (the “EPO”) declared Rambus’ 525 068 and 1 004 956 European patents invalid and revoked the patents. The declaration of invalidity with respect to the '068 patent was upheld on appeal. The original claims of the '956 patent also were declared invalid on appeal, but the EPO ultimately granted a Rambus request to amend the claims by adding a number of limitations.</w:t>
      </w:r>
    </w:p>
    <w:p>
      <w:pPr>
        <w:spacing w:after="0" w:line="157" w:lineRule="exact"/>
        <w:rPr>
          <w:sz w:val="20"/>
          <w:szCs w:val="20"/>
          <w:color w:val="auto"/>
        </w:rPr>
      </w:pPr>
    </w:p>
    <w:p>
      <w:pPr>
        <w:spacing w:after="0" w:line="316" w:lineRule="auto"/>
        <w:rPr>
          <w:sz w:val="20"/>
          <w:szCs w:val="20"/>
          <w:color w:val="auto"/>
        </w:rPr>
      </w:pPr>
      <w:r>
        <w:rPr>
          <w:rFonts w:ascii="Arial" w:cs="Arial" w:eastAsia="Arial" w:hAnsi="Arial"/>
          <w:sz w:val="13"/>
          <w:szCs w:val="13"/>
          <w:color w:val="auto"/>
        </w:rPr>
        <w:t>On January 13, 2006, Rambus filed a lawsuit against the Company in the U.S. District Court for the Northern District of California. The complaint alleges that certain of the Company’s DDR2, DDR3, RLDRAM, and RLDRAM II products infringe as many as eighteen Rambus patents and seeks monetary damages, treble damages, and injunctive relief. On June 2, 2006, the Company filed an answer and counterclaim against Rambus alleging among other things, antitrust and fraud claims. The Northern District of California Court subsequently consolidated the antitrust and fraud claims and certain equitable defenses of the Company and other parties against Rambus in a jury trial that began on January 29, 2008. On March 26, 2008, a jury returned a verdict in favor of Rambus on the Company’s antitrust and fraud claims. Trial on the patent phase of that case is currently scheduled to begin January 19, 2009.</w:t>
      </w:r>
    </w:p>
    <w:p>
      <w:pPr>
        <w:spacing w:after="0" w:line="152"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three additional Mosaid patents. On October 23, 2006, the California Court dismissed the Company’s declaratory judgment suit based on lack of jurisdiction. The Company appealed that decision to the U.S. Court of Appeals for the Federal Circuit. On February 29, 2008, the U.S. Court of Appeals for the Federal Circuit issued an order reversing the dismissal of the Company’s declaratory judgment action filed in the U.S. District Court for the Northern District of California and remanding the suit to that Court. The Texas action was subsequently transferred to the Northern District of California. Mosaid alleges that certain of the Company’s DRAM and CMOS image sensor products infringe up to twelve Mosaid patents and seeks monetary damages, treble damages, and injunctive relief. The accused products account for a significant portion of our net sales. Trial is currently scheduled for June 5, 2009.</w:t>
      </w:r>
    </w:p>
    <w:p>
      <w:pPr>
        <w:spacing w:after="0" w:line="183"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Antitrust Matters</w:t>
      </w:r>
    </w:p>
    <w:p>
      <w:pPr>
        <w:spacing w:after="0" w:line="228"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A number of purported class action price-fixing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accepted plaintiffs’ interlocutory appeal.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3" w:name="page24"/>
    <w:bookmarkEnd w:id="23"/>
    <w:p>
      <w:pPr>
        <w:ind w:right="200"/>
        <w:spacing w:after="0" w:line="268" w:lineRule="auto"/>
        <w:rPr>
          <w:sz w:val="20"/>
          <w:szCs w:val="20"/>
          <w:color w:val="auto"/>
        </w:rPr>
      </w:pPr>
      <w:r>
        <w:rPr>
          <w:rFonts w:ascii="Arial" w:cs="Arial" w:eastAsia="Arial" w:hAnsi="Arial"/>
          <w:sz w:val="15"/>
          <w:szCs w:val="15"/>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In May and June 2008 respectively, plaintiffs’ motion for class certification was denied in the British Columbia and Quebec cases. Plaintiffs have filed an appeal of each of those decisions.</w:t>
      </w:r>
    </w:p>
    <w:p>
      <w:pPr>
        <w:spacing w:after="0" w:line="180"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Three states, Ohio, New Hampshire, and Texas, subsequently voluntarily dismissed their claims. The remaining states filed a third amended complaint on October 1, 2007. Alaska, Delaware, and Vermont subsequently voluntarily dismissed their claims. The amended complaint alleges, among other things, violations of the Sherman Act, Cartwright Act, and certain other states’ consumer protection and antitrust laws and seeks damages, and injunctive and other</w:t>
      </w:r>
    </w:p>
    <w:p>
      <w:pPr>
        <w:spacing w:after="0" w:line="3"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82" w:lineRule="exact"/>
        <w:rPr>
          <w:sz w:val="20"/>
          <w:szCs w:val="20"/>
          <w:color w:val="auto"/>
        </w:rPr>
      </w:pPr>
    </w:p>
    <w:p>
      <w:pPr>
        <w:ind w:right="220"/>
        <w:spacing w:after="0" w:line="268" w:lineRule="auto"/>
        <w:rPr>
          <w:sz w:val="20"/>
          <w:szCs w:val="20"/>
          <w:color w:val="auto"/>
        </w:rPr>
      </w:pPr>
      <w:r>
        <w:rPr>
          <w:rFonts w:ascii="Arial" w:cs="Arial" w:eastAsia="Arial" w:hAnsi="Arial"/>
          <w:sz w:val="15"/>
          <w:szCs w:val="15"/>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damages, injunctive relief, and other remedies.</w:t>
      </w:r>
    </w:p>
    <w:p>
      <w:pPr>
        <w:spacing w:after="0" w:line="180" w:lineRule="exact"/>
        <w:rPr>
          <w:sz w:val="20"/>
          <w:szCs w:val="20"/>
          <w:color w:val="auto"/>
        </w:rPr>
      </w:pPr>
    </w:p>
    <w:p>
      <w:pPr>
        <w:ind w:right="180"/>
        <w:spacing w:after="0" w:line="274" w:lineRule="auto"/>
        <w:rPr>
          <w:sz w:val="20"/>
          <w:szCs w:val="20"/>
          <w:color w:val="auto"/>
        </w:rPr>
      </w:pPr>
      <w:r>
        <w:rPr>
          <w:rFonts w:ascii="Arial" w:cs="Arial" w:eastAsia="Arial" w:hAnsi="Arial"/>
          <w:sz w:val="15"/>
          <w:szCs w:val="15"/>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174"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November 1, 1996 through December 31, 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November 1, 1996 through December 31, 2006. In September 2008, a class of direct purchasers was certified, and plaintiffs were granted leave to amend their complaint to cover Pseudo-Static RAM or “PSRAM” products as well. The complaints allege price fixing in violation of federal antitrust laws and state antitrust and unfair competition laws and seek treble monetary damages, restitution, costs, interest and attorneys’ fees.</w:t>
      </w:r>
    </w:p>
    <w:p>
      <w:pPr>
        <w:spacing w:after="0" w:line="184" w:lineRule="exact"/>
        <w:rPr>
          <w:sz w:val="20"/>
          <w:szCs w:val="20"/>
          <w:color w:val="auto"/>
        </w:rPr>
      </w:pPr>
    </w:p>
    <w:p>
      <w:pPr>
        <w:ind w:right="360"/>
        <w:spacing w:after="0" w:line="290" w:lineRule="auto"/>
        <w:rPr>
          <w:sz w:val="20"/>
          <w:szCs w:val="20"/>
          <w:color w:val="auto"/>
        </w:rPr>
      </w:pPr>
      <w:r>
        <w:rPr>
          <w:rFonts w:ascii="Arial" w:cs="Arial" w:eastAsia="Arial" w:hAnsi="Arial"/>
          <w:sz w:val="15"/>
          <w:szCs w:val="15"/>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63" w:lineRule="exact"/>
        <w:rPr>
          <w:sz w:val="20"/>
          <w:szCs w:val="20"/>
          <w:color w:val="auto"/>
        </w:rPr>
      </w:pPr>
    </w:p>
    <w:p>
      <w:pPr>
        <w:ind w:right="160"/>
        <w:spacing w:after="0" w:line="328" w:lineRule="auto"/>
        <w:rPr>
          <w:sz w:val="20"/>
          <w:szCs w:val="20"/>
          <w:color w:val="auto"/>
        </w:rPr>
      </w:pPr>
      <w:r>
        <w:rPr>
          <w:rFonts w:ascii="Arial" w:cs="Arial" w:eastAsia="Arial" w:hAnsi="Arial"/>
          <w:sz w:val="14"/>
          <w:szCs w:val="14"/>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Trial is currently scheduled to begin in March 2009. The complaint seeks treble damages, punitive damages, attorneys’ fees, costs, and a permanent injunction enjoining the defendants from the conduct alleged in the complaints.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24" w:name="page25"/>
    <w:bookmarkEnd w:id="24"/>
    <w:p>
      <w:pPr>
        <w:ind w:right="160"/>
        <w:spacing w:after="0" w:line="290" w:lineRule="auto"/>
        <w:rPr>
          <w:sz w:val="20"/>
          <w:szCs w:val="20"/>
          <w:color w:val="auto"/>
        </w:rPr>
      </w:pPr>
      <w:r>
        <w:rPr>
          <w:rFonts w:ascii="Arial" w:cs="Arial" w:eastAsia="Arial" w:hAnsi="Arial"/>
          <w:sz w:val="15"/>
          <w:szCs w:val="15"/>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Matters</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was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Court of Appeals.</w:t>
      </w:r>
    </w:p>
    <w:p>
      <w:pPr>
        <w:spacing w:after="0" w:line="174" w:lineRule="exact"/>
        <w:rPr>
          <w:sz w:val="20"/>
          <w:szCs w:val="20"/>
          <w:color w:val="auto"/>
        </w:rPr>
      </w:pPr>
    </w:p>
    <w:p>
      <w:pPr>
        <w:ind w:right="220"/>
        <w:spacing w:after="0" w:line="290" w:lineRule="auto"/>
        <w:rPr>
          <w:sz w:val="20"/>
          <w:szCs w:val="20"/>
          <w:color w:val="auto"/>
        </w:rPr>
      </w:pPr>
      <w:r>
        <w:rPr>
          <w:rFonts w:ascii="Arial" w:cs="Arial" w:eastAsia="Arial" w:hAnsi="Arial"/>
          <w:sz w:val="15"/>
          <w:szCs w:val="15"/>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(See “Item 1A.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i w:val="1"/>
          <w:iCs w:val="1"/>
          <w:color w:val="auto"/>
        </w:rPr>
        <w:t>Submission of Matters to a Vote of Security Holders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There were no matters submitted to a vote of security holders during the fourth quarter of 2008.</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15"/>
          <w:szCs w:val="15"/>
          <w:b w:val="1"/>
          <w:bCs w:val="1"/>
          <w:color w:val="auto"/>
        </w:rPr>
        <w:t>PART II</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for Common Stock</w:t>
      </w:r>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Company’s common stock is listed on the New York Stock Exchange and is traded under the symbol “MU.” The following table represents the high and low closing sales prices for the Company’s common stock for each quarter of 2008 and 2007, as reported by Bloomberg L.P.</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High</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Low</w:t>
            </w:r>
          </w:p>
        </w:tc>
        <w:tc>
          <w:tcPr>
            <w:tcW w:w="0" w:type="dxa"/>
            <w:vAlign w:val="bottom"/>
          </w:tcPr>
          <w:p>
            <w:pPr>
              <w:spacing w:after="0"/>
              <w:rPr>
                <w:sz w:val="1"/>
                <w:szCs w:val="1"/>
                <w:color w:val="auto"/>
              </w:rPr>
            </w:pPr>
          </w:p>
        </w:tc>
      </w:tr>
      <w:tr>
        <w:trPr>
          <w:trHeight w:val="185"/>
        </w:trPr>
        <w:tc>
          <w:tcPr>
            <w:tcW w:w="138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80" w:type="dxa"/>
            <w:vAlign w:val="bottom"/>
            <w:vMerge w:val="continue"/>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2008:</w:t>
            </w: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4th quarter</w:t>
            </w:r>
          </w:p>
        </w:tc>
        <w:tc>
          <w:tcPr>
            <w:tcW w:w="640" w:type="dxa"/>
            <w:vAlign w:val="bottom"/>
          </w:tcPr>
          <w:p>
            <w:pPr>
              <w:jc w:val="right"/>
              <w:ind w:right="48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8.53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3rd quarter</w:t>
            </w:r>
          </w:p>
        </w:tc>
        <w:tc>
          <w:tcPr>
            <w:tcW w:w="6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2nd quarter</w:t>
            </w:r>
          </w:p>
        </w:tc>
        <w:tc>
          <w:tcPr>
            <w:tcW w:w="640" w:type="dxa"/>
            <w:vAlign w:val="bottom"/>
          </w:tcPr>
          <w:p>
            <w:pPr>
              <w:spacing w:after="0"/>
              <w:rPr>
                <w:sz w:val="16"/>
                <w:szCs w:val="16"/>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9.26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5.75</w:t>
            </w: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1st quarter</w:t>
            </w:r>
          </w:p>
        </w:tc>
        <w:tc>
          <w:tcPr>
            <w:tcW w:w="6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11.79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7.94</w:t>
            </w: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2007:</w:t>
            </w: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4th quarter</w:t>
            </w:r>
          </w:p>
        </w:tc>
        <w:tc>
          <w:tcPr>
            <w:tcW w:w="64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13.98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10.60</w:t>
            </w: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3rd quarter</w:t>
            </w:r>
          </w:p>
        </w:tc>
        <w:tc>
          <w:tcPr>
            <w:tcW w:w="640" w:type="dxa"/>
            <w:vAlign w:val="bottom"/>
          </w:tcPr>
          <w:p>
            <w:pPr>
              <w:spacing w:after="0"/>
              <w:rPr>
                <w:sz w:val="16"/>
                <w:szCs w:val="16"/>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12.36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10.95</w:t>
            </w: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2nd quarter</w:t>
            </w:r>
          </w:p>
        </w:tc>
        <w:tc>
          <w:tcPr>
            <w:tcW w:w="6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14.93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1st quarter</w:t>
            </w:r>
          </w:p>
        </w:tc>
        <w:tc>
          <w:tcPr>
            <w:tcW w:w="64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18.57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13.57</w:t>
            </w:r>
          </w:p>
        </w:tc>
        <w:tc>
          <w:tcPr>
            <w:tcW w:w="0" w:type="dxa"/>
            <w:vAlign w:val="bottom"/>
          </w:tcPr>
          <w:p>
            <w:pPr>
              <w:spacing w:after="0"/>
              <w:rPr>
                <w:sz w:val="1"/>
                <w:szCs w:val="1"/>
                <w:color w:val="auto"/>
              </w:rPr>
            </w:pPr>
          </w:p>
        </w:tc>
      </w:tr>
      <w:tr>
        <w:trPr>
          <w:trHeight w:val="384"/>
        </w:trPr>
        <w:tc>
          <w:tcPr>
            <w:tcW w:w="5080" w:type="dxa"/>
            <w:vAlign w:val="bottom"/>
            <w:gridSpan w:val="2"/>
          </w:tcPr>
          <w:p>
            <w:pPr>
              <w:spacing w:after="0"/>
              <w:rPr>
                <w:sz w:val="20"/>
                <w:szCs w:val="20"/>
                <w:color w:val="auto"/>
              </w:rPr>
            </w:pPr>
            <w:r>
              <w:rPr>
                <w:rFonts w:ascii="Arial" w:cs="Arial" w:eastAsia="Arial" w:hAnsi="Arial"/>
                <w:sz w:val="15"/>
                <w:szCs w:val="15"/>
                <w:b w:val="1"/>
                <w:bCs w:val="1"/>
                <w:color w:val="auto"/>
              </w:rPr>
              <w:t>Holders of Record</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As of October 17, 2008, there were 3,212 shareholders of record of the Company’s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not declared or paid cash dividends since 1996 and does not intend to pay cash dividends on its common stock for the foreseeable future.</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required by this item is incorporated by reference to the information set forth in Item 12 of this Annual Report on Form 10-K.</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228" w:lineRule="exact"/>
        <w:rPr>
          <w:sz w:val="20"/>
          <w:szCs w:val="20"/>
          <w:color w:val="auto"/>
        </w:rPr>
      </w:pPr>
    </w:p>
    <w:p>
      <w:pPr>
        <w:ind w:right="260"/>
        <w:spacing w:after="0" w:line="328" w:lineRule="auto"/>
        <w:rPr>
          <w:sz w:val="20"/>
          <w:szCs w:val="20"/>
          <w:color w:val="auto"/>
        </w:rPr>
      </w:pPr>
      <w:r>
        <w:rPr>
          <w:rFonts w:ascii="Arial" w:cs="Arial" w:eastAsia="Arial" w:hAnsi="Arial"/>
          <w:sz w:val="14"/>
          <w:szCs w:val="14"/>
          <w:color w:val="auto"/>
        </w:rPr>
        <w:t>During the fourth quarter of 2008, the Company acquired, as payment of withholding taxes in connection with the vesting of restricted stock and restricted stock unit awards, 26,218 shares of its common stock at an average price of $6.17 per share. In the fourth quarter of 2008, the Company retired the 26,218 shares acquired in the fourth quarter of 2008.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7"/>
              </w:rPr>
              <w:t>(d) Maximum</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5"/>
              </w:rPr>
              <w:t>number (or</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5"/>
              </w:rPr>
              <w:t>(c) Total number</w:t>
            </w:r>
          </w:p>
        </w:tc>
        <w:tc>
          <w:tcPr>
            <w:tcW w:w="13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4"/>
              </w:rPr>
              <w:t>approximate</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0"/>
              </w:rPr>
              <w:t>of shares (or</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dollar value) of</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0"/>
              </w:rPr>
              <w:t>units) purchased</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shares (or units)</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4"/>
              </w:rPr>
              <w:t>as part of</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that may yet be</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(a) Total number</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1"/>
              </w:rPr>
              <w:t>publicly</w:t>
            </w:r>
          </w:p>
        </w:tc>
        <w:tc>
          <w:tcPr>
            <w:tcW w:w="13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1"/>
              </w:rPr>
              <w:t>purchased under</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of shares</w:t>
            </w:r>
          </w:p>
        </w:tc>
        <w:tc>
          <w:tcPr>
            <w:tcW w:w="1380" w:type="dxa"/>
            <w:vAlign w:val="bottom"/>
            <w:gridSpan w:val="2"/>
          </w:tcPr>
          <w:p>
            <w:pPr>
              <w:jc w:val="right"/>
              <w:ind w:right="43"/>
              <w:spacing w:after="0"/>
              <w:rPr>
                <w:sz w:val="20"/>
                <w:szCs w:val="20"/>
                <w:color w:val="auto"/>
              </w:rPr>
            </w:pPr>
            <w:r>
              <w:rPr>
                <w:rFonts w:ascii="Arial" w:cs="Arial" w:eastAsia="Arial" w:hAnsi="Arial"/>
                <w:sz w:val="15"/>
                <w:szCs w:val="15"/>
                <w:b w:val="1"/>
                <w:bCs w:val="1"/>
                <w:color w:val="auto"/>
              </w:rPr>
              <w:t>(b) Average price</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0"/>
              </w:rPr>
              <w:t>announced plans</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1"/>
              </w:rPr>
              <w:t>the plans or</w:t>
            </w:r>
          </w:p>
        </w:tc>
        <w:tc>
          <w:tcPr>
            <w:tcW w:w="0" w:type="dxa"/>
            <w:vAlign w:val="bottom"/>
          </w:tcPr>
          <w:p>
            <w:pPr>
              <w:spacing w:after="0"/>
              <w:rPr>
                <w:sz w:val="1"/>
                <w:szCs w:val="1"/>
                <w:color w:val="auto"/>
              </w:rPr>
            </w:pPr>
          </w:p>
        </w:tc>
      </w:tr>
      <w:tr>
        <w:trPr>
          <w:trHeight w:val="205"/>
        </w:trPr>
        <w:tc>
          <w:tcPr>
            <w:tcW w:w="4420" w:type="dxa"/>
            <w:vAlign w:val="bottom"/>
          </w:tcPr>
          <w:p>
            <w:pPr>
              <w:ind w:left="2760"/>
              <w:spacing w:after="0"/>
              <w:rPr>
                <w:sz w:val="20"/>
                <w:szCs w:val="20"/>
                <w:color w:val="auto"/>
              </w:rPr>
            </w:pPr>
            <w:r>
              <w:rPr>
                <w:rFonts w:ascii="Arial" w:cs="Arial" w:eastAsia="Arial" w:hAnsi="Arial"/>
                <w:sz w:val="15"/>
                <w:szCs w:val="15"/>
                <w:b w:val="1"/>
                <w:bCs w:val="1"/>
                <w:color w:val="auto"/>
              </w:rPr>
              <w:t>Period</w:t>
            </w:r>
          </w:p>
        </w:tc>
        <w:tc>
          <w:tcPr>
            <w:tcW w:w="16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purchased</w:t>
            </w:r>
          </w:p>
        </w:tc>
        <w:tc>
          <w:tcPr>
            <w:tcW w:w="200" w:type="dxa"/>
            <w:vAlign w:val="bottom"/>
          </w:tcPr>
          <w:p>
            <w:pPr>
              <w:spacing w:after="0"/>
              <w:rPr>
                <w:sz w:val="17"/>
                <w:szCs w:val="17"/>
                <w:color w:val="auto"/>
              </w:rPr>
            </w:pPr>
          </w:p>
        </w:tc>
        <w:tc>
          <w:tcPr>
            <w:tcW w:w="1180" w:type="dxa"/>
            <w:vAlign w:val="bottom"/>
          </w:tcPr>
          <w:p>
            <w:pPr>
              <w:jc w:val="right"/>
              <w:ind w:right="143"/>
              <w:spacing w:after="0"/>
              <w:rPr>
                <w:sz w:val="20"/>
                <w:szCs w:val="20"/>
                <w:color w:val="auto"/>
              </w:rPr>
            </w:pPr>
            <w:r>
              <w:rPr>
                <w:rFonts w:ascii="Arial" w:cs="Arial" w:eastAsia="Arial" w:hAnsi="Arial"/>
                <w:sz w:val="15"/>
                <w:szCs w:val="15"/>
                <w:b w:val="1"/>
                <w:bCs w:val="1"/>
                <w:color w:val="auto"/>
                <w:w w:val="91"/>
              </w:rPr>
              <w:t>paid per share</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5"/>
              </w:rPr>
              <w:t>or programs</w:t>
            </w:r>
          </w:p>
        </w:tc>
        <w:tc>
          <w:tcPr>
            <w:tcW w:w="13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2"/>
              </w:rPr>
              <w:t>programs</w:t>
            </w:r>
          </w:p>
        </w:tc>
        <w:tc>
          <w:tcPr>
            <w:tcW w:w="0" w:type="dxa"/>
            <w:vAlign w:val="bottom"/>
          </w:tcPr>
          <w:p>
            <w:pPr>
              <w:spacing w:after="0"/>
              <w:rPr>
                <w:sz w:val="1"/>
                <w:szCs w:val="1"/>
                <w:color w:val="auto"/>
              </w:rPr>
            </w:pPr>
          </w:p>
        </w:tc>
      </w:tr>
      <w:tr>
        <w:trPr>
          <w:trHeight w:val="185"/>
        </w:trPr>
        <w:tc>
          <w:tcPr>
            <w:tcW w:w="44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May 30, 2008 – July 3, 2008</w:t>
            </w:r>
          </w:p>
        </w:tc>
        <w:tc>
          <w:tcPr>
            <w:tcW w:w="29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15,607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7.23</w:t>
            </w:r>
          </w:p>
        </w:tc>
        <w:tc>
          <w:tcPr>
            <w:tcW w:w="1380" w:type="dxa"/>
            <w:vAlign w:val="bottom"/>
            <w:shd w:val="clear" w:color="auto" w:fill="CCEEFF"/>
          </w:tcPr>
          <w:p>
            <w:pPr>
              <w:ind w:left="980"/>
              <w:spacing w:after="0"/>
              <w:rPr>
                <w:sz w:val="20"/>
                <w:szCs w:val="20"/>
                <w:color w:val="auto"/>
              </w:rPr>
            </w:pPr>
            <w:r>
              <w:rPr>
                <w:rFonts w:ascii="Arial" w:cs="Arial" w:eastAsia="Arial" w:hAnsi="Arial"/>
                <w:sz w:val="15"/>
                <w:szCs w:val="15"/>
                <w:color w:val="auto"/>
              </w:rPr>
              <w:t>N/A</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20"/>
                <w:szCs w:val="20"/>
                <w:color w:val="auto"/>
              </w:rPr>
            </w:pPr>
            <w:r>
              <w:rPr>
                <w:rFonts w:ascii="Arial" w:cs="Arial" w:eastAsia="Arial" w:hAnsi="Arial"/>
                <w:sz w:val="15"/>
                <w:szCs w:val="15"/>
                <w:color w:val="auto"/>
              </w:rPr>
              <w:t>July 4, 2008 – July 31, 2008</w:t>
            </w:r>
          </w:p>
        </w:tc>
        <w:tc>
          <w:tcPr>
            <w:tcW w:w="2920" w:type="dxa"/>
            <w:vAlign w:val="bottom"/>
            <w:gridSpan w:val="3"/>
          </w:tcPr>
          <w:p>
            <w:pPr>
              <w:jc w:val="right"/>
              <w:ind w:right="120"/>
              <w:spacing w:after="0"/>
              <w:rPr>
                <w:sz w:val="20"/>
                <w:szCs w:val="20"/>
                <w:color w:val="auto"/>
              </w:rPr>
            </w:pPr>
            <w:r>
              <w:rPr>
                <w:rFonts w:ascii="Arial" w:cs="Arial" w:eastAsia="Arial" w:hAnsi="Arial"/>
                <w:sz w:val="15"/>
                <w:szCs w:val="15"/>
                <w:color w:val="auto"/>
              </w:rPr>
              <w:t>9</w:t>
            </w:r>
          </w:p>
        </w:tc>
        <w:tc>
          <w:tcPr>
            <w:tcW w:w="200" w:type="dxa"/>
            <w:vAlign w:val="bottom"/>
          </w:tcPr>
          <w:p>
            <w:pPr>
              <w:spacing w:after="0"/>
              <w:rPr>
                <w:sz w:val="16"/>
                <w:szCs w:val="16"/>
                <w:color w:val="auto"/>
              </w:rPr>
            </w:pP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5.45</w:t>
            </w:r>
          </w:p>
        </w:tc>
        <w:tc>
          <w:tcPr>
            <w:tcW w:w="1380" w:type="dxa"/>
            <w:vAlign w:val="bottom"/>
          </w:tcPr>
          <w:p>
            <w:pPr>
              <w:ind w:left="980"/>
              <w:spacing w:after="0"/>
              <w:rPr>
                <w:sz w:val="20"/>
                <w:szCs w:val="20"/>
                <w:color w:val="auto"/>
              </w:rPr>
            </w:pPr>
            <w:r>
              <w:rPr>
                <w:rFonts w:ascii="Arial" w:cs="Arial" w:eastAsia="Arial" w:hAnsi="Arial"/>
                <w:sz w:val="15"/>
                <w:szCs w:val="15"/>
                <w:color w:val="auto"/>
              </w:rPr>
              <w:t>N/A</w:t>
            </w:r>
          </w:p>
        </w:tc>
        <w:tc>
          <w:tcPr>
            <w:tcW w:w="1340" w:type="dxa"/>
            <w:vAlign w:val="bottom"/>
            <w:gridSpan w:val="2"/>
          </w:tcPr>
          <w:p>
            <w:pPr>
              <w:ind w:left="9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August 1, 2008 – August 28, 2008</w:t>
            </w:r>
          </w:p>
        </w:tc>
        <w:tc>
          <w:tcPr>
            <w:tcW w:w="16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10,602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4.61</w:t>
            </w:r>
          </w:p>
        </w:tc>
        <w:tc>
          <w:tcPr>
            <w:tcW w:w="13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5"/>
                <w:szCs w:val="15"/>
                <w:color w:val="auto"/>
              </w:rPr>
              <w:t>N/A</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2920" w:type="dxa"/>
            <w:vAlign w:val="bottom"/>
            <w:gridSpan w:val="3"/>
          </w:tcPr>
          <w:p>
            <w:pPr>
              <w:jc w:val="right"/>
              <w:ind w:right="120"/>
              <w:spacing w:after="0"/>
              <w:rPr>
                <w:sz w:val="20"/>
                <w:szCs w:val="20"/>
                <w:color w:val="auto"/>
              </w:rPr>
            </w:pPr>
            <w:r>
              <w:rPr>
                <w:rFonts w:ascii="Arial" w:cs="Arial" w:eastAsia="Arial" w:hAnsi="Arial"/>
                <w:sz w:val="15"/>
                <w:szCs w:val="15"/>
                <w:color w:val="auto"/>
              </w:rPr>
              <w:t>26,218</w:t>
            </w:r>
          </w:p>
        </w:tc>
        <w:tc>
          <w:tcPr>
            <w:tcW w:w="200" w:type="dxa"/>
            <w:vAlign w:val="bottom"/>
          </w:tcPr>
          <w:p>
            <w:pPr>
              <w:spacing w:after="0"/>
              <w:rPr>
                <w:sz w:val="16"/>
                <w:szCs w:val="16"/>
                <w:color w:val="auto"/>
              </w:rPr>
            </w:pP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6.17</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40" w:type="dxa"/>
            <w:vAlign w:val="bottom"/>
            <w:vMerge w:val="restart"/>
          </w:tcPr>
          <w:p>
            <w:pPr>
              <w:jc w:val="right"/>
              <w:ind w:right="183"/>
              <w:spacing w:after="0"/>
              <w:rPr>
                <w:sz w:val="20"/>
                <w:szCs w:val="20"/>
                <w:color w:val="auto"/>
              </w:rPr>
            </w:pPr>
            <w:r>
              <w:rPr>
                <w:rFonts w:ascii="Arial" w:cs="Arial" w:eastAsia="Arial" w:hAnsi="Arial"/>
                <w:sz w:val="15"/>
                <w:szCs w:val="15"/>
                <w:color w:val="auto"/>
              </w:rPr>
              <w:t>25</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4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Performance Graph</w:t>
      </w:r>
    </w:p>
    <w:p>
      <w:pPr>
        <w:spacing w:after="0" w:line="228" w:lineRule="exact"/>
        <w:rPr>
          <w:sz w:val="20"/>
          <w:szCs w:val="20"/>
          <w:color w:val="auto"/>
        </w:rPr>
      </w:pPr>
    </w:p>
    <w:p>
      <w:pPr>
        <w:ind w:right="940"/>
        <w:spacing w:after="0" w:line="290" w:lineRule="auto"/>
        <w:rPr>
          <w:sz w:val="20"/>
          <w:szCs w:val="20"/>
          <w:color w:val="auto"/>
        </w:rPr>
      </w:pPr>
      <w:r>
        <w:rPr>
          <w:rFonts w:ascii="Arial" w:cs="Arial" w:eastAsia="Arial" w:hAnsi="Arial"/>
          <w:sz w:val="15"/>
          <w:szCs w:val="15"/>
          <w:color w:val="auto"/>
        </w:rPr>
        <w:t>The following graph illustrates a five-year comparison of cumulative total returns for the Company’s Common Stock, the S&amp;P 500 Composite Index and the Philadelphia Semiconductor Index (SOX) from August 28, 2003, through August 28, 2008.</w:t>
      </w:r>
    </w:p>
    <w:p>
      <w:pPr>
        <w:spacing w:after="0" w:line="163"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i w:val="1"/>
          <w:iCs w:val="1"/>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5624195" cy="2157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24195" cy="2157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80"/>
        <w:spacing w:after="0" w:line="293" w:lineRule="auto"/>
        <w:rPr>
          <w:sz w:val="20"/>
          <w:szCs w:val="20"/>
          <w:color w:val="auto"/>
        </w:rPr>
      </w:pPr>
      <w:r>
        <w:rPr>
          <w:rFonts w:ascii="Arial" w:cs="Arial" w:eastAsia="Arial" w:hAnsi="Arial"/>
          <w:sz w:val="14"/>
          <w:szCs w:val="14"/>
          <w:color w:val="auto"/>
        </w:rPr>
        <w:t>The Company operates on a 52 or 53 week fiscal year which ends on the Thursday closest to August 31. Accordingly, the last day of the Company’s fiscal year varies. For consistent presentation and comparison to the industry indices shown herein, the Company has calculated its stock performance graph assuming an August 31 year end. The performance graph assumes $100 invested on August 31, 2003 in Common Stock of Micron Technology, Inc., the S&amp;P 500 Composite Index and the Philadelphia Semiconductor Index (SOX). Any dividends paid during the period presented are assumed to be reinvested. The performance was plotted using the following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60" w:type="dxa"/>
            <w:vAlign w:val="bottom"/>
          </w:tcPr>
          <w:p>
            <w:pPr>
              <w:spacing w:after="0"/>
              <w:rPr>
                <w:sz w:val="20"/>
                <w:szCs w:val="20"/>
                <w:color w:val="auto"/>
              </w:rPr>
            </w:pPr>
            <w:r>
              <w:rPr>
                <w:rFonts w:ascii="Arial" w:cs="Arial" w:eastAsia="Arial" w:hAnsi="Arial"/>
                <w:sz w:val="15"/>
                <w:szCs w:val="15"/>
                <w:b w:val="1"/>
                <w:bCs w:val="1"/>
                <w:color w:val="auto"/>
              </w:rPr>
              <w:t>Performance Graph Data</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8"/>
        </w:trPr>
        <w:tc>
          <w:tcPr>
            <w:tcW w:w="2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2003</w:t>
            </w: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2004</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2005</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2006</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2007</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2008</w:t>
            </w:r>
          </w:p>
        </w:tc>
        <w:tc>
          <w:tcPr>
            <w:tcW w:w="100" w:type="dxa"/>
            <w:vAlign w:val="bottom"/>
          </w:tcPr>
          <w:p>
            <w:pPr>
              <w:spacing w:after="0"/>
              <w:rPr>
                <w:sz w:val="24"/>
                <w:szCs w:val="24"/>
                <w:color w:val="auto"/>
              </w:rPr>
            </w:pPr>
          </w:p>
        </w:tc>
      </w:tr>
      <w:tr>
        <w:trPr>
          <w:trHeight w:val="185"/>
        </w:trPr>
        <w:tc>
          <w:tcPr>
            <w:tcW w:w="2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Micron Technology, Inc.</w:t>
            </w:r>
          </w:p>
        </w:tc>
        <w:tc>
          <w:tcPr>
            <w:tcW w:w="116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80</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83</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120</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80</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w:t>
            </w:r>
          </w:p>
        </w:tc>
      </w:tr>
      <w:tr>
        <w:trPr>
          <w:trHeight w:val="185"/>
        </w:trPr>
        <w:tc>
          <w:tcPr>
            <w:tcW w:w="2960" w:type="dxa"/>
            <w:vAlign w:val="bottom"/>
          </w:tcPr>
          <w:p>
            <w:pPr>
              <w:spacing w:after="0"/>
              <w:rPr>
                <w:sz w:val="20"/>
                <w:szCs w:val="20"/>
                <w:color w:val="auto"/>
              </w:rPr>
            </w:pPr>
            <w:r>
              <w:rPr>
                <w:rFonts w:ascii="Arial" w:cs="Arial" w:eastAsia="Arial" w:hAnsi="Arial"/>
                <w:sz w:val="15"/>
                <w:szCs w:val="15"/>
                <w:color w:val="auto"/>
              </w:rPr>
              <w:t>S&amp;P 500 Composite Index</w:t>
            </w:r>
          </w:p>
        </w:tc>
        <w:tc>
          <w:tcPr>
            <w:tcW w:w="1160" w:type="dxa"/>
            <w:vAlign w:val="bottom"/>
          </w:tcPr>
          <w:p>
            <w:pPr>
              <w:spacing w:after="0"/>
              <w:rPr>
                <w:sz w:val="16"/>
                <w:szCs w:val="16"/>
                <w:color w:val="auto"/>
              </w:rPr>
            </w:pPr>
          </w:p>
        </w:tc>
        <w:tc>
          <w:tcPr>
            <w:tcW w:w="460" w:type="dxa"/>
            <w:vAlign w:val="bottom"/>
          </w:tcPr>
          <w:p>
            <w:pPr>
              <w:jc w:val="right"/>
              <w:ind w:right="43"/>
              <w:spacing w:after="0"/>
              <w:rPr>
                <w:sz w:val="20"/>
                <w:szCs w:val="20"/>
                <w:color w:val="auto"/>
              </w:rPr>
            </w:pPr>
            <w:r>
              <w:rPr>
                <w:rFonts w:ascii="Arial" w:cs="Arial" w:eastAsia="Arial" w:hAnsi="Arial"/>
                <w:sz w:val="15"/>
                <w:szCs w:val="15"/>
                <w:color w:val="auto"/>
              </w:rPr>
              <w:t>100</w:t>
            </w:r>
          </w:p>
        </w:tc>
        <w:tc>
          <w:tcPr>
            <w:tcW w:w="340" w:type="dxa"/>
            <w:vAlign w:val="bottom"/>
          </w:tcPr>
          <w:p>
            <w:pPr>
              <w:spacing w:after="0"/>
              <w:rPr>
                <w:sz w:val="16"/>
                <w:szCs w:val="16"/>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111</w:t>
            </w:r>
          </w:p>
        </w:tc>
        <w:tc>
          <w:tcPr>
            <w:tcW w:w="340" w:type="dxa"/>
            <w:vAlign w:val="bottom"/>
          </w:tcPr>
          <w:p>
            <w:pPr>
              <w:spacing w:after="0"/>
              <w:rPr>
                <w:sz w:val="16"/>
                <w:szCs w:val="16"/>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125</w:t>
            </w:r>
          </w:p>
        </w:tc>
        <w:tc>
          <w:tcPr>
            <w:tcW w:w="340" w:type="dxa"/>
            <w:vAlign w:val="bottom"/>
          </w:tcPr>
          <w:p>
            <w:pPr>
              <w:spacing w:after="0"/>
              <w:rPr>
                <w:sz w:val="16"/>
                <w:szCs w:val="16"/>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137</w:t>
            </w:r>
          </w:p>
        </w:tc>
        <w:tc>
          <w:tcPr>
            <w:tcW w:w="340" w:type="dxa"/>
            <w:vAlign w:val="bottom"/>
          </w:tcPr>
          <w:p>
            <w:pPr>
              <w:spacing w:after="0"/>
              <w:rPr>
                <w:sz w:val="16"/>
                <w:szCs w:val="16"/>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157</w:t>
            </w:r>
          </w:p>
        </w:tc>
        <w:tc>
          <w:tcPr>
            <w:tcW w:w="3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140</w:t>
            </w:r>
          </w:p>
        </w:tc>
      </w:tr>
      <w:tr>
        <w:trPr>
          <w:trHeight w:val="185"/>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Philadelphia Semiconductor Index (SOX)</w:t>
            </w:r>
          </w:p>
        </w:tc>
        <w:tc>
          <w:tcPr>
            <w:tcW w:w="11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82</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105</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112</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80</w:t>
            </w:r>
          </w:p>
        </w:tc>
      </w:tr>
      <w:tr>
        <w:trPr>
          <w:trHeight w:val="730"/>
        </w:trPr>
        <w:tc>
          <w:tcPr>
            <w:tcW w:w="2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83"/>
              <w:spacing w:after="0"/>
              <w:rPr>
                <w:sz w:val="20"/>
                <w:szCs w:val="20"/>
                <w:color w:val="auto"/>
              </w:rPr>
            </w:pPr>
            <w:r>
              <w:rPr>
                <w:rFonts w:ascii="Arial" w:cs="Arial" w:eastAsia="Arial" w:hAnsi="Arial"/>
                <w:sz w:val="15"/>
                <w:szCs w:val="15"/>
                <w:color w:val="auto"/>
              </w:rPr>
              <w:t>26</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9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2"/>
        </w:trPr>
        <w:tc>
          <w:tcPr>
            <w:tcW w:w="3560" w:type="dxa"/>
            <w:vAlign w:val="bottom"/>
          </w:tcPr>
          <w:p>
            <w:pPr>
              <w:spacing w:after="0"/>
              <w:rPr>
                <w:sz w:val="20"/>
                <w:szCs w:val="20"/>
                <w:color w:val="auto"/>
              </w:rPr>
            </w:pPr>
            <w:r>
              <w:rPr>
                <w:rFonts w:ascii="Arial" w:cs="Arial" w:eastAsia="Arial" w:hAnsi="Arial"/>
                <w:sz w:val="15"/>
                <w:szCs w:val="15"/>
                <w:b w:val="1"/>
                <w:bCs w:val="1"/>
                <w:color w:val="auto"/>
              </w:rPr>
              <w:t xml:space="preserve">Item 6. </w:t>
            </w:r>
            <w:r>
              <w:rPr>
                <w:rFonts w:ascii="Arial" w:cs="Arial" w:eastAsia="Arial" w:hAnsi="Arial"/>
                <w:sz w:val="15"/>
                <w:szCs w:val="15"/>
                <w:b w:val="1"/>
                <w:bCs w:val="1"/>
                <w:i w:val="1"/>
                <w:iCs w:val="1"/>
                <w:color w:val="auto"/>
              </w:rPr>
              <w:t>Selected Financial Data</w:t>
            </w:r>
          </w:p>
        </w:tc>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8"/>
        </w:trPr>
        <w:tc>
          <w:tcPr>
            <w:tcW w:w="3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2006</w:t>
            </w: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2005</w:t>
            </w: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2004</w:t>
            </w:r>
          </w:p>
        </w:tc>
        <w:tc>
          <w:tcPr>
            <w:tcW w:w="100" w:type="dxa"/>
            <w:vAlign w:val="bottom"/>
          </w:tcPr>
          <w:p>
            <w:pPr>
              <w:spacing w:after="0"/>
              <w:rPr>
                <w:sz w:val="24"/>
                <w:szCs w:val="24"/>
                <w:color w:val="auto"/>
              </w:rPr>
            </w:pPr>
          </w:p>
        </w:tc>
      </w:tr>
      <w:tr>
        <w:trPr>
          <w:trHeight w:val="196"/>
        </w:trPr>
        <w:tc>
          <w:tcPr>
            <w:tcW w:w="3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80" w:type="dxa"/>
            <w:vAlign w:val="bottom"/>
            <w:gridSpan w:val="4"/>
          </w:tcPr>
          <w:p>
            <w:pPr>
              <w:jc w:val="right"/>
              <w:ind w:right="263"/>
              <w:spacing w:after="0"/>
              <w:rPr>
                <w:sz w:val="20"/>
                <w:szCs w:val="20"/>
                <w:color w:val="auto"/>
              </w:rPr>
            </w:pPr>
            <w:r>
              <w:rPr>
                <w:rFonts w:ascii="Arial" w:cs="Arial" w:eastAsia="Arial" w:hAnsi="Arial"/>
                <w:sz w:val="15"/>
                <w:szCs w:val="15"/>
                <w:color w:val="auto"/>
                <w:w w:val="95"/>
              </w:rPr>
              <w:t>(in millions except per share amounts)</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3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82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5,841</w:t>
            </w:r>
          </w:p>
        </w:tc>
        <w:tc>
          <w:tcPr>
            <w:tcW w:w="78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5,688</w:t>
            </w:r>
          </w:p>
        </w:tc>
        <w:tc>
          <w:tcPr>
            <w:tcW w:w="78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5,272</w:t>
            </w:r>
          </w:p>
        </w:tc>
        <w:tc>
          <w:tcPr>
            <w:tcW w:w="8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4,880</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4,404</w:t>
            </w: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Gross margin</w:t>
            </w:r>
          </w:p>
        </w:tc>
        <w:tc>
          <w:tcPr>
            <w:tcW w:w="1820" w:type="dxa"/>
            <w:vAlign w:val="bottom"/>
          </w:tcPr>
          <w:p>
            <w:pPr>
              <w:spacing w:after="0"/>
              <w:rPr>
                <w:sz w:val="16"/>
                <w:szCs w:val="16"/>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(55)</w:t>
            </w:r>
          </w:p>
        </w:tc>
        <w:tc>
          <w:tcPr>
            <w:tcW w:w="78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1,078</w:t>
            </w:r>
          </w:p>
        </w:tc>
        <w:tc>
          <w:tcPr>
            <w:tcW w:w="78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1,200</w:t>
            </w:r>
          </w:p>
        </w:tc>
        <w:tc>
          <w:tcPr>
            <w:tcW w:w="820" w:type="dxa"/>
            <w:vAlign w:val="bottom"/>
          </w:tcPr>
          <w:p>
            <w:pPr>
              <w:spacing w:after="0"/>
              <w:rPr>
                <w:sz w:val="16"/>
                <w:szCs w:val="16"/>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1,146</w:t>
            </w:r>
          </w:p>
        </w:tc>
        <w:tc>
          <w:tcPr>
            <w:tcW w:w="3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1,314</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18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(1,595)</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(280)</w:t>
            </w: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350</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217</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250</w:t>
            </w: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Net income (loss)</w:t>
            </w:r>
          </w:p>
        </w:tc>
        <w:tc>
          <w:tcPr>
            <w:tcW w:w="1820" w:type="dxa"/>
            <w:vAlign w:val="bottom"/>
          </w:tcPr>
          <w:p>
            <w:pPr>
              <w:spacing w:after="0"/>
              <w:rPr>
                <w:sz w:val="16"/>
                <w:szCs w:val="16"/>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(1,619)</w:t>
            </w:r>
          </w:p>
        </w:tc>
        <w:tc>
          <w:tcPr>
            <w:tcW w:w="780" w:type="dxa"/>
            <w:vAlign w:val="bottom"/>
          </w:tcPr>
          <w:p>
            <w:pPr>
              <w:spacing w:after="0"/>
              <w:rPr>
                <w:sz w:val="16"/>
                <w:szCs w:val="16"/>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(320)</w:t>
            </w:r>
          </w:p>
        </w:tc>
        <w:tc>
          <w:tcPr>
            <w:tcW w:w="78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408</w:t>
            </w:r>
          </w:p>
        </w:tc>
        <w:tc>
          <w:tcPr>
            <w:tcW w:w="820" w:type="dxa"/>
            <w:vAlign w:val="bottom"/>
          </w:tcPr>
          <w:p>
            <w:pPr>
              <w:spacing w:after="0"/>
              <w:rPr>
                <w:sz w:val="16"/>
                <w:szCs w:val="16"/>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188</w:t>
            </w:r>
          </w:p>
        </w:tc>
        <w:tc>
          <w:tcPr>
            <w:tcW w:w="3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157</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Diluted earnings (loss) per share</w:t>
            </w:r>
          </w:p>
        </w:tc>
        <w:tc>
          <w:tcPr>
            <w:tcW w:w="18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(2.10)</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(0.42)</w:t>
            </w: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0.57</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0.29</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0.24</w:t>
            </w:r>
          </w:p>
        </w:tc>
      </w:tr>
      <w:tr>
        <w:trPr>
          <w:trHeight w:val="185"/>
        </w:trPr>
        <w:tc>
          <w:tcPr>
            <w:tcW w:w="3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Cash and short-term investments</w:t>
            </w:r>
          </w:p>
        </w:tc>
        <w:tc>
          <w:tcPr>
            <w:tcW w:w="18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1,362</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2,616</w:t>
            </w: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3,079</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1,290</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1,231</w:t>
            </w: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Total current assets</w:t>
            </w:r>
          </w:p>
        </w:tc>
        <w:tc>
          <w:tcPr>
            <w:tcW w:w="18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3,779</w:t>
            </w:r>
          </w:p>
        </w:tc>
        <w:tc>
          <w:tcPr>
            <w:tcW w:w="78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5,234</w:t>
            </w:r>
          </w:p>
        </w:tc>
        <w:tc>
          <w:tcPr>
            <w:tcW w:w="78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5,101</w:t>
            </w:r>
          </w:p>
        </w:tc>
        <w:tc>
          <w:tcPr>
            <w:tcW w:w="820" w:type="dxa"/>
            <w:vAlign w:val="bottom"/>
          </w:tcPr>
          <w:p>
            <w:pPr>
              <w:spacing w:after="0"/>
              <w:rPr>
                <w:sz w:val="16"/>
                <w:szCs w:val="16"/>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2,926</w:t>
            </w:r>
          </w:p>
        </w:tc>
        <w:tc>
          <w:tcPr>
            <w:tcW w:w="3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2,639</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18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8,811</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8,279</w:t>
            </w: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5,888</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4,684</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4,713</w:t>
            </w: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Total assets</w:t>
            </w:r>
          </w:p>
        </w:tc>
        <w:tc>
          <w:tcPr>
            <w:tcW w:w="18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w w:val="95"/>
              </w:rPr>
              <w:t>13,430</w:t>
            </w:r>
          </w:p>
        </w:tc>
        <w:tc>
          <w:tcPr>
            <w:tcW w:w="78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w w:val="95"/>
              </w:rPr>
              <w:t>14,818</w:t>
            </w:r>
          </w:p>
        </w:tc>
        <w:tc>
          <w:tcPr>
            <w:tcW w:w="78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w w:val="95"/>
              </w:rPr>
              <w:t>12,221</w:t>
            </w:r>
          </w:p>
        </w:tc>
        <w:tc>
          <w:tcPr>
            <w:tcW w:w="820" w:type="dxa"/>
            <w:vAlign w:val="bottom"/>
          </w:tcPr>
          <w:p>
            <w:pPr>
              <w:spacing w:after="0"/>
              <w:rPr>
                <w:sz w:val="16"/>
                <w:szCs w:val="16"/>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8,006</w:t>
            </w:r>
          </w:p>
        </w:tc>
        <w:tc>
          <w:tcPr>
            <w:tcW w:w="3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7,760</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Total current liabilities</w:t>
            </w:r>
          </w:p>
        </w:tc>
        <w:tc>
          <w:tcPr>
            <w:tcW w:w="18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1,598</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2,026</w:t>
            </w: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1,661</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979</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972</w:t>
            </w: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Long-term debt</w:t>
            </w:r>
          </w:p>
        </w:tc>
        <w:tc>
          <w:tcPr>
            <w:tcW w:w="18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2,451</w:t>
            </w:r>
          </w:p>
        </w:tc>
        <w:tc>
          <w:tcPr>
            <w:tcW w:w="78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1,987</w:t>
            </w:r>
          </w:p>
        </w:tc>
        <w:tc>
          <w:tcPr>
            <w:tcW w:w="78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405</w:t>
            </w:r>
          </w:p>
        </w:tc>
        <w:tc>
          <w:tcPr>
            <w:tcW w:w="820" w:type="dxa"/>
            <w:vAlign w:val="bottom"/>
          </w:tcPr>
          <w:p>
            <w:pPr>
              <w:spacing w:after="0"/>
              <w:rPr>
                <w:sz w:val="16"/>
                <w:szCs w:val="16"/>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1,020</w:t>
            </w:r>
          </w:p>
        </w:tc>
        <w:tc>
          <w:tcPr>
            <w:tcW w:w="3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1,028</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Noncontrolling interests in subsidiaries</w:t>
            </w:r>
          </w:p>
        </w:tc>
        <w:tc>
          <w:tcPr>
            <w:tcW w:w="18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2,865</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2,607</w:t>
            </w: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1,568</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96"/>
        </w:trPr>
        <w:tc>
          <w:tcPr>
            <w:tcW w:w="3560" w:type="dxa"/>
            <w:vAlign w:val="bottom"/>
          </w:tcPr>
          <w:p>
            <w:pPr>
              <w:spacing w:after="0"/>
              <w:rPr>
                <w:sz w:val="20"/>
                <w:szCs w:val="20"/>
                <w:color w:val="auto"/>
              </w:rPr>
            </w:pPr>
            <w:r>
              <w:rPr>
                <w:rFonts w:ascii="Arial" w:cs="Arial" w:eastAsia="Arial" w:hAnsi="Arial"/>
                <w:sz w:val="15"/>
                <w:szCs w:val="15"/>
                <w:color w:val="auto"/>
              </w:rPr>
              <w:t>Total shareholders’ equity</w:t>
            </w:r>
          </w:p>
        </w:tc>
        <w:tc>
          <w:tcPr>
            <w:tcW w:w="182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6,178</w:t>
            </w:r>
          </w:p>
        </w:tc>
        <w:tc>
          <w:tcPr>
            <w:tcW w:w="78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Arial" w:cs="Arial" w:eastAsia="Arial" w:hAnsi="Arial"/>
                <w:sz w:val="15"/>
                <w:szCs w:val="15"/>
                <w:color w:val="auto"/>
              </w:rPr>
              <w:t>7,752</w:t>
            </w:r>
          </w:p>
        </w:tc>
        <w:tc>
          <w:tcPr>
            <w:tcW w:w="7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8,114</w:t>
            </w:r>
          </w:p>
        </w:tc>
        <w:tc>
          <w:tcPr>
            <w:tcW w:w="820" w:type="dxa"/>
            <w:vAlign w:val="bottom"/>
          </w:tcPr>
          <w:p>
            <w:pPr>
              <w:spacing w:after="0"/>
              <w:rPr>
                <w:sz w:val="17"/>
                <w:szCs w:val="17"/>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5,847</w:t>
            </w:r>
          </w:p>
        </w:tc>
        <w:tc>
          <w:tcPr>
            <w:tcW w:w="3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5,615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In 2008, the Company recorded a charge of $463 million to write off all the goodwill associated with the Company’s memory segment.</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color w:val="auto"/>
        </w:rPr>
        <w:t>In the third quarter of 2008, the Company and Nanya Technology Corporation (“Nanya”) formed MeiYa, a joint venture to manufacture stack DRAM and sell those products exclusively to the Company and Nanya. As part of this transaction, the Company transferred and licensed certain intellectual property related to the manufacture of stack DRAM products to Nanya and licensed certain intellectual property from Nanya. The Company and Nanya also agreed to jointly develop process technology and designs to manufacture stack DRAM products with each party bearing its own development costs until such time that the development costs exceed a specified amount, following which such costs would be shared. Under this arrangement, the Company is to receive an aggregate of $232 million from Nanya and MeiYa through 2010 for licensing and technology transfer fees, of which the Company realized $40 million of revenue in 2008. The Company will also receive royalties from Nanya on the sale of stack DRAM products manufactured by or for Nanya. On October 12, 2008, the Company announced that it had entered into an agreement to acquire Qimonda AG’s 35.6% ownership stake in Inotera Memories, Inc. (“Inotera”), a Taiwanese DRAM memory manufacturer, for $400 million in cash. The Company received commitments for $285 million of term loans to fund this acquisition in part. Inotera is expected to implement the Company’s stack process technology, and it is anticipated that the Company will receive royalties on Inotera’s production that flows to Nanya, a 35.6% stakeholder in Inotera. The Company will eventually gain access to approximately 60,000 300mm DRAM wafers per month, 50% of Inotera’s output. In connection with this acquisition, the Company expects to enter into a series of agreements with Nanya to restructure MeiYa. It is anticipated that both parties will cease future resource commitments to MeiYa and redirect those resources to Inotera. (See “Item 8. Financial Statements and Supplementary Data – Notes to Consolidated Financial Statements – Joint Ventures – DRAM Joint Ventures with Nanya Technology Corporation.”)</w:t>
      </w:r>
    </w:p>
    <w:p>
      <w:pPr>
        <w:spacing w:after="0" w:line="191"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The Company has formed two joint ventures, IM Flash, with Intel Corporation (“Intel”) to manufacture NAND Flash memory products for the exclusive benefit of the partners: IM Flash Technologies, LLC, which began operations in the second quarter of 2006, and IM Flash Singapore LLP, which began operations in the third quarter of 2007. The Company owns 51% and Intel owns 49% of IM Flash. The financial results of IM Flash are included in the consolidated financial statements of the Company. (See “Item 8. Financial Statements and Supplementary Data – Notes to Consolidated Financial Statements – Joint Ventures – NAND Flash Joint Venture with Intel.”)</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The Company began consolidating the financial results of its TECH Semiconductor joint venture (“TECH”) as of the beginning of the third quarter of 2006. In the third quarter of 2007, the Company acquired all of the shares of TECH common stock held by Singapore Economic Development Board, which increased the Company’s ownership interest in TECH from 43% to 73%. (See “Item 8. Financial Statements and Supplementary Data – Notes to Consolidated Financial Statements – Joint Ventures – TECH Semiconductor Singapore Pte. Ltd.”)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In the fourth quarter of 2006, the Company acquired Lexar Media, Inc., a designer, developer, manufacturer and marketer of Flash memory products, in a stock-for-stock merger.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8" w:name="page29"/>
    <w:bookmarkEnd w:id="28"/>
    <w:p>
      <w:pPr>
        <w:spacing w:after="0" w:line="268" w:lineRule="auto"/>
        <w:rPr>
          <w:sz w:val="20"/>
          <w:szCs w:val="20"/>
          <w:color w:val="auto"/>
        </w:rPr>
      </w:pPr>
      <w:r>
        <w:rPr>
          <w:rFonts w:ascii="Arial" w:cs="Arial" w:eastAsia="Arial" w:hAnsi="Arial"/>
          <w:sz w:val="15"/>
          <w:szCs w:val="15"/>
          <w:color w:val="auto"/>
        </w:rPr>
        <w:t>In the third quarter of 2006, the Company formed a joint venture, MP Mask Technology Center, LLC (“MP Mask”), with Photronics, Inc. to produce photomasks for leading-edge and advanced next generation semiconductors. The Company owns 50.01% and Photronics, Inc. owns 49.99% of MP Mask. The financial results of MP Mask are included in the consolidated financial results of the Company. (See “Item 8. Financial Statements and Supplementary Data – Notes to Consolidated Financial Statements – Joint Ventures – MP Mask Technology Center, LLC.”)</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(See “Item 1A. Risk Factors” and “Item 8. Financial Statements and Supplementary Data –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00"/>
          </w:cols>
          <w:pgMar w:left="240" w:top="465" w:right="35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 xml:space="preserve">Item 7. </w:t>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8" w:lineRule="exact"/>
        <w:rPr>
          <w:sz w:val="20"/>
          <w:szCs w:val="20"/>
          <w:color w:val="auto"/>
        </w:rPr>
      </w:pPr>
    </w:p>
    <w:p>
      <w:pPr>
        <w:spacing w:after="0" w:line="281" w:lineRule="auto"/>
        <w:rPr>
          <w:sz w:val="20"/>
          <w:szCs w:val="20"/>
          <w:color w:val="auto"/>
        </w:rPr>
      </w:pPr>
      <w:r>
        <w:rPr>
          <w:rFonts w:ascii="Arial" w:cs="Arial" w:eastAsia="Arial" w:hAnsi="Arial"/>
          <w:sz w:val="14"/>
          <w:szCs w:val="14"/>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the costs and impact of restructure plans, the Company’s DRAM development costs relative to Nanya, royalty payments from Inotera production, capital commitments for the Company’s joint ventures with Nanya Technology Corporation, the supply of DRAM wafers from Inotera Memories, Inc. and manufacturing plans for CMOS image sensors; in “Net Sales” regarding increases in NAND Flash memory production; in “Gross Margin” regarding future charges for inventory write-downs; in “Restructure” regarding the costs and impact of restructure plans; in “Stock-based Compensation” regarding future stock-based compensation costs; in “Liquidity and Capital Resources” regarding capital spending in 2009, plans to pay off certain debt, future distributions from IM Flash to Intel and future contributions to joint ventures; and in “Recently Issued Accounting Standards” regarding the impact from the adoption of new accounting standards. The Company’s actual results could differ materially from the Company’s historical results and those discussed in the forward-looking statements. Factors that could cause actual results to differ materially include, but are not limited to, those identified in “Item 1A. Risk Factors.” This discussion should be read in conjunction with the Consolidated Financial Statements and accompanying notes for the year ended August 28, 2008. All period references are to the Company’s fiscal periods unless otherwise indicated. The Company’s fiscal year is the 52 or 53-week period ending on the Thursday closest to August 31. All tabular dollar amounts are in millions. All production data reflects production of the Company and its consolidated joint ventures.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8"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The Company is a global manufacturer of semiconductor devices, principally semiconductor memory products (including DRAM and NAND Flash) and CMOS image sensors. The Company operates in two segments: Memory and Imaging.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memory products, efficient utilization of the Company’s manufacturing infrastructure, successful ongoing development of advanced process technologies and generation of sufficient return on research and development investments.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In 2008 and 2007 the semiconductor memory industry experienced a severe downturn due to a significant oversupply of products. Average selling prices per gigabit for the Company’s DRAM products and NAND Flash products in 2008 were down approximately 50% and 65%, respectively, as compared to 2007 and down approximately 65% and 85%, respectively, as compared to 2006. As a result of these market conditions, the Company and other semiconductor memory manufacturers have reported negative gross margins and substantial losses in recent periods. In 2008, the Company reported a net loss $1.6 billion and many of its competitors reported negative cash flows from operations. In response to these market conditions, on October 9, 2008 the Company announced a plan to restructure its memory operations. The Company’s IM Flash joint venture with Intel Corporation will discontinue production of 200mm wafer NAND flash memory at Micron’s Boise facility. The NAND Flash production shutdown will reduce IM Flash’s NAND flash production by approximately 35,000 200mm wafers per month. In addition, the Company and Intel agreed to suspend tooling and the ramp of NAND Flash production at IM Flash’s Singapore wafer fabrication plant. As part of the restructuring, the Company plans to reduce its global workforce by approximately 15 percent during 2009 and 2010. Cash costs for restructuring and other related expenses incurred in connection with this restructuring are anticipated to be approximately $60 million, and the benefit to the Company’s cash operating results for 2009 is expected to exceed $175 million.</w:t>
      </w:r>
    </w:p>
    <w:p>
      <w:pPr>
        <w:spacing w:after="0" w:line="188" w:lineRule="exact"/>
        <w:rPr>
          <w:sz w:val="20"/>
          <w:szCs w:val="20"/>
          <w:color w:val="auto"/>
        </w:rPr>
      </w:pPr>
    </w:p>
    <w:p>
      <w:pPr>
        <w:ind w:right="360"/>
        <w:spacing w:after="0" w:line="268" w:lineRule="auto"/>
        <w:rPr>
          <w:sz w:val="20"/>
          <w:szCs w:val="20"/>
          <w:color w:val="auto"/>
        </w:rPr>
      </w:pPr>
      <w:r>
        <w:rPr>
          <w:rFonts w:ascii="Arial" w:cs="Arial" w:eastAsia="Arial" w:hAnsi="Arial"/>
          <w:sz w:val="15"/>
          <w:szCs w:val="15"/>
          <w:color w:val="auto"/>
        </w:rPr>
        <w:t>The effects of the worsening global economy and the tightening credit market are also making it increasingly difficult for semiconductor memory manufacturers to obtain external sources of financing to fund their operations. Although the Company believes that it is better positioned than some of its peers, it faces challenges in the current and near term that require it to continue to make significant improvements in its competitiveness. Additionally, the Company is pursuing financing alternatives, delaying capital expenditures and implementing further cost-cutting initiatives.</w:t>
      </w:r>
    </w:p>
    <w:p>
      <w:pPr>
        <w:spacing w:after="0" w:line="180" w:lineRule="exact"/>
        <w:rPr>
          <w:sz w:val="20"/>
          <w:szCs w:val="20"/>
          <w:color w:val="auto"/>
        </w:rPr>
      </w:pPr>
    </w:p>
    <w:p>
      <w:pPr>
        <w:ind w:right="200"/>
        <w:spacing w:after="0" w:line="268" w:lineRule="auto"/>
        <w:rPr>
          <w:sz w:val="20"/>
          <w:szCs w:val="20"/>
          <w:color w:val="auto"/>
        </w:rPr>
      </w:pPr>
      <w:r>
        <w:rPr>
          <w:rFonts w:ascii="Arial" w:cs="Arial" w:eastAsia="Arial" w:hAnsi="Arial"/>
          <w:sz w:val="15"/>
          <w:szCs w:val="15"/>
          <w:color w:val="auto"/>
        </w:rPr>
        <w:t>The Company is focused on improving its competitiveness by developing new products, advancing its technology and reducing costs. In addition, the Company increased its manufacturing capacity in 2008 and 2007 by ramping NAND Flash production at two 300mm wafer fabrication facilities and converting another facility to 300mm DRAM wafer fabrication. To reduce costs, the Company implemented restructure initiatives aimed at reducing manufacturing and overhead costs through outsourcing, relocation of operations and workforce reductions.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The Company makes significant ongoing investments to develop proprietary product and process technology that is implemented in its worldwide manufacturing facilities and through</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its joint ventures to enable the production of semiconductor products with increasing functionality and performance at lower costs. The Company generally reduces the manufacturing</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cost of each generation of product through advancements in product and process technology such as its leading-edge line width process technology and innovative array</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architecture. The Company continues to introduce new generations of products that offer improved performance characteristics, such as higher data transfer rates, reduced package size,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lower power consumption and increased memory density and megapixel count. To leverage its significant investments in research and development, the Company has formed strategic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joint ventures under which the costs of developing memory product and process technologies are shared with its joint venture partners. In addition, from time to time, the Company has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also sold and/or licensed technology to third parties. The Company is pursuing further opportunities to recover its investment in intellectual property through partnering and other</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arrangements.</w:t>
      </w:r>
    </w:p>
    <w:p>
      <w:pPr>
        <w:spacing w:after="0" w:line="211" w:lineRule="exact"/>
        <w:rPr>
          <w:sz w:val="20"/>
          <w:szCs w:val="20"/>
          <w:color w:val="auto"/>
        </w:rPr>
      </w:pPr>
    </w:p>
    <w:p>
      <w:pPr>
        <w:ind w:firstLine="39"/>
        <w:spacing w:after="0" w:line="285" w:lineRule="auto"/>
        <w:rPr>
          <w:sz w:val="20"/>
          <w:szCs w:val="20"/>
          <w:color w:val="auto"/>
        </w:rPr>
      </w:pPr>
      <w:r>
        <w:rPr>
          <w:rFonts w:ascii="Arial" w:cs="Arial" w:eastAsia="Arial" w:hAnsi="Arial"/>
          <w:sz w:val="14"/>
          <w:szCs w:val="14"/>
          <w:b w:val="1"/>
          <w:bCs w:val="1"/>
          <w:i w:val="1"/>
          <w:iCs w:val="1"/>
          <w:color w:val="auto"/>
        </w:rPr>
        <w:t xml:space="preserve">DRAM Joint Ventures with Nanya Technology Corporation (“Nanya”): </w:t>
      </w:r>
      <w:r>
        <w:rPr>
          <w:rFonts w:ascii="Arial" w:cs="Arial" w:eastAsia="Arial" w:hAnsi="Arial"/>
          <w:sz w:val="14"/>
          <w:szCs w:val="14"/>
          <w:color w:val="auto"/>
        </w:rPr>
        <w:t>In the third quarter of 2008, the Company and Nanya formed MeiYa, a joint venture to manufacture stack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DRAM and sell those products exclusively to the Company and Nanya. As part of this transaction, the Company transferred and licensed certain intellectual property related to the manufacture of stack DRAM products to Nanya and licensed certain intellectual property from Nanya. The Company and Nanya also agreed to jointly develop process technology and designs to manufacture stack DRAM products with each party bearing its own development costs until such time that the development costs exceed a specified amount, following which such costs would be shared. The Company’s development costs are expected to exceed Nanya’s development costs by a significant amount. Under this arrangement, the Company is to receive an aggregate of $232 million from Nanya and MeiYa through 2010 for licensing and technology transfer fees, of which the Company realized $40 million of revenue in 2008. The Company will also receive royalties from Nanya on the sale of stack DRAM products manufactured by or for Nanya.</w:t>
      </w:r>
    </w:p>
    <w:p>
      <w:pPr>
        <w:spacing w:after="0" w:line="169"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On October 12, 2008, the Company announced that it had entered into an agreement to acquire Qimonda AG’s 35.6% ownership stake in Inotera Memories, Inc. (“Inotera”), a Taiwanese DRAM memory manufacturer, for $400 million in cash. The Company received commitments for $285 million of term loans to fund this acquisition in part. Inotera is expected to implement the Company’s stack DRAM process technology, and it is anticipated that the Company will receive royalties on the sale of Inotera’s production that is delivered to Nanya, a 35.6% stakeholder in Inotera. The Company will eventually gain access to approximately 60,000 300mm DRAM wafers per month, 50% of Inotera’s output. In connection with this acquisition, the Company expects to enter into a series of agreements with Nanya to restructure MeiYa. It is anticipated that both parties will cease future resource commitments to MeiYa and redirect those resources to Inotera. (See “Item 8. Financial Statements and Supplementary Data – Notes to Consolidated Financial Statements – Joint Ventures – DRAM Joint Ventures with Nanya Technology Corporation.”)</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b w:val="1"/>
          <w:bCs w:val="1"/>
          <w:i w:val="1"/>
          <w:iCs w:val="1"/>
          <w:color w:val="auto"/>
        </w:rPr>
        <w:t xml:space="preserve">Aptina Imaging Business: </w:t>
      </w:r>
      <w:r>
        <w:rPr>
          <w:rFonts w:ascii="Arial" w:cs="Arial" w:eastAsia="Arial" w:hAnsi="Arial"/>
          <w:sz w:val="15"/>
          <w:szCs w:val="15"/>
          <w:color w:val="auto"/>
        </w:rPr>
        <w:t>The Company is exploring partnering arrangements with outside parties regarding the separation of its CMOS image sensor business, operating under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name “Aptina,” to an independent entity in which the Company would retain a significant minority ownership interest. To that end, the Company began operating its Imaging business as a separate wholly-owned subsidiary in October 2008. Under the arrangements being considered, the Company expects that it will continue to manufacture CMOS image sensors for some period of time.</w:t>
      </w:r>
    </w:p>
    <w:p>
      <w:pPr>
        <w:spacing w:after="0" w:line="180" w:lineRule="exact"/>
        <w:rPr>
          <w:sz w:val="20"/>
          <w:szCs w:val="20"/>
          <w:color w:val="auto"/>
        </w:rPr>
      </w:pPr>
    </w:p>
    <w:p>
      <w:pPr>
        <w:ind w:right="360"/>
        <w:spacing w:after="0" w:line="290" w:lineRule="auto"/>
        <w:rPr>
          <w:sz w:val="20"/>
          <w:szCs w:val="20"/>
          <w:color w:val="auto"/>
        </w:rPr>
      </w:pPr>
      <w:r>
        <w:rPr>
          <w:rFonts w:ascii="Arial" w:cs="Arial" w:eastAsia="Arial" w:hAnsi="Arial"/>
          <w:sz w:val="15"/>
          <w:szCs w:val="15"/>
          <w:b w:val="1"/>
          <w:bCs w:val="1"/>
          <w:i w:val="1"/>
          <w:iCs w:val="1"/>
          <w:color w:val="auto"/>
        </w:rPr>
        <w:t xml:space="preserve">Goodwill Impairment: </w:t>
      </w:r>
      <w:r>
        <w:rPr>
          <w:rFonts w:ascii="Arial" w:cs="Arial" w:eastAsia="Arial" w:hAnsi="Arial"/>
          <w:sz w:val="15"/>
          <w:szCs w:val="15"/>
          <w:color w:val="auto"/>
        </w:rPr>
        <w:t>In the second quarter of 2008, the Company recorded a noncash impairment charge of $463 million to the goodwill recorded in its Memory segment. (See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“Item 8. Financial Statements – Notes to Consolidated Financial Statements – Supplemental Balance Sheet Information – Goodwill.”)</w:t>
      </w:r>
    </w:p>
    <w:p>
      <w:pPr>
        <w:spacing w:after="0" w:line="163" w:lineRule="exact"/>
        <w:rPr>
          <w:sz w:val="20"/>
          <w:szCs w:val="20"/>
          <w:color w:val="auto"/>
        </w:rPr>
      </w:pPr>
    </w:p>
    <w:p>
      <w:pPr>
        <w:ind w:right="220"/>
        <w:spacing w:after="0" w:line="274" w:lineRule="auto"/>
        <w:rPr>
          <w:sz w:val="20"/>
          <w:szCs w:val="20"/>
          <w:color w:val="auto"/>
        </w:rPr>
      </w:pPr>
      <w:r>
        <w:rPr>
          <w:rFonts w:ascii="Arial" w:cs="Arial" w:eastAsia="Arial" w:hAnsi="Arial"/>
          <w:sz w:val="15"/>
          <w:szCs w:val="15"/>
          <w:b w:val="1"/>
          <w:bCs w:val="1"/>
          <w:i w:val="1"/>
          <w:iCs w:val="1"/>
          <w:color w:val="auto"/>
        </w:rPr>
        <w:t xml:space="preserve">Inventory Write-Downs: </w:t>
      </w:r>
      <w:r>
        <w:rPr>
          <w:rFonts w:ascii="Arial" w:cs="Arial" w:eastAsia="Arial" w:hAnsi="Arial"/>
          <w:sz w:val="15"/>
          <w:szCs w:val="15"/>
          <w:color w:val="auto"/>
        </w:rPr>
        <w:t>The Company’s results of operations for the fourth, second and first quarters of 2008 and the fourth quarter of 2007 included charges of $205 million, $15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$62 million and $20 million, respectively, to write down the carrying value of work in process and finished goods inventories of Memory products (both DRAM and NAND Flash) to their estimated market values.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Results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5"/>
                <w:szCs w:val="15"/>
                <w:b w:val="1"/>
                <w:bCs w:val="1"/>
                <w:color w:val="auto"/>
              </w:rPr>
              <w:t>2008</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5"/>
                <w:szCs w:val="15"/>
                <w:b w:val="1"/>
                <w:bCs w:val="1"/>
                <w:color w:val="auto"/>
              </w:rPr>
              <w:t>2007</w:t>
            </w:r>
          </w:p>
        </w:tc>
        <w:tc>
          <w:tcPr>
            <w:tcW w:w="7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5"/>
                <w:szCs w:val="15"/>
                <w:b w:val="1"/>
                <w:bCs w:val="1"/>
                <w:color w:val="auto"/>
              </w:rPr>
              <w:t>2006</w:t>
            </w:r>
          </w:p>
        </w:tc>
        <w:tc>
          <w:tcPr>
            <w:tcW w:w="7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6"/>
          </w:tcPr>
          <w:p>
            <w:pPr>
              <w:jc w:val="right"/>
              <w:ind w:right="23"/>
              <w:spacing w:after="0"/>
              <w:rPr>
                <w:sz w:val="20"/>
                <w:szCs w:val="20"/>
                <w:color w:val="auto"/>
              </w:rPr>
            </w:pPr>
            <w:r>
              <w:rPr>
                <w:rFonts w:ascii="Arial" w:cs="Arial" w:eastAsia="Arial" w:hAnsi="Arial"/>
                <w:sz w:val="15"/>
                <w:szCs w:val="15"/>
                <w:color w:val="auto"/>
                <w:w w:val="93"/>
              </w:rPr>
              <w:t>(in millions and as a percent of net sales)</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2620" w:type="dxa"/>
            <w:vAlign w:val="bottom"/>
          </w:tcPr>
          <w:p>
            <w:pPr>
              <w:spacing w:after="0"/>
              <w:rPr>
                <w:sz w:val="20"/>
                <w:szCs w:val="20"/>
                <w:color w:val="auto"/>
              </w:rPr>
            </w:pPr>
            <w:r>
              <w:rPr>
                <w:rFonts w:ascii="Arial" w:cs="Arial" w:eastAsia="Arial" w:hAnsi="Arial"/>
                <w:sz w:val="15"/>
                <w:szCs w:val="15"/>
                <w:color w:val="auto"/>
              </w:rPr>
              <w:t>Memory</w:t>
            </w:r>
          </w:p>
        </w:tc>
        <w:tc>
          <w:tcPr>
            <w:tcW w:w="6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5,188</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5,001</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88</w:t>
            </w:r>
          </w:p>
        </w:tc>
        <w:tc>
          <w:tcPr>
            <w:tcW w:w="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4,523</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5"/>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Imaging</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653</w:t>
            </w:r>
          </w:p>
        </w:tc>
        <w:tc>
          <w:tcPr>
            <w:tcW w:w="4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687</w:t>
            </w:r>
          </w:p>
        </w:tc>
        <w:tc>
          <w:tcPr>
            <w:tcW w:w="4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749</w:t>
            </w:r>
          </w:p>
        </w:tc>
        <w:tc>
          <w:tcPr>
            <w:tcW w:w="4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23"/>
        </w:trPr>
        <w:tc>
          <w:tcPr>
            <w:tcW w:w="2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r>
      <w:tr>
        <w:trPr>
          <w:trHeight w:val="185"/>
        </w:trPr>
        <w:tc>
          <w:tcPr>
            <w:tcW w:w="2620" w:type="dxa"/>
            <w:vAlign w:val="bottom"/>
          </w:tcPr>
          <w:p>
            <w:pPr>
              <w:spacing w:after="0"/>
              <w:rPr>
                <w:sz w:val="16"/>
                <w:szCs w:val="16"/>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5,841</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5,688</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w:t>
            </w:r>
          </w:p>
        </w:tc>
        <w:tc>
          <w:tcPr>
            <w:tcW w:w="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5,272</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2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5"/>
        </w:trPr>
        <w:tc>
          <w:tcPr>
            <w:tcW w:w="2620" w:type="dxa"/>
            <w:vAlign w:val="bottom"/>
          </w:tcPr>
          <w:p>
            <w:pPr>
              <w:spacing w:after="0"/>
              <w:rPr>
                <w:sz w:val="20"/>
                <w:szCs w:val="20"/>
                <w:color w:val="auto"/>
              </w:rPr>
            </w:pPr>
            <w:r>
              <w:rPr>
                <w:rFonts w:ascii="Arial" w:cs="Arial" w:eastAsia="Arial" w:hAnsi="Arial"/>
                <w:sz w:val="15"/>
                <w:szCs w:val="15"/>
                <w:color w:val="auto"/>
              </w:rPr>
              <w:t>Gross margin</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Memory</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(241)</w:t>
            </w: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845</w:t>
            </w:r>
          </w:p>
        </w:tc>
        <w:tc>
          <w:tcPr>
            <w:tcW w:w="4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878</w:t>
            </w:r>
          </w:p>
        </w:tc>
        <w:tc>
          <w:tcPr>
            <w:tcW w:w="4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5"/>
        </w:trPr>
        <w:tc>
          <w:tcPr>
            <w:tcW w:w="2620" w:type="dxa"/>
            <w:vAlign w:val="bottom"/>
          </w:tcPr>
          <w:p>
            <w:pPr>
              <w:spacing w:after="0"/>
              <w:rPr>
                <w:sz w:val="20"/>
                <w:szCs w:val="20"/>
                <w:color w:val="auto"/>
              </w:rPr>
            </w:pPr>
            <w:r>
              <w:rPr>
                <w:rFonts w:ascii="Arial" w:cs="Arial" w:eastAsia="Arial" w:hAnsi="Arial"/>
                <w:sz w:val="15"/>
                <w:szCs w:val="15"/>
                <w:color w:val="auto"/>
              </w:rPr>
              <w:t>Imaging</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186</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233</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w:t>
            </w:r>
          </w:p>
        </w:tc>
        <w:tc>
          <w:tcPr>
            <w:tcW w:w="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322</w:t>
            </w: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23"/>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26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1,078</w:t>
            </w:r>
          </w:p>
        </w:tc>
        <w:tc>
          <w:tcPr>
            <w:tcW w:w="48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r>
      <w:tr>
        <w:trPr>
          <w:trHeight w:val="172"/>
        </w:trPr>
        <w:tc>
          <w:tcPr>
            <w:tcW w:w="26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455</w:t>
            </w:r>
          </w:p>
        </w:tc>
        <w:tc>
          <w:tcPr>
            <w:tcW w:w="4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610</w:t>
            </w:r>
          </w:p>
        </w:tc>
        <w:tc>
          <w:tcPr>
            <w:tcW w:w="4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460</w:t>
            </w:r>
          </w:p>
        </w:tc>
        <w:tc>
          <w:tcPr>
            <w:tcW w:w="4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5"/>
        </w:trPr>
        <w:tc>
          <w:tcPr>
            <w:tcW w:w="262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680</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805</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w:t>
            </w:r>
          </w:p>
        </w:tc>
        <w:tc>
          <w:tcPr>
            <w:tcW w:w="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656</w:t>
            </w: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5"/>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Goodwill impairment</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463</w:t>
            </w:r>
          </w:p>
        </w:tc>
        <w:tc>
          <w:tcPr>
            <w:tcW w:w="4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2620" w:type="dxa"/>
            <w:vAlign w:val="bottom"/>
          </w:tcPr>
          <w:p>
            <w:pPr>
              <w:spacing w:after="0"/>
              <w:rPr>
                <w:sz w:val="20"/>
                <w:szCs w:val="20"/>
                <w:color w:val="auto"/>
              </w:rPr>
            </w:pPr>
            <w:r>
              <w:rPr>
                <w:rFonts w:ascii="Arial" w:cs="Arial" w:eastAsia="Arial" w:hAnsi="Arial"/>
                <w:sz w:val="15"/>
                <w:szCs w:val="15"/>
                <w:color w:val="auto"/>
              </w:rPr>
              <w:t>Restructure</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33</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19</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w:t>
            </w:r>
          </w:p>
        </w:tc>
        <w:tc>
          <w:tcPr>
            <w:tcW w:w="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Other operating (income) expense, net</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(91)</w:t>
            </w: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 %</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(76)</w:t>
            </w:r>
          </w:p>
        </w:tc>
        <w:tc>
          <w:tcPr>
            <w:tcW w:w="48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(1) %</w:t>
            </w:r>
          </w:p>
        </w:tc>
        <w:tc>
          <w:tcPr>
            <w:tcW w:w="4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(266)</w:t>
            </w:r>
          </w:p>
        </w:tc>
        <w:tc>
          <w:tcPr>
            <w:tcW w:w="4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100" w:type="dxa"/>
            <w:vAlign w:val="bottom"/>
          </w:tcPr>
          <w:p>
            <w:pPr>
              <w:spacing w:after="0"/>
              <w:rPr>
                <w:sz w:val="16"/>
                <w:szCs w:val="16"/>
                <w:color w:val="auto"/>
              </w:rPr>
            </w:pPr>
          </w:p>
        </w:tc>
      </w:tr>
      <w:tr>
        <w:trPr>
          <w:trHeight w:val="196"/>
        </w:trPr>
        <w:tc>
          <w:tcPr>
            <w:tcW w:w="2620" w:type="dxa"/>
            <w:vAlign w:val="bottom"/>
          </w:tcPr>
          <w:p>
            <w:pPr>
              <w:spacing w:after="0"/>
              <w:rPr>
                <w:sz w:val="20"/>
                <w:szCs w:val="20"/>
                <w:color w:val="auto"/>
              </w:rPr>
            </w:pPr>
            <w:r>
              <w:rPr>
                <w:rFonts w:ascii="Arial" w:cs="Arial" w:eastAsia="Arial" w:hAnsi="Arial"/>
                <w:sz w:val="15"/>
                <w:szCs w:val="15"/>
                <w:color w:val="auto"/>
              </w:rPr>
              <w:t>Net income (loss)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(1,619)</w:t>
            </w:r>
          </w:p>
        </w:tc>
        <w:tc>
          <w:tcPr>
            <w:tcW w:w="4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(28)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(320)</w:t>
            </w:r>
          </w:p>
        </w:tc>
        <w:tc>
          <w:tcPr>
            <w:tcW w:w="480" w:type="dxa"/>
            <w:vAlign w:val="bottom"/>
          </w:tcPr>
          <w:p>
            <w:pPr>
              <w:spacing w:after="0"/>
              <w:rPr>
                <w:sz w:val="17"/>
                <w:szCs w:val="17"/>
                <w:color w:val="auto"/>
              </w:rPr>
            </w:pPr>
          </w:p>
        </w:tc>
        <w:tc>
          <w:tcPr>
            <w:tcW w:w="1000" w:type="dxa"/>
            <w:vAlign w:val="bottom"/>
            <w:gridSpan w:val="2"/>
          </w:tcPr>
          <w:p>
            <w:pPr>
              <w:jc w:val="right"/>
              <w:ind w:right="23"/>
              <w:spacing w:after="0"/>
              <w:rPr>
                <w:sz w:val="20"/>
                <w:szCs w:val="20"/>
                <w:color w:val="auto"/>
              </w:rPr>
            </w:pPr>
            <w:r>
              <w:rPr>
                <w:rFonts w:ascii="Arial" w:cs="Arial" w:eastAsia="Arial" w:hAnsi="Arial"/>
                <w:sz w:val="15"/>
                <w:szCs w:val="15"/>
                <w:color w:val="auto"/>
              </w:rPr>
              <w:t>(6) %</w:t>
            </w:r>
          </w:p>
        </w:tc>
        <w:tc>
          <w:tcPr>
            <w:tcW w:w="4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408</w:t>
            </w: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the 52 or 53-week period ending on the Thursday closest to August 31.</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Sales</w:t>
      </w:r>
    </w:p>
    <w:p>
      <w:pPr>
        <w:spacing w:after="0" w:line="228"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Total net sales for 2008 increased 3% as compared to 2007 primarily due to a 4% increase in Memory sales partially offset by a 5% decrease in Imaging sales. Memory sales for 2008 reflect significant increases in gigabits sold partially offset by significant declines in per gigabit average selling prices as compared to 2007. Memory sales were 89% of total net sales for 2008, 88% for 2007 and 86% for 2006. Imaging sales for 2008 decreased 5% from 2007 primarily reflecting pricing pressure. Total net sales for 2007 increased 8% as compared to 2006 primarily due to an 11% increase in Memory sales partially offset by an 8% decline in Imaging sales.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Memory: </w:t>
      </w:r>
      <w:r>
        <w:rPr>
          <w:rFonts w:ascii="Arial" w:cs="Arial" w:eastAsia="Arial" w:hAnsi="Arial"/>
          <w:sz w:val="14"/>
          <w:szCs w:val="14"/>
          <w:color w:val="auto"/>
        </w:rPr>
        <w:t>Memory sales for 2008 increased 4% from 2007 primarily due to a 55% increase in sales of NAND Flash products offset by a 15% decrease in sales of DRAM products.</w:t>
      </w:r>
    </w:p>
    <w:p>
      <w:pPr>
        <w:spacing w:after="0" w:line="233"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Sales of NAND Flash products for 2008 increased from 2007 primarily due to an increase of approximately 370% in gigabits sold as a result of production increases partially offset by a decline of approximately 65% in average selling prices per gigabit. Gigabit production of NAND Flash products increased approximately 350% for 2008 as compared to 2007, primarily due to the continued ramp of NAND Flash products at the Company’s 300mm fabrication facilities and transitions to higher density, advanced geometry devices. Sales of NAND Flash products represented approximately 35% of the Company’s total net sales for 2008 as compared to approximately 25% for 2007 and approximately 5% for 2006. The Company expects that its gigabit production of NAND Flash products will continue to increase in 2009 but at a slower rate than 2008.</w:t>
      </w:r>
    </w:p>
    <w:p>
      <w:pPr>
        <w:spacing w:after="0" w:line="180"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Sales of DRAM products for 2008 decreased from 2007 primarily due to a decline of approximately 50% in average selling prices (which included the effects of a $50 million charge to revenue in the first quarter of 2007 as a result of a settlement agreement with a class of direct purchasers of certain DRAM products), mitigated by an increase in gigabits sold of approximately 70%. Gigabit production of DRAM products increased approximately 70% for 2008, primarily due to production efficiencies from improvements in product and process technologies, including TECH’s conversion to 300mm wafer fabrication. Sales of DDR2 and DDR3 DRAM, the Company’s highest volume products, were approximately 30% of the Company’s total net sales for 2008 and 2007 and approximately 25% for 2006.</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32" w:name="page33"/>
    <w:bookmarkEnd w:id="32"/>
    <w:p>
      <w:pPr>
        <w:ind w:right="40"/>
        <w:spacing w:after="0" w:line="280" w:lineRule="auto"/>
        <w:rPr>
          <w:sz w:val="20"/>
          <w:szCs w:val="20"/>
          <w:color w:val="auto"/>
        </w:rPr>
      </w:pPr>
      <w:r>
        <w:rPr>
          <w:rFonts w:ascii="Arial" w:cs="Arial" w:eastAsia="Arial" w:hAnsi="Arial"/>
          <w:sz w:val="14"/>
          <w:szCs w:val="14"/>
          <w:color w:val="auto"/>
        </w:rPr>
        <w:t>Memory sales for 2007 increased 11% from 2006 primarily due to a 287% increase in sales of NAND Flash products offset by an 11% decrease in sales of DRAM products. Sales of NAND Flash products for 2007 increased from 2006 primarily due to significant increases in gigabit production and the Company’s acquisition of Lexar Media, Inc. (which occurred in the fourth quarter of 2006), partially offset by a 56% decline in average selling prices per gigabit. Gigabit production of NAND Flash products increased over 800% for 2007 as compared to 2006, primarily due to the ramp of NAND Flash products at the Company’s 300mm fabrication facilities and transitions to higher density, advanced geometry</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devices. Sales of DRAM products for 2007 decreased from 2006 primarily due to a 23% decline in average selling prices (which included the effects of a $50 million charge to revenue in the first quarter of 2007 as a result of a settlement agreement with a class of direct purchasers of certain DRAM products), which was partially mitigated by a 16% increase in gigabits sold. Gigabit production of DRAM products increased 23% for 2007, primarily due to transitions to higher density, advanced geometry devices.</w:t>
      </w:r>
    </w:p>
    <w:p>
      <w:pPr>
        <w:spacing w:after="0" w:line="179" w:lineRule="exact"/>
        <w:rPr>
          <w:sz w:val="20"/>
          <w:szCs w:val="20"/>
          <w:color w:val="auto"/>
        </w:rPr>
      </w:pPr>
    </w:p>
    <w:p>
      <w:pPr>
        <w:ind w:right="60"/>
        <w:spacing w:after="0" w:line="322" w:lineRule="auto"/>
        <w:rPr>
          <w:sz w:val="20"/>
          <w:szCs w:val="20"/>
          <w:color w:val="auto"/>
        </w:rPr>
      </w:pPr>
      <w:r>
        <w:rPr>
          <w:rFonts w:ascii="Arial" w:cs="Arial" w:eastAsia="Arial" w:hAnsi="Arial"/>
          <w:sz w:val="13"/>
          <w:szCs w:val="13"/>
          <w:b w:val="1"/>
          <w:bCs w:val="1"/>
          <w:i w:val="1"/>
          <w:iCs w:val="1"/>
          <w:color w:val="auto"/>
        </w:rPr>
        <w:t xml:space="preserve">Imaging: </w:t>
      </w:r>
      <w:r>
        <w:rPr>
          <w:rFonts w:ascii="Arial" w:cs="Arial" w:eastAsia="Arial" w:hAnsi="Arial"/>
          <w:sz w:val="13"/>
          <w:szCs w:val="13"/>
          <w:color w:val="auto"/>
        </w:rPr>
        <w:t>Imaging sales for 2008 decreased 5% from 2007 primarily due to significant declines in average selling prices by product type partially offset by a shift in product mix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products with 1-megapixel or lower resolution to products with 3-megapixel or higher resolution, which had higher average selling prices per unit. Imaging sales were 11% of the Company’s total net sales in 2008 as compared to 12% for 2007 and 14% for 2006. Imaging sales for 2007 decreased 8% from 2006 primarily due to declines in average selling prices as a result of industry softness in mobile handset sales and pricing pressure. Declines in average selling prices for 2007 were mitigated by increased sales of higher resolution products.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Margin</w:t>
      </w:r>
    </w:p>
    <w:p>
      <w:pPr>
        <w:spacing w:after="0" w:line="228"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Company’s overall gross margin percentage declined from 19% for 2007 to negative 1% for 2008 primarily due to a decrease in the gross margin percentage for Memory as a result of the significant declines in per gigabit average selling prices. The Company’s overall gross margin percentage for 2007 declined to 19% from 23% for 2006 due to a decrease in both the gross margin percentages for Memory and Imaging products.</w:t>
      </w:r>
    </w:p>
    <w:p>
      <w:pPr>
        <w:spacing w:after="0" w:line="174" w:lineRule="exact"/>
        <w:rPr>
          <w:sz w:val="20"/>
          <w:szCs w:val="20"/>
          <w:color w:val="auto"/>
        </w:rPr>
      </w:pPr>
    </w:p>
    <w:p>
      <w:pPr>
        <w:ind w:right="300"/>
        <w:spacing w:after="0" w:line="328" w:lineRule="auto"/>
        <w:rPr>
          <w:sz w:val="20"/>
          <w:szCs w:val="20"/>
          <w:color w:val="auto"/>
        </w:rPr>
      </w:pPr>
      <w:r>
        <w:rPr>
          <w:rFonts w:ascii="Arial" w:cs="Arial" w:eastAsia="Arial" w:hAnsi="Arial"/>
          <w:sz w:val="14"/>
          <w:szCs w:val="14"/>
          <w:b w:val="1"/>
          <w:bCs w:val="1"/>
          <w:i w:val="1"/>
          <w:iCs w:val="1"/>
          <w:color w:val="auto"/>
        </w:rPr>
        <w:t xml:space="preserve">Memory: </w:t>
      </w:r>
      <w:r>
        <w:rPr>
          <w:rFonts w:ascii="Arial" w:cs="Arial" w:eastAsia="Arial" w:hAnsi="Arial"/>
          <w:sz w:val="14"/>
          <w:szCs w:val="14"/>
          <w:color w:val="auto"/>
        </w:rPr>
        <w:t>The Company’s gross margin percentage for Memory products declined from 17% for 2007 to negative 5% for 2008 primarily due to the significant decreases in average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selling prices and the shift in product mix to NAND Flash products (which had a significantly lower gross margin than DRAM products in 2008), mitigated by cost reductions.</w:t>
      </w:r>
    </w:p>
    <w:p>
      <w:pPr>
        <w:spacing w:after="0" w:line="140"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The Company’s gross margins for Memory in 2008 were reduced by a $205 million charge in the fourth quarter of 2008 to write-down inventories to their estimated market values as a result of the significant decreases in average selling prices for both DRAM and NAND Flash Products. The Company’s inventory write-downs of $15 million and $62 million in the second and first quarters of 2008, respectively, did not significantly impact 2008 gross margins as a substantial portion of the written-down inventory was sold in 2008. Gross margins for 2007 were reduced by a $20 million inventory write-down in the fourth quarter of 2007. In future periods the Company would record additional inventory write-downs if estimated average selling prices of products held in finished goods and work in process inventories at a quarter-end date are below the manufacturing cost of these products.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The Company’s gross margin for DRAM products for 2008 declined from 2007, primarily due to the decrease in average selling prices per gigabit of approximately 50% mitigated by a reduction in costs per gigabit. The Company achieved cost reductions for DRAM products through transitions to higher-density, advanced-geometry devices. Cost reductions in 2008 for DRAM products were partially offset by the inventory write-downs. Excluding the inventory write-downs, the Company reduced its DRAM costs per gigabit by approximately 35% for 2008 as compared to 2007.</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The Company’s gross margin for NAND Flash products for 2008 declined from 2007 primarily due to the decrease in average selling prices per gigabit of approximately 65% mitigated by a reduction in costs per gigabit. Cost reductions in 2008 primarily reflect lower manufacturing costs and lower costs of NAND Flash products purchased for sale under the Company’s Lexar brand. The Company achieved manufacturing cost reductions for NAND Flash products primarily through increased production of higher-density, advanced-geometry devices at the Company’s 300mm fabrication facilities. NAND Flash costs for 2008 were also reduced by a recovery of $70 million for price adjustments for NAND Flash products purchased from other suppliers in prior periods. Cost reductions in 2008 for NAND Flash Products were partially offset by the inventory write-downs. Excluding the inventory write-downs and the effect of pricing adjustments from other suppliers, the Company reduced its NAND Flash costs per gigabit by approximately 65%. Sales of NAND Flash products include sales from IM Flash to Intel at long-term negotiated prices approximating cost. IM Flash sales to Intel were $1,037 million, $497 million and $114 million for 2008, 2007 and 2006,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33" w:name="page34"/>
    <w:bookmarkEnd w:id="33"/>
    <w:p>
      <w:pPr>
        <w:spacing w:after="0" w:line="262" w:lineRule="auto"/>
        <w:rPr>
          <w:sz w:val="20"/>
          <w:szCs w:val="20"/>
          <w:color w:val="auto"/>
        </w:rPr>
      </w:pPr>
      <w:r>
        <w:rPr>
          <w:rFonts w:ascii="Arial" w:cs="Arial" w:eastAsia="Arial" w:hAnsi="Arial"/>
          <w:sz w:val="15"/>
          <w:szCs w:val="15"/>
          <w:color w:val="auto"/>
        </w:rPr>
        <w:t>The Company’s gross margin percentage for Memory products of 17% for 2007 declined from 19% for 2006 primarily due to the shift in product mix from DRAM products to NAND Flash products, which had a significantly lower gross margin than DRAM products in 2007. This decline in gross margin percentage was mitigated by improvements in the gross margin for 2007 on sales of both DRAM and NAND Flash products as compared to 2006. The gross margin for DRAM products for 2007 improved from 2006, primarily due to a reduction in costs per gigabit of approximately 25%, partially offset by a decline in average selling prices of approximately 25%. The Company achieved cost reductions for DRAM products through transitions to production of devices utilizing the Company’s 78nm process technologies. The Company’s gross margin for NAND Flash products for 2007 improved slightly from 2006 primarily due to a reduction in costs per gigabit of approximately 55%, partially offset by a decline in average selling prices of approximately 55%. Cost reductions in 2007 reflect lower manufacturing costs, lower costs of NAND Flash products purchased for sale under the Company’s Lexar brand and shifts in product mix. The Company achieved manufacturing cost reductions for NAND Flash products primarily through increased production of higher-density, advanced-geometry devices at the Company’s 300mm fabrication facilities.</w:t>
      </w:r>
    </w:p>
    <w:p>
      <w:pPr>
        <w:spacing w:after="0" w:line="183" w:lineRule="exact"/>
        <w:rPr>
          <w:sz w:val="20"/>
          <w:szCs w:val="20"/>
          <w:color w:val="auto"/>
        </w:rPr>
      </w:pPr>
    </w:p>
    <w:p>
      <w:pPr>
        <w:ind w:right="220"/>
        <w:spacing w:after="0" w:line="293" w:lineRule="auto"/>
        <w:rPr>
          <w:sz w:val="20"/>
          <w:szCs w:val="20"/>
          <w:color w:val="auto"/>
        </w:rPr>
      </w:pPr>
      <w:r>
        <w:rPr>
          <w:rFonts w:ascii="Arial" w:cs="Arial" w:eastAsia="Arial" w:hAnsi="Arial"/>
          <w:sz w:val="14"/>
          <w:szCs w:val="14"/>
          <w:color w:val="auto"/>
        </w:rPr>
        <w:t>In 2008, the Company’s TECH Semiconductor Singapore Pte. Ltd. (“TECH”) joint venture accounted for approximately 12% of the Company’s total wafer production. TECH primarily produced DDR and DDR2 products in 2008, 2007 and 2006. Since TECH utilizes the Company’s product designs and process technology and has a similar manufacturing cost structure, the gross margin on sales of TECH products approximates gross margins on sales of similar products manufactured by the Company’s wholly-owned operations. (See “Item 8. Financial Statements – Notes to Consolidated Financial Statements – Joint Ventures – TECH Semiconductor Singapore Pte. Ltd.”)</w:t>
      </w:r>
    </w:p>
    <w:p>
      <w:pPr>
        <w:spacing w:after="0" w:line="164"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b w:val="1"/>
          <w:bCs w:val="1"/>
          <w:i w:val="1"/>
          <w:iCs w:val="1"/>
          <w:color w:val="auto"/>
        </w:rPr>
        <w:t xml:space="preserve">Imaging: </w:t>
      </w:r>
      <w:r>
        <w:rPr>
          <w:rFonts w:ascii="Arial" w:cs="Arial" w:eastAsia="Arial" w:hAnsi="Arial"/>
          <w:sz w:val="15"/>
          <w:szCs w:val="15"/>
          <w:color w:val="auto"/>
        </w:rPr>
        <w:t>The Company’s gross margin for Imaging declined to 28% for 2008 from 34% for 2007 primarily due to declines in average selling prices mitigated by cost reductions and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shift to higher resolution products, which realized better gross margins. The Company’s gross margin for Imaging declined to 34% for 2007 from 43% for of 2006 primarily due to declines in average selling prices that were mitigated by cost reductions and shifts in product mix to higher resolution products.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Selling, General and Administrative</w:t>
      </w:r>
    </w:p>
    <w:p>
      <w:pPr>
        <w:spacing w:after="0" w:line="228"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Selling, general and administrative (“SG&amp;A”) expenses for 2008 decreased 25% from 2007 primarily due to lower legal costs as well as lower payroll costs and other expenses driven by the Company’s restructure initiatives. The reduction of payroll costs in 2008 was primarily the result of a decrease in headcount. In 2007, the Company recorded a $31 million charge to SG&amp;A as a result of the settlement of certain antitrust class action (direct purchaser) lawsuits. SG&amp;A expenses for 2007 increased 33% from 2006 primarily due to higher personnel costs and higher legal costs including the $31 million charge for settlement of the direct purchaser lawsuits. Personnel costs in 2007 increased from 2006 primarily due to increased headcount resulting from the acquisition of Lexar in the fourth quarter of 2006, the formation of IM Flash in the second quarter of 2006 and subsequent ramp of its operations, and the consolidation of TECH in the third quarter of 2006. Future SG&amp;A expense is expected to vary, potentially significantly, depending on, among other things, the number of legal matters that are resolved relatively early in their life-cycle and the number of matters that progress to trial. For the Company’s Memory segment, SG&amp;A expenses as a percentage of sales were 7% in 2008, 11% in 2007 and 8% in 2006. For the Imaging segment, SG&amp;A expenses as a percentage of sales were 11% in 2008, 11% in 2007 and 12% in 2006.</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228"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16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R&amp;D expenses for 2008 decreased 16% from 2007 primarily due to decreases in development wafers processed and lower payroll costs driven by the Company’s restructure initiatives. R&amp;D expenses for 2007 increased 23% from 2006 primarily due to NAND pre-production wafer processing mitigated by reimbursements received from Intel under a NAND Flash R&amp;D cost-sharing arrangement. R&amp;D expenses were reduced by $148 million in 2008, $240 million in 2007 and $86 million in 2006 for amounts reimbursable from Intel under the NAND Flash R&amp;D cost-sharing arrangement. For the Memory segment, R&amp;D expenses as a percentage of sales were 10% for 2008, 13% for 2007 and 13% for 2006. For the Imaging segment, R&amp;D expenses as a percentage of sales were 22% for 2008, 23% for 2007 and 11% for 2006.</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34" w:name="page35"/>
    <w:bookmarkEnd w:id="34"/>
    <w:p>
      <w:pPr>
        <w:ind w:right="140"/>
        <w:spacing w:after="0" w:line="293" w:lineRule="auto"/>
        <w:rPr>
          <w:sz w:val="20"/>
          <w:szCs w:val="20"/>
          <w:color w:val="auto"/>
        </w:rPr>
      </w:pPr>
      <w:r>
        <w:rPr>
          <w:rFonts w:ascii="Arial" w:cs="Arial" w:eastAsia="Arial" w:hAnsi="Arial"/>
          <w:sz w:val="14"/>
          <w:szCs w:val="14"/>
          <w:color w:val="auto"/>
        </w:rPr>
        <w:t>The Company’s process technology R&amp;D efforts are focused primarily on development of successively smaller line-width process technologies which are designed to facilitate the Company’s transition to next-generation memory products and CMOS image sensors. Additional process technology R&amp;D efforts focus on advanced computing and mobile memory architectures and new manufacturing materials. Product design and development efforts are concentrated on the Company’s 1 Gb and 2 Gb DDR2 and DDR3 products as well as high density and mobile NAND Flash memory (including MLC technology), specialty memory products, memory systems and CMOS image sensors.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Impairment</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In the second quarter of 2008, the Company performed an assessment of impairment for goodwill. In the first and second quarters of 2008, the Company experienced a sustained, significant decline in its stock price. As a result of the decline in stock price, the Company’s market capitalization fell significantly below the recorded value of its consolidated net assets for most of the second quarter of 2008. The reduced market capitalization reflected, in part, the Memory segment’s lower average selling prices and expected continued weakness in pricing for the Company’s Memory products.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Based on the results of the Company’s assessment of goodwill for impairment, it was determined that the carrying value of the Memory segment exceeded its estimated fair</w:t>
      </w:r>
    </w:p>
    <w:p>
      <w:pPr>
        <w:spacing w:after="0" w:line="2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value. Therefore, the Company performed the second step of the impairment test to determine the implied fair value of goodwill. Specifically, the Company allocated the estimated fair value of the Memory segment as determined in the first step to recognized and unrecognized net assets, including allocations to intangible assets such as intellectual property, customer relationships and brand and trade names. The result of the analysis indicated that there would be no remaining implied value attributable to goodwill in the Memory segment and accordingly, the Company wrote off all $463 million of goodwill associated with its Memory segment as of February 28, 2008. The Company’s assessment of goodwill for impairment in the second and fourth quarters of 2008 indicated that the fair value of the Imaging segment exceeded its carrying value and therefore goodwill in the segment was not impaired. (See “Item 8. Financial Statements – Notes to Consolidated Financial Statements – Supplemental Balance Sheet Information – Goodwill.”)</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Restructure</w:t>
      </w:r>
    </w:p>
    <w:p>
      <w:pPr>
        <w:spacing w:after="0" w:line="228"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In an effort to increase its competitiveness and efficiency, in the fourth quarter of 2007, the Company began pursuing a number of initiatives to reduce costs across its operations. These initiatives included workforce reductions in certain areas of the Company as its business was realigned. Additional initiatives included establishing certain operations closer in location to the Company’s global customers and evaluating functions more efficiently performed through partnerships or other outside relationships. In 2008, the Company recorded charges of $33 million, primarily within its Memory segment, for employee severance and related costs, relocation and retention bonuses and a write-down of certain facilities to their fair values. Since the restructure initiatives were initiated in the fourth quarter of 2007, the Company has incurred $52 million of restructure costs.</w:t>
      </w:r>
    </w:p>
    <w:p>
      <w:pPr>
        <w:spacing w:after="0" w:line="167"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auto"/>
        </w:rPr>
        <w:t>On October 9, 2008 the Company announced a plan to restructure its Memory operations. The Company’s IM Flash joint venture with Intel Corporation will discontinue production of 200mm wafer NAND flash memory at Micron’s Boise facility. The NAND Flash production shutdown will reduce IM Flash’s NAND flash production by approximately 35,000 200mm wafers per month. In addition, the Company and Intel agreed to suspend tooling and the ramp of production at IM Flash’s Singapore wafer fabrication plant. As part of the restructuring, the Company plans to reduce its global workforce by approximately 15 percent during 2009 and 2010. Cash costs for restructuring and other related expenses incurred in connection with this restructuring are anticipated to be approximately $60 million, and the benefit to the Company’s cash operating results for 2009 is expected to exceed $175 million.</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Operating (Income) Expense, Net</w:t>
      </w:r>
    </w:p>
    <w:p>
      <w:pPr>
        <w:spacing w:after="0" w:line="228"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Other operating (income) for 2008 included gains of $66 million for disposals of semiconductor equipment and $38 million for receipts from the U.S. government in connection with anti-dumping tariffs. Other operating expenses for 2008 included losses of $25 million from changes in currency exchange rates. Other operating (income) for 2007 included gains of $43 million from disposals of semiconductor equipment, $30 million from the sale of certain intellectual property to Toshiba Corporation and $7 million in grants received in connection with the Company’s operations in China. Other operating expense for 2007 included losses of $14 million from changes in currency exchange rates. Other operating (income) for 2006 included $230 million of net proceeds for the sale of the Company’s existing NAND Flash memory designs and certain related technology to Intel, net of amounts paid by the Company for a perpetual, paid-up license to use and modify such designs. Other operating (income) for 2006 also included $23 million in additional amounts expected to be reimbursed resulting from the extension of an economic development agreement, which allows the Company to recover amounts relating to certain investments in IM Flash.</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color w:val="auto"/>
        </w:rPr>
        <w:t>Income Taxes</w:t>
      </w:r>
    </w:p>
    <w:p>
      <w:pPr>
        <w:spacing w:after="0" w:line="228"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Income taxes for 2008, 2007 and 2006 primarily reflect taxes on the Company’s non-U.S. operations and U.S. alternative minimum tax. The Company has a valuation allowance for its net deferred tax asset associated with its U.S. operations. The benefit for taxes on U.S. operations in 2008, 2007 and 2006 was substantially offset by changes in the valuation allowance. As of August 28, 2008, the Company had aggregate U.S. tax net operating loss carryforwards of $2.7 billion and unused U.S. tax credit carryforwards of $205 million. The Company also had unused state tax net operating loss carryforwards of $1.8 billion and unused state tax credits of $189 million as of August 28, 2008. Substantially all of the net operating loss carryforwards expire in 2022 to 2028 and substantially all of the tax credit carryforwards expire in 2013 to 2028. Due to certain foreign statutes of limitations, which expired on December 31, 2007, the Company recognized approximately $15 million of previously unrecognized tax benefits in the second quarter of 2008.</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Noncontrolling Interests in Net (Income) Loss</w:t>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Noncontrolling interests for 2008, 2007 and 2006 primarily reflects the share of income or losses of the Company’s TECH joint venture attributable to the noncontrolling interests in TECH. On March 30, 2007, the Company acquired all of the shares of TECH common stock held by the Singapore Economic Development Board, which had the effect of reducing the noncontrolling interests in TECH as of that date from 57% to 27%. (See “Item 8. Financial Statements and Supplementary Data – Notes to Consolidated Financial Statements – Joint Ventures – TECH Semiconductor Singapore Pte. Ltd.”)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Total compensation cost for the Company’s equity plans in 2008, 2007 and 2006 was $48 million, $44 million and $26 million, respectively. As of August 28, 2008, August 30, 2007 and August 31, 2006, $3 million, $3 million and $1 million of stock-based compensation expense was capitalized and remained in inventory. As of August 28, 2008, $107 million of total unrecognized compensation cost related to non-vested awards was expected to be recognized through the fourth quarter of 2012. In 2005, the Company accelerated the vesting of substantially all of its unvested stock options then outstanding which reduced stock compensation recognized in subsequent periods.</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8" w:lineRule="exact"/>
        <w:rPr>
          <w:sz w:val="20"/>
          <w:szCs w:val="20"/>
          <w:color w:val="auto"/>
        </w:rPr>
      </w:pPr>
    </w:p>
    <w:p>
      <w:pPr>
        <w:ind w:right="300"/>
        <w:spacing w:after="0" w:line="274" w:lineRule="auto"/>
        <w:rPr>
          <w:sz w:val="20"/>
          <w:szCs w:val="20"/>
          <w:color w:val="auto"/>
        </w:rPr>
      </w:pPr>
      <w:r>
        <w:rPr>
          <w:rFonts w:ascii="Arial" w:cs="Arial" w:eastAsia="Arial" w:hAnsi="Arial"/>
          <w:sz w:val="15"/>
          <w:szCs w:val="15"/>
          <w:color w:val="auto"/>
        </w:rPr>
        <w:t>As of August 28, 2008, the Company had cash and equivalents and short-term investments totaling $1.4 billion compared to $2.6 billion as of August 30, 2007. The balance as of August 28, 2008, included an aggregate of $508 million held at the Company’s IM Flash and TECH joint ventures. The Company’s ability to access funds held by joint ventures to finance the Company’s other operations is subject to agreement by the joint venture partners.</w:t>
      </w:r>
    </w:p>
    <w:p>
      <w:pPr>
        <w:spacing w:after="0" w:line="174"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The Company’s liquidity is highly dependent on average selling prices for its products and the timing of capital expenditures, both of which can vary significantly from period to period. Depending on conditions in the semiconductor memory market, the Company’s cash flows from operations and current holdings of cash and investments may not be adequate to meet the Company’s current and long-term needs for capital expenditures and operations. Historically, the Company has used external financing to fund these needs. Due to conditions in the credit markets, some financing instruments used by the Company in the past are currently not available to the Company. As a result, the Company is pursuing financing alternatives, delaying capital expenditures and implementing further cost-cutting initiatives. The Company has the ability and intent to significantly reduce capital expenditures and limit contributions to joint venture partners if necessary to meet its operating obligations.</w:t>
      </w:r>
    </w:p>
    <w:p>
      <w:pPr>
        <w:spacing w:after="0" w:line="183"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The Company generated $1.0 billion of cash from operating activities in 2008, which primarily reflects the Company’s $1.6 billion of net loss adjusted by $2.1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billion for noncash depreciation and amortization expense and a $463 million noncash goodwill impairment charge.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36" w:name="page37"/>
    <w:bookmarkEnd w:id="36"/>
    <w:p>
      <w:pPr>
        <w:ind w:right="160"/>
        <w:spacing w:after="0" w:line="286" w:lineRule="auto"/>
        <w:rPr>
          <w:sz w:val="20"/>
          <w:szCs w:val="20"/>
          <w:color w:val="auto"/>
        </w:rPr>
      </w:pPr>
      <w:r>
        <w:rPr>
          <w:rFonts w:ascii="Arial" w:cs="Arial" w:eastAsia="Arial" w:hAnsi="Arial"/>
          <w:sz w:val="14"/>
          <w:szCs w:val="14"/>
          <w:b w:val="1"/>
          <w:bCs w:val="1"/>
          <w:i w:val="1"/>
          <w:iCs w:val="1"/>
          <w:color w:val="auto"/>
        </w:rPr>
        <w:t xml:space="preserve">Investing Activities: </w:t>
      </w:r>
      <w:r>
        <w:rPr>
          <w:rFonts w:ascii="Arial" w:cs="Arial" w:eastAsia="Arial" w:hAnsi="Arial"/>
          <w:sz w:val="14"/>
          <w:szCs w:val="14"/>
          <w:color w:val="auto"/>
        </w:rPr>
        <w:t>Net cash used by investing activities was $2.1 billion in 2008, which included cash expenditures for property, plant and equipment of $2.5 billion partially offset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by the net effect of purchases, sales and maturities of marketable investment securities of $288 million and $187 million in proceeds from sales of equipment. A significant portion of the capital expenditures relate to the ramp of IM Flash facilities and 300mm conversion of manufacturing operations at TECH.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2009 capital spending to approximate $1.0 billion to $1.3 billion. As of August 28, 2008, the Company had commitments of approximately $300 million for the acquisition of property, plant and equipment, nearly all of which are expected to be paid within one year.</w:t>
      </w:r>
    </w:p>
    <w:p>
      <w:pPr>
        <w:spacing w:after="0" w:line="171" w:lineRule="exact"/>
        <w:rPr>
          <w:sz w:val="20"/>
          <w:szCs w:val="20"/>
          <w:color w:val="auto"/>
        </w:rPr>
      </w:pPr>
    </w:p>
    <w:p>
      <w:pPr>
        <w:ind w:right="160"/>
        <w:spacing w:after="0" w:line="274"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provided by financing activities was $125 million in 2008, which primarily reflects $837 million in proceeds from borrowings and $268 million in cash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contributions received (net of distributions paid) from joint venture partners partially offset by $698 million in debt payments and $387 million in payments on equipment purchase contracts.</w:t>
      </w:r>
    </w:p>
    <w:p>
      <w:pPr>
        <w:spacing w:after="0" w:line="174"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During the second quarter of 2008, the Company’s TECH subsidiary borrowed $240 million against a credit facility at Singapore Interbank Offered Rate ("SIBOR") plus 2.5%. On March 31, 2008, TECH entered into a new credit facility enabling it to borrow up to $600 million at SIBOR plus 2.5%. The facility is available for drawdown through December 31, 2008. During 2008, TECH drew $600 million under the new credit facility and retired the previous credit facility by paying off the $240 million outstanding. The new credit facility is collateralized by substantially all of the assets of TECH (approximately $1,741 million as of August 28, 2008) and contains covenants that, among other requirements, establish certain liquidity, debt service coverage and leverage ratios, and restrict TECH’s ability to incur indebtedness, create liens and acquire or dispose of assets. Payments under the new facility are due in approximately equal installments over 13 quarters commencing in May 2009. Beginning March 2009, TECH will be required to maintain $30 million in restricted cash and this restricted cash requirement will increase to $60 million in September 2009. The Company has guaranteed approximately 73% of the outstanding amount of the facility, with the Company’s obligation increasing to 100% of the outstanding amount of the facility upon the occurrence of certain conditions. As a condition to granting the guarantee, the Company has a second position priority interest in all of the assets of TECH behind the lenders. (See “Item 8. Financial Statements – Notes to Consolidated Financial Statements – Supplemental Balance Sheet Information – Debt.”)</w:t>
      </w:r>
    </w:p>
    <w:p>
      <w:pPr>
        <w:spacing w:after="0" w:line="188" w:lineRule="exact"/>
        <w:rPr>
          <w:sz w:val="20"/>
          <w:szCs w:val="20"/>
          <w:color w:val="auto"/>
        </w:rPr>
      </w:pPr>
    </w:p>
    <w:p>
      <w:pPr>
        <w:jc w:val="both"/>
        <w:ind w:right="80"/>
        <w:spacing w:after="0" w:line="274" w:lineRule="auto"/>
        <w:rPr>
          <w:sz w:val="20"/>
          <w:szCs w:val="20"/>
          <w:color w:val="auto"/>
        </w:rPr>
      </w:pPr>
      <w:r>
        <w:rPr>
          <w:rFonts w:ascii="Arial" w:cs="Arial" w:eastAsia="Arial" w:hAnsi="Arial"/>
          <w:sz w:val="15"/>
          <w:szCs w:val="15"/>
          <w:color w:val="auto"/>
        </w:rPr>
        <w:t>As of August 28, 2008, the Company had notes payable of $108 million, denominated in Japanese yen, that was subject to customary covenants, including the ratio of debt to equity. As a result of financing that the Company is pursuing for its acquisition of a 35.6% interest in Inotera, the Company may prepay all of this debt in the first quarter of 2009 to avoid potential violations of these covenants.</w:t>
      </w:r>
    </w:p>
    <w:p>
      <w:pPr>
        <w:spacing w:after="0" w:line="174" w:lineRule="exact"/>
        <w:rPr>
          <w:sz w:val="20"/>
          <w:szCs w:val="20"/>
          <w:color w:val="auto"/>
        </w:rPr>
      </w:pPr>
    </w:p>
    <w:p>
      <w:pPr>
        <w:ind w:right="220"/>
        <w:spacing w:after="0" w:line="274" w:lineRule="auto"/>
        <w:rPr>
          <w:sz w:val="20"/>
          <w:szCs w:val="20"/>
          <w:color w:val="auto"/>
        </w:rPr>
      </w:pPr>
      <w:r>
        <w:rPr>
          <w:rFonts w:ascii="Arial" w:cs="Arial" w:eastAsia="Arial" w:hAnsi="Arial"/>
          <w:sz w:val="15"/>
          <w:szCs w:val="15"/>
          <w:b w:val="1"/>
          <w:bCs w:val="1"/>
          <w:i w:val="1"/>
          <w:iCs w:val="1"/>
          <w:color w:val="auto"/>
        </w:rPr>
        <w:t xml:space="preserve">Joint Ventures: </w:t>
      </w:r>
      <w:r>
        <w:rPr>
          <w:rFonts w:ascii="Arial" w:cs="Arial" w:eastAsia="Arial" w:hAnsi="Arial"/>
          <w:sz w:val="15"/>
          <w:szCs w:val="15"/>
          <w:color w:val="auto"/>
        </w:rPr>
        <w:t>As of August 28, 2008, IM Flash had $393 million of cash and marketable investment securities. IM Flash plans to make distributions of approximately $420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Intel through the end of 2009. Timing of these distributions and any future contributions, however, is subject to market conditions and approval of the partners. The Company anticipates additional investments as appropriate to support the growth of IM Flash’s operations.</w:t>
      </w:r>
    </w:p>
    <w:p>
      <w:pPr>
        <w:spacing w:after="0" w:line="174" w:lineRule="exact"/>
        <w:rPr>
          <w:sz w:val="20"/>
          <w:szCs w:val="20"/>
          <w:color w:val="auto"/>
        </w:rPr>
      </w:pPr>
    </w:p>
    <w:p>
      <w:pPr>
        <w:ind w:right="300"/>
        <w:spacing w:after="0" w:line="290" w:lineRule="auto"/>
        <w:rPr>
          <w:sz w:val="20"/>
          <w:szCs w:val="20"/>
          <w:color w:val="auto"/>
        </w:rPr>
      </w:pPr>
      <w:r>
        <w:rPr>
          <w:rFonts w:ascii="Arial" w:cs="Arial" w:eastAsia="Arial" w:hAnsi="Arial"/>
          <w:sz w:val="15"/>
          <w:szCs w:val="15"/>
          <w:color w:val="auto"/>
        </w:rPr>
        <w:t>As of August 28, 2008, TECH had $115 million of cash and marketable investment securities. The Company expects to make additional capital contributions to TECH in 2009. The timing and amount of these contributions is subject to market conditions and partner participation.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In the third quarter of 2008, the Company entered into a joint venture arrangement with Nanya. Under this arrangement,</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Company transferred and licensed certain intellectual property related to the manufacture of stack DRAM products to Nanya and licensed certain intellectual property from Nanya. On October 12, 2008, the Company announced that it had entered into an agreement to acquire Qimonda AG’s 35.6% ownership stake in Inotera, a Taiwanese DRAM memory manufacturer, for $400 million in cash. The Company received commitments of $285 million of term loans to fund this acquisition in part. In connection with this acquisition, the Company expects to enter into a series of agreements with Nanya (a 35.6% stakeholder in Inotera) to restructure the MeiYa joint venture between the Company and Nanya. It is anticipated that both parties will cease future resource commitments to MeiYa and redirect those resources to Inotera. The Company and Nanya each contributed $84 million in cash to MeiYa in 2008. (See “Item 8. Financial Statements and Supplementary Data – Notes to Consolidated Financial Statements – Joint Ventures – DRAM Joint Ventures with Nanya Technology Corporation.”)</w:t>
      </w: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520"/>
          </w:cols>
          <w:pgMar w:left="240" w:top="465" w:right="139" w:bottom="1440" w:gutter="0" w:footer="0" w:header="0"/>
        </w:sectPr>
      </w:pPr>
    </w:p>
    <w:bookmarkStart w:id="37" w:name="page38"/>
    <w:bookmarkEnd w:id="37"/>
    <w:p>
      <w:pPr>
        <w:ind w:right="200"/>
        <w:spacing w:after="0" w:line="290" w:lineRule="auto"/>
        <w:rPr>
          <w:sz w:val="20"/>
          <w:szCs w:val="20"/>
          <w:color w:val="auto"/>
        </w:rPr>
      </w:pPr>
      <w:r>
        <w:rPr>
          <w:rFonts w:ascii="Arial" w:cs="Arial" w:eastAsia="Arial" w:hAnsi="Arial"/>
          <w:sz w:val="15"/>
          <w:szCs w:val="15"/>
          <w:b w:val="1"/>
          <w:bCs w:val="1"/>
          <w:i w:val="1"/>
          <w:iCs w:val="1"/>
          <w:color w:val="auto"/>
        </w:rPr>
        <w:t xml:space="preserve">Contractual Obligations: </w:t>
      </w:r>
      <w:r>
        <w:rPr>
          <w:rFonts w:ascii="Arial" w:cs="Arial" w:eastAsia="Arial" w:hAnsi="Arial"/>
          <w:sz w:val="15"/>
          <w:szCs w:val="15"/>
          <w:color w:val="auto"/>
        </w:rPr>
        <w:t>The following table summarizes the Company’s significant contractual obligations at August 28, 2008, and the effect such obligations are expected to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the Company’s liquidity and cash flows in future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b w:val="1"/>
                <w:bCs w:val="1"/>
                <w:color w:val="auto"/>
              </w:rPr>
              <w:t>Less than</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7"/>
              </w:rPr>
              <w:t>More than</w:t>
            </w:r>
          </w:p>
        </w:tc>
      </w:tr>
      <w:tr>
        <w:trPr>
          <w:trHeight w:val="205"/>
        </w:trPr>
        <w:tc>
          <w:tcPr>
            <w:tcW w:w="46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Total</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03"/>
              <w:spacing w:after="0"/>
              <w:rPr>
                <w:sz w:val="20"/>
                <w:szCs w:val="20"/>
                <w:color w:val="auto"/>
              </w:rPr>
            </w:pPr>
            <w:r>
              <w:rPr>
                <w:rFonts w:ascii="Arial" w:cs="Arial" w:eastAsia="Arial" w:hAnsi="Arial"/>
                <w:sz w:val="15"/>
                <w:szCs w:val="15"/>
                <w:b w:val="1"/>
                <w:bCs w:val="1"/>
                <w:color w:val="auto"/>
              </w:rPr>
              <w:t>1 year</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5"/>
                <w:szCs w:val="15"/>
                <w:b w:val="1"/>
                <w:bCs w:val="1"/>
                <w:color w:val="auto"/>
                <w:w w:val="89"/>
              </w:rPr>
              <w:t>1-3 years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3-5 years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2"/>
              </w:rPr>
              <w:t>5 years</w:t>
            </w:r>
          </w:p>
        </w:tc>
      </w:tr>
      <w:tr>
        <w:trPr>
          <w:trHeight w:val="196"/>
        </w:trPr>
        <w:tc>
          <w:tcPr>
            <w:tcW w:w="46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3"/>
          </w:tcPr>
          <w:p>
            <w:pPr>
              <w:ind w:left="180"/>
              <w:spacing w:after="0"/>
              <w:rPr>
                <w:sz w:val="20"/>
                <w:szCs w:val="20"/>
                <w:color w:val="auto"/>
              </w:rPr>
            </w:pPr>
            <w:r>
              <w:rPr>
                <w:rFonts w:ascii="Arial" w:cs="Arial" w:eastAsia="Arial" w:hAnsi="Arial"/>
                <w:sz w:val="15"/>
                <w:szCs w:val="15"/>
                <w:color w:val="auto"/>
              </w:rPr>
              <w:t>(in millions)</w:t>
            </w: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4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468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Notes payable </w:t>
            </w:r>
            <w:r>
              <w:rPr>
                <w:rFonts w:ascii="Arial" w:cs="Arial" w:eastAsia="Arial" w:hAnsi="Arial"/>
                <w:sz w:val="21"/>
                <w:szCs w:val="21"/>
                <w:i w:val="1"/>
                <w:iCs w:val="1"/>
                <w:color w:val="auto"/>
                <w:vertAlign w:val="superscript"/>
              </w:rPr>
              <w:t>(1)</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158</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614</w:t>
            </w:r>
          </w:p>
        </w:tc>
        <w:tc>
          <w:tcPr>
            <w:tcW w:w="84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1,325</w:t>
            </w:r>
          </w:p>
        </w:tc>
      </w:tr>
      <w:tr>
        <w:trPr>
          <w:trHeight w:val="197"/>
        </w:trPr>
        <w:tc>
          <w:tcPr>
            <w:tcW w:w="4680" w:type="dxa"/>
            <w:vAlign w:val="bottom"/>
          </w:tcPr>
          <w:p>
            <w:pPr>
              <w:spacing w:after="0" w:line="197" w:lineRule="exact"/>
              <w:rPr>
                <w:sz w:val="20"/>
                <w:szCs w:val="20"/>
                <w:color w:val="auto"/>
              </w:rPr>
            </w:pPr>
            <w:r>
              <w:rPr>
                <w:rFonts w:ascii="Arial" w:cs="Arial" w:eastAsia="Arial" w:hAnsi="Arial"/>
                <w:sz w:val="15"/>
                <w:szCs w:val="15"/>
                <w:color w:val="auto"/>
              </w:rPr>
              <w:t xml:space="preserve">Capital lease obligations </w:t>
            </w:r>
            <w:r>
              <w:rPr>
                <w:rFonts w:ascii="Arial" w:cs="Arial" w:eastAsia="Arial" w:hAnsi="Arial"/>
                <w:sz w:val="21"/>
                <w:szCs w:val="21"/>
                <w:i w:val="1"/>
                <w:iCs w:val="1"/>
                <w:color w:val="auto"/>
                <w:vertAlign w:val="superscript"/>
              </w:rPr>
              <w:t>(1)</w:t>
            </w:r>
          </w:p>
        </w:tc>
        <w:tc>
          <w:tcPr>
            <w:tcW w:w="7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767</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215</w:t>
            </w:r>
          </w:p>
        </w:tc>
        <w:tc>
          <w:tcPr>
            <w:tcW w:w="7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409</w:t>
            </w:r>
          </w:p>
        </w:tc>
        <w:tc>
          <w:tcPr>
            <w:tcW w:w="84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81</w:t>
            </w:r>
          </w:p>
        </w:tc>
      </w:tr>
      <w:tr>
        <w:trPr>
          <w:trHeight w:val="185"/>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leases</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w:t>
            </w:r>
          </w:p>
        </w:tc>
        <w:tc>
          <w:tcPr>
            <w:tcW w:w="7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w:t>
            </w:r>
          </w:p>
        </w:tc>
        <w:tc>
          <w:tcPr>
            <w:tcW w:w="8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w:t>
            </w:r>
          </w:p>
        </w:tc>
      </w:tr>
      <w:tr>
        <w:trPr>
          <w:trHeight w:val="185"/>
        </w:trPr>
        <w:tc>
          <w:tcPr>
            <w:tcW w:w="4680" w:type="dxa"/>
            <w:vAlign w:val="bottom"/>
          </w:tcPr>
          <w:p>
            <w:pPr>
              <w:spacing w:after="0"/>
              <w:rPr>
                <w:sz w:val="20"/>
                <w:szCs w:val="20"/>
                <w:color w:val="auto"/>
              </w:rPr>
            </w:pPr>
            <w:r>
              <w:rPr>
                <w:rFonts w:ascii="Arial" w:cs="Arial" w:eastAsia="Arial" w:hAnsi="Arial"/>
                <w:sz w:val="15"/>
                <w:szCs w:val="15"/>
                <w:color w:val="auto"/>
              </w:rPr>
              <w:t>Purchase obligations</w:t>
            </w:r>
          </w:p>
        </w:tc>
        <w:tc>
          <w:tcPr>
            <w:tcW w:w="7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695</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511</w:t>
            </w:r>
          </w:p>
        </w:tc>
        <w:tc>
          <w:tcPr>
            <w:tcW w:w="7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147</w:t>
            </w:r>
          </w:p>
        </w:tc>
        <w:tc>
          <w:tcPr>
            <w:tcW w:w="84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27</w:t>
            </w:r>
          </w:p>
        </w:tc>
      </w:tr>
      <w:tr>
        <w:trPr>
          <w:trHeight w:val="189"/>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7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4680" w:type="dxa"/>
            <w:vAlign w:val="bottom"/>
          </w:tcPr>
          <w:p>
            <w:pPr>
              <w:spacing w:after="0"/>
              <w:rPr>
                <w:sz w:val="20"/>
                <w:szCs w:val="20"/>
                <w:color w:val="auto"/>
              </w:rPr>
            </w:pPr>
            <w:r>
              <w:rPr>
                <w:rFonts w:ascii="Arial" w:cs="Arial" w:eastAsia="Arial" w:hAnsi="Arial"/>
                <w:sz w:val="15"/>
                <w:szCs w:val="15"/>
                <w:color w:val="auto"/>
              </w:rPr>
              <w:t>Total</w:t>
            </w: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4,193</w:t>
            </w:r>
          </w:p>
        </w:tc>
        <w:tc>
          <w:tcPr>
            <w:tcW w:w="220" w:type="dxa"/>
            <w:vAlign w:val="bottom"/>
          </w:tcPr>
          <w:p>
            <w:pPr>
              <w:spacing w:after="0"/>
              <w:rPr>
                <w:sz w:val="16"/>
                <w:szCs w:val="16"/>
                <w:color w:val="auto"/>
              </w:rPr>
            </w:pP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902</w:t>
            </w:r>
          </w:p>
        </w:tc>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w w:val="95"/>
              </w:rPr>
              <w:t>1,403</w:t>
            </w: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330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1,558</w:t>
            </w:r>
          </w:p>
        </w:tc>
      </w:tr>
      <w:tr>
        <w:trPr>
          <w:trHeight w:val="20"/>
        </w:trPr>
        <w:tc>
          <w:tcPr>
            <w:tcW w:w="4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266305" cy="117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5"/>
          <w:szCs w:val="15"/>
          <w:i w:val="1"/>
          <w:iCs w:val="1"/>
          <w:color w:val="auto"/>
        </w:rPr>
        <w:t xml:space="preserve"> Includes interest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obligations disclosed above do not include contractual obligations recorded on the Company’s balance sheet as current liabilities except for the current portion of long-term</w:t>
      </w:r>
    </w:p>
    <w:p>
      <w:pPr>
        <w:spacing w:after="0" w:line="35"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debt. The expected timing of payment amounts of the obligations discussed above is estimated based on current information. Timing and actual amounts paid may differ depending on the timing of receipt of goods or services, market prices or changes to agreed-upon amounts for some obligations.</w:t>
      </w:r>
    </w:p>
    <w:p>
      <w:pPr>
        <w:spacing w:after="0" w:line="173"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auto"/>
        </w:rPr>
        <w:t>Purchase obligations include all commitments to purchase goods or services of either a fixed or minimum quantity that meet any of the following criteria: (1) they are noncancelable, (2) the Company would incur a penalty if the agreement was cancelled, or (3) the Company must make specified minimum payments even if it does not take delivery of the contracted products or services (“take-or-pay”). If the obligation to purchase goods or services is noncancelable, the entire value of the contract was included in the above table. If the obligation is cancelable, but the Company would incur a penalty if cancelled, the dollar amount of the penalty was included as a purchase obligation. Contracted minimum amounts specified in take-or-pay contracts are also included in the above table as they represent the portion of each contract that is a firm commitment.</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8" w:lineRule="exact"/>
        <w:rPr>
          <w:sz w:val="20"/>
          <w:szCs w:val="20"/>
          <w:color w:val="auto"/>
        </w:rPr>
      </w:pPr>
    </w:p>
    <w:p>
      <w:pPr>
        <w:jc w:val="both"/>
        <w:ind w:right="100"/>
        <w:spacing w:after="0" w:line="266" w:lineRule="auto"/>
        <w:rPr>
          <w:sz w:val="20"/>
          <w:szCs w:val="20"/>
          <w:color w:val="auto"/>
        </w:rPr>
      </w:pPr>
      <w:r>
        <w:rPr>
          <w:rFonts w:ascii="Arial" w:cs="Arial" w:eastAsia="Arial" w:hAnsi="Arial"/>
          <w:sz w:val="15"/>
          <w:szCs w:val="15"/>
          <w:color w:val="auto"/>
        </w:rPr>
        <w:t>In May 2007, in connection with the offering of the Senior Notes, the Company paid approximately $151 million for three Capped Call transactions (the “Capped Calls”). The Capped Calls cover an aggregate of approximately 91.3 million shares of common stock. The Capped Calls are in three equal tranches with cap prices of $17.25, $20.13 and $23.00 per share, respectively, each with an initial strike price of approximately $14.23 per share, subject to certain adjustments. The Capped Calls expire on various dates between November 2011 and December 2012. (See “Item 8. Financial Statements and Supplementary Data – Notes to Consolidated Financial Statements – Supplemental Balance Sheet Information – Capped Call Transactions.”)</w:t>
      </w:r>
    </w:p>
    <w:p>
      <w:pPr>
        <w:spacing w:after="0" w:line="180" w:lineRule="exact"/>
        <w:rPr>
          <w:sz w:val="20"/>
          <w:szCs w:val="20"/>
          <w:color w:val="auto"/>
        </w:rPr>
      </w:pPr>
    </w:p>
    <w:p>
      <w:pPr>
        <w:ind w:right="460"/>
        <w:spacing w:after="0" w:line="328" w:lineRule="auto"/>
        <w:rPr>
          <w:sz w:val="20"/>
          <w:szCs w:val="20"/>
          <w:color w:val="auto"/>
        </w:rPr>
      </w:pPr>
      <w:r>
        <w:rPr>
          <w:rFonts w:ascii="Arial" w:cs="Arial" w:eastAsia="Arial" w:hAnsi="Arial"/>
          <w:sz w:val="14"/>
          <w:szCs w:val="14"/>
          <w:color w:val="auto"/>
        </w:rPr>
        <w:t>In 2001, the Company received $480 million from the issuance of warrants to purchase 29.1 million shares of the Company’s common stock. The warrants entitled the holders to exercise their warrants and purchase shares of common stock for $56.00 per share at any time through May 15, 2008. All of the warrants expired unexercised on May 15, 2008.</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18" w:lineRule="exact"/>
        <w:rPr>
          <w:sz w:val="20"/>
          <w:szCs w:val="20"/>
          <w:color w:val="auto"/>
        </w:rPr>
      </w:pPr>
    </w:p>
    <w:p>
      <w:pPr>
        <w:ind w:right="260"/>
        <w:spacing w:after="0" w:line="280" w:lineRule="auto"/>
        <w:rPr>
          <w:sz w:val="20"/>
          <w:szCs w:val="20"/>
          <w:color w:val="auto"/>
        </w:rPr>
      </w:pPr>
      <w:r>
        <w:rPr>
          <w:rFonts w:ascii="Arial" w:cs="Arial" w:eastAsia="Arial" w:hAnsi="Arial"/>
          <w:sz w:val="14"/>
          <w:szCs w:val="14"/>
          <w:color w:val="auto"/>
        </w:rPr>
        <w:t>In May 2008, the Financial Accounting Standards Board (“FASB”) issued FASB Staff Position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as interest cost is recognized in subsequent periods. The Company is required to adopt FSP No. APB 14-1 at the beginning of 2010. On adoption, the Company will retrospectively account for its $1.3 billion of</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1.875% convertible senior notes issued in May of 2007 under the provisions of FSP No. APB 14-1. Based on a preliminary analysis, the Company estimates that debt recognized on issuance of the $1.3 billion convertible senior notes would be approximately $400 million lower under FSP No. APB 14-1. The difference of approximately $400 million would be accreted to interest expense over the approximate seven-year term of the notes. A significant portion of the interest expense would be deferred as capitalized interest costs in accordance with the Company’s regular accounting policies and will impact results of operations as the assets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that include the capitalized interest are depreciated. The Company is continuing to evaluate the full impact that the adoption of FSP No. APB 14-1 will have on its financial statements.</w:t>
      </w:r>
    </w:p>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December 2007, the FASB issued Statement of Financial Accounting Standards (“SFAS”) No. 141 (revised 2007), “Business Combinations</w:t>
      </w:r>
      <w:r>
        <w:rPr>
          <w:rFonts w:ascii="Arial" w:cs="Arial" w:eastAsia="Arial" w:hAnsi="Arial"/>
          <w:sz w:val="15"/>
          <w:szCs w:val="15"/>
          <w:i w:val="1"/>
          <w:iCs w:val="1"/>
          <w:color w:val="auto"/>
        </w:rPr>
        <w:t>”</w:t>
      </w:r>
      <w:r>
        <w:rPr>
          <w:rFonts w:ascii="Arial" w:cs="Arial" w:eastAsia="Arial" w:hAnsi="Arial"/>
          <w:sz w:val="15"/>
          <w:szCs w:val="15"/>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the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on or after the beginning of 2010.</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that the adoption of SFAS No. 160 will have on its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 Including an amendment of FASB Statement No.</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115.” Under SFAS No. 159, the Company may elect to measure many financial instruments and certain other items at fair value on an instrument by instrument basis, subject to certain restrictions. The Company is required to adopt SFAS No. 159 effective at the beginning of 2009. The Company did not elect to measure any existing items at fair value on the adoption of SFAS No. 159.</w:t>
      </w:r>
    </w:p>
    <w:p>
      <w:pPr>
        <w:spacing w:after="0" w:line="179"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In February 2008, the FASB issued FSP No. FAS 157-1, “Application of FASB Statement No. 157 to FASB Statement No. 13 and Other Accounting Pronouncements That Address Fair Value Measurements for Purposes of Lease Classification or Measurement under Statement 13,” which amends SFAS No. 157 to exclude accounting pronouncements that address fair value measurements for purposes of lease classification or measurement under SFAS No. 13. In February 2008, the FASB issued FSP No. FAS 157-2, “Effective Date of FASB Statement No. 157,” which delays the effective date of SFAS No. 157 until the beginning of 2010 for all non-financial assets and non-financial liabilities, except for items that are recognized or disclosed at fair value in the financial statements on a recurring basis (at least annually). In October 2008, the FASB issued FSP No. FAS 157-3, “Determining the Fair Value of a Financial Asset when the Market for That Asset Is Not Active,” which clarifies the application of SFAS No. 157 for financial assets in a market that is not active. The Company is required to adopt SFAS No. 157 for financial assets and liabilities effective at the beginning of 2009. The Company does not expect that the adoption in 2009 of SFAS No. 157 for financial assets and financial liabilities will have a significant impact on its financial statements. The Company is evaluating the impact that the adoption in 2010 of SFAS No. 157 for non-financial assets and non-financial liabilities will have on its financial statements.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June 2006, the FASB issued Interpretation No. 48 (“FIN 48”), “Accounting for Uncertainty in Income Taxes – an interpretation of FASB Statement No. 109.” FIN 48 contains a two-step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on August 31, 2007. The adoption of FIN 48 did not have a significant impact on the Company’s results of operations or financial position. The Company did not change its policy of recognizing accrued interest and penalties related to unrecognized tax benefits within the income tax provision with the adoption of FIN 48. (See “Item 8. Financial Statements – Notes to Consolidated Financial Statements – Income Taxes.”)</w:t>
      </w:r>
    </w:p>
    <w:p>
      <w:pPr>
        <w:spacing w:after="0" w:line="184" w:lineRule="exact"/>
        <w:rPr>
          <w:sz w:val="20"/>
          <w:szCs w:val="20"/>
          <w:color w:val="auto"/>
        </w:rPr>
      </w:pPr>
    </w:p>
    <w:p>
      <w:pPr>
        <w:jc w:val="both"/>
        <w:ind w:right="180"/>
        <w:spacing w:after="0" w:line="274" w:lineRule="auto"/>
        <w:rPr>
          <w:sz w:val="20"/>
          <w:szCs w:val="20"/>
          <w:color w:val="auto"/>
        </w:rPr>
      </w:pPr>
      <w:r>
        <w:rPr>
          <w:rFonts w:ascii="Arial" w:cs="Arial" w:eastAsia="Arial" w:hAnsi="Arial"/>
          <w:sz w:val="15"/>
          <w:szCs w:val="15"/>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The Company adopted SFAS No. 155 as of the beginning of 2008. The adoption of SFAS No. 155 did not have a significant impact on the Company’s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requires management’s most difficult, subjective or complex judgments.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Acquisitions and consolidations: </w:t>
      </w:r>
      <w:r>
        <w:rPr>
          <w:rFonts w:ascii="Arial" w:cs="Arial" w:eastAsia="Arial" w:hAnsi="Arial"/>
          <w:sz w:val="15"/>
          <w:szCs w:val="15"/>
          <w:color w:val="auto"/>
        </w:rPr>
        <w:t>Determination and the allocation of the purchase price of acquired operations significantly influences the period in which costs are</w:t>
      </w:r>
    </w:p>
    <w:p>
      <w:pPr>
        <w:spacing w:after="0" w:line="23"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recognized. Accounting for acquisitions and consolidations requires the Company to estimate the fair value of the individual assets and liabilities acquired as well as various forms of consideration given, which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discount rates and comparable market values.</w:t>
      </w:r>
    </w:p>
    <w:p>
      <w:pPr>
        <w:spacing w:after="0" w:line="182"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b w:val="1"/>
          <w:bCs w:val="1"/>
          <w:i w:val="1"/>
          <w:iCs w:val="1"/>
          <w:color w:val="auto"/>
        </w:rPr>
        <w:t xml:space="preserve">Contingencies: </w:t>
      </w:r>
      <w:r>
        <w:rPr>
          <w:rFonts w:ascii="Arial" w:cs="Arial" w:eastAsia="Arial" w:hAnsi="Arial"/>
          <w:sz w:val="15"/>
          <w:szCs w:val="15"/>
          <w:color w:val="auto"/>
        </w:rPr>
        <w:t>The Company is subject to the possibility of losses from various contingencies. Considerable judgment is necessary to estimate the probability and amount of any loss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i w:val="1"/>
          <w:iCs w:val="1"/>
          <w:color w:val="auto"/>
        </w:rPr>
        <w:t xml:space="preserve">Goodwill and intangible assets: </w:t>
      </w:r>
      <w:r>
        <w:rPr>
          <w:rFonts w:ascii="Arial" w:cs="Arial" w:eastAsia="Arial" w:hAnsi="Arial"/>
          <w:sz w:val="14"/>
          <w:szCs w:val="14"/>
          <w:color w:val="auto"/>
        </w:rPr>
        <w:t>In the second quarter of 2008, the Company recorded a goodwill impairment charge of $463 million. The Company tests goodwill for impairment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annually and whenever events or circumstances make it more likely than not that an impairment may have occurred, such as a significant adverse change in the business climate (including declines in selling prices for products) or a decision to sell or dispose of a reporting unit. Goodwill is tested for impairment using a two-step process. In the first step, the fair value of each reporting unit is compared to the carrying value of the net assets assigned to the unit. If the fair value of the reporting unit exceeds its carrying value, goodwill is considered not impaired. If the carrying value of the reporting unit exceeds its fair value, then the second step of the impairment test must be performed in order to determine the implied fair value of the reporting unit’s goodwill. Determining the implied fair value of goodwill requires valuation of all of the Company’s tangible and intangible asset and liabilities. If the carrying value of a reporting unit’s goodwill exceeds its implied fair value, then the Company would record an impairment loss equal to the difference.</w:t>
      </w:r>
    </w:p>
    <w:p>
      <w:pPr>
        <w:spacing w:after="0" w:line="169"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Determining when to test for impairment, the Company’s reporting units, the fair value of a reporting unit and the fair value of assets and liabilities within a reporting unit, requires judgment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comparables. The Company bases fair value estimates on assumptions it believes to be reasonable but that are unpredictable and inherently uncertain. Actual future results may differ from those estimates. In addition, judgments and assumptions are required to allocate assets and liabilities to reporting units.</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The Company is required to estimate its provision for income taxes and amounts ultimately payable or recoverable in numerous tax jurisdictions around the</w:t>
      </w:r>
    </w:p>
    <w:p>
      <w:pPr>
        <w:spacing w:after="0" w:line="23" w:lineRule="exact"/>
        <w:rPr>
          <w:sz w:val="20"/>
          <w:szCs w:val="20"/>
          <w:color w:val="auto"/>
        </w:rPr>
      </w:pPr>
    </w:p>
    <w:p>
      <w:pPr>
        <w:ind w:right="160"/>
        <w:spacing w:after="0" w:line="276" w:lineRule="auto"/>
        <w:rPr>
          <w:sz w:val="20"/>
          <w:szCs w:val="20"/>
          <w:color w:val="auto"/>
        </w:rPr>
      </w:pPr>
      <w:r>
        <w:rPr>
          <w:rFonts w:ascii="Arial" w:cs="Arial" w:eastAsia="Arial" w:hAnsi="Arial"/>
          <w:sz w:val="14"/>
          <w:szCs w:val="14"/>
          <w:color w:val="auto"/>
        </w:rPr>
        <w:t>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assets. Realization of deferred tax assets is dependent on the Company’s ability to generate future taxable income. The Company adopted FIN 48 effective at the beginning of 2008.</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0" w:name="page41"/>
    <w:bookmarkEnd w:id="40"/>
    <w:p>
      <w:pPr>
        <w:ind w:right="20"/>
        <w:spacing w:after="0" w:line="282" w:lineRule="auto"/>
        <w:rPr>
          <w:sz w:val="20"/>
          <w:szCs w:val="20"/>
          <w:color w:val="auto"/>
        </w:rPr>
      </w:pPr>
      <w:r>
        <w:rPr>
          <w:rFonts w:ascii="Arial" w:cs="Arial" w:eastAsia="Arial" w:hAnsi="Arial"/>
          <w:sz w:val="14"/>
          <w:szCs w:val="14"/>
          <w:b w:val="1"/>
          <w:bCs w:val="1"/>
          <w:i w:val="1"/>
          <w:iCs w:val="1"/>
          <w:color w:val="auto"/>
        </w:rPr>
        <w:t xml:space="preserve">Inventories: </w:t>
      </w:r>
      <w:r>
        <w:rPr>
          <w:rFonts w:ascii="Arial" w:cs="Arial" w:eastAsia="Arial" w:hAnsi="Arial"/>
          <w:sz w:val="14"/>
          <w:szCs w:val="14"/>
          <w:color w:val="auto"/>
        </w:rPr>
        <w:t>Inventories are stated at the lower of average cost or market value and in 2008 the Company recorded aggregate charges of $282 million to write down the carrying value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inventories of memory products to their estimated market values. Cost includes labor, material and overhead costs, including product 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the Company’s semiconductor memory inventory by approximately $70 million at August 28, 2008.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72"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5"/>
          <w:szCs w:val="15"/>
          <w:b w:val="1"/>
          <w:bCs w:val="1"/>
          <w:i w:val="1"/>
          <w:iCs w:val="1"/>
          <w:color w:val="auto"/>
        </w:rPr>
        <w:t xml:space="preserve">Product and process technology: </w:t>
      </w:r>
      <w:r>
        <w:rPr>
          <w:rFonts w:ascii="Arial" w:cs="Arial" w:eastAsia="Arial" w:hAnsi="Arial"/>
          <w:sz w:val="15"/>
          <w:szCs w:val="15"/>
          <w:color w:val="auto"/>
        </w:rPr>
        <w:t>Costs incurred to acquire product and process technology or to patent technology developed by the Company are capitalized and amortized on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b w:val="1"/>
          <w:bCs w:val="1"/>
          <w:i w:val="1"/>
          <w:iCs w:val="1"/>
          <w:color w:val="auto"/>
        </w:rPr>
        <w:t xml:space="preserve">Property, plant and equipment: </w:t>
      </w:r>
      <w:r>
        <w:rPr>
          <w:rFonts w:ascii="Arial" w:cs="Arial" w:eastAsia="Arial" w:hAnsi="Arial"/>
          <w:sz w:val="15"/>
          <w:szCs w:val="15"/>
          <w:color w:val="auto"/>
        </w:rPr>
        <w:t>The Company reviews the carrying value of property, plant and equipment for impairment when events and circumstances indicate that the carrying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83" w:lineRule="exact"/>
        <w:rPr>
          <w:sz w:val="20"/>
          <w:szCs w:val="20"/>
          <w:color w:val="auto"/>
        </w:rPr>
      </w:pPr>
    </w:p>
    <w:p>
      <w:pPr>
        <w:jc w:val="both"/>
        <w:ind w:right="80"/>
        <w:spacing w:after="0" w:line="274"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Costs related to the conceptual formulation and design of products and processes are expensed as research and development when incurred. Determining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when product development is complete requires judgment by the Company. The Company deems development of a product complete once the product has been thoroughly reviewed and tested for performance and reliability.</w:t>
      </w:r>
    </w:p>
    <w:p>
      <w:pPr>
        <w:spacing w:after="0" w:line="174" w:lineRule="exact"/>
        <w:rPr>
          <w:sz w:val="20"/>
          <w:szCs w:val="20"/>
          <w:color w:val="auto"/>
        </w:rPr>
      </w:pPr>
    </w:p>
    <w:p>
      <w:pPr>
        <w:ind w:right="320"/>
        <w:spacing w:after="0" w:line="322" w:lineRule="auto"/>
        <w:rPr>
          <w:sz w:val="20"/>
          <w:szCs w:val="20"/>
          <w:color w:val="auto"/>
        </w:rPr>
      </w:pPr>
      <w:r>
        <w:rPr>
          <w:rFonts w:ascii="Arial" w:cs="Arial" w:eastAsia="Arial" w:hAnsi="Arial"/>
          <w:sz w:val="13"/>
          <w:szCs w:val="13"/>
          <w:b w:val="1"/>
          <w:bCs w:val="1"/>
          <w:i w:val="1"/>
          <w:iCs w:val="1"/>
          <w:color w:val="auto"/>
        </w:rPr>
        <w:t xml:space="preserve">Stock-based compensation: </w:t>
      </w:r>
      <w:r>
        <w:rPr>
          <w:rFonts w:ascii="Arial" w:cs="Arial" w:eastAsia="Arial" w:hAnsi="Arial"/>
          <w:sz w:val="13"/>
          <w:szCs w:val="13"/>
          <w:color w:val="auto"/>
        </w:rPr>
        <w:t>Under the provisions of SFAS No. 123(R), stock-based compensation cost is estimated at the grant date based on the fair-value of the award and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recognized as expense ratably over the requisite service period of the award. For stock based compensation awards with graded vesting that were granted after 2005, the Company recognizes compensation expense using the straight-line amortization method. For performance-based stock awards, the expense recognized is dependent on the probability of the performance measure being achieved. The Company utilizes forecasts of future performance to assess these probabilities and this assessment requires considerable judgment.</w:t>
      </w:r>
    </w:p>
    <w:p>
      <w:pPr>
        <w:spacing w:after="0" w:line="148"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 The Company uses the Black-Scholes option valuation model to value employee stock awards. The Company estimates stock price volatility based on an average of its historical volatility and the implied volatility derived from traded options on the Company’s stock.</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465" w:right="25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color w:val="auto"/>
        </w:rPr>
        <w:t xml:space="preserve">Item 7A. </w:t>
      </w:r>
      <w:r>
        <w:rPr>
          <w:rFonts w:ascii="Arial" w:cs="Arial" w:eastAsia="Arial" w:hAnsi="Arial"/>
          <w:sz w:val="15"/>
          <w:szCs w:val="15"/>
          <w:b w:val="1"/>
          <w:bCs w:val="1"/>
          <w:i w:val="1"/>
          <w:iCs w:val="1"/>
          <w:color w:val="auto"/>
        </w:rPr>
        <w:t>Quantitative and Qualitative Disclosures about Market Risk</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Risk</w:t>
      </w:r>
    </w:p>
    <w:p>
      <w:pPr>
        <w:spacing w:after="0" w:line="228"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As of August 28, 2008, $2,063 million of the Company’s $2,726 million of debt was at fixed interest rates. As a result, the fair value of the debt fluctuates based on changes in market interest rates. The estimated fair market value of the Company’s debt was $2,167 million and $2,411 million as of August 28, 2008 and August 30, 2007, respectively. The Company estimates that as of August 28, 2008, a 1% decrease in market interest rates would change the fair value of the fixed-rate debt by approximately $46 million. An increase in interest rates of 1% would increase annual interest expense on the Company’s variable-rate debt as of August 28, 2008 by approximately $7 million.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Exchange Rate Risk</w:t>
      </w:r>
    </w:p>
    <w:p>
      <w:pPr>
        <w:spacing w:after="0" w:line="228"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The information in this section should be read in conjunction with the information related to changes in the exchange rates of foreign currency in “Item 1A. Risk Factors.” Changes in foreign currency exchange rates could materially adversely affect the Company’s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functional currency for substantially all of the Company’s operations is the U.S. dollar. The Company held aggregate cash and other assets in foreign currencies valued at U.S.</w:t>
      </w:r>
    </w:p>
    <w:p>
      <w:pPr>
        <w:spacing w:after="0" w:line="35"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color w:val="auto"/>
        </w:rPr>
        <w:t>$425 million as of August 28, 2008 and U.S. $448 million as of August 30, 2007. The Company also had aggregate foreign currency liabilities valued at U.S. $580 million as of August 28, 2008 and U.S. $979 million as of August 30, 2007. Significant components of the Company’s assets and liabilities denominated in foreign currencies were as follows (in U.S. dollar equivalents):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2007</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80"/>
              <w:spacing w:after="0" w:line="169" w:lineRule="exact"/>
              <w:rPr>
                <w:sz w:val="20"/>
                <w:szCs w:val="20"/>
                <w:color w:val="auto"/>
              </w:rPr>
            </w:pPr>
            <w:r>
              <w:rPr>
                <w:rFonts w:ascii="Arial" w:cs="Arial" w:eastAsia="Arial" w:hAnsi="Arial"/>
                <w:sz w:val="15"/>
                <w:szCs w:val="15"/>
                <w:b w:val="1"/>
                <w:bCs w:val="1"/>
                <w:color w:val="auto"/>
                <w:w w:val="98"/>
              </w:rPr>
              <w:t>Singapore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80"/>
              <w:spacing w:after="0" w:line="169" w:lineRule="exact"/>
              <w:rPr>
                <w:sz w:val="20"/>
                <w:szCs w:val="20"/>
                <w:color w:val="auto"/>
              </w:rPr>
            </w:pPr>
            <w:r>
              <w:rPr>
                <w:rFonts w:ascii="Arial" w:cs="Arial" w:eastAsia="Arial" w:hAnsi="Arial"/>
                <w:sz w:val="15"/>
                <w:szCs w:val="15"/>
                <w:b w:val="1"/>
                <w:bCs w:val="1"/>
                <w:color w:val="auto"/>
                <w:w w:val="98"/>
              </w:rPr>
              <w:t>Singapore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5"/>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Dollars</w:t>
            </w:r>
          </w:p>
        </w:tc>
        <w:tc>
          <w:tcPr>
            <w:tcW w:w="240" w:type="dxa"/>
            <w:vAlign w:val="bottom"/>
          </w:tcPr>
          <w:p>
            <w:pPr>
              <w:spacing w:after="0"/>
              <w:rPr>
                <w:sz w:val="17"/>
                <w:szCs w:val="17"/>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4"/>
              </w:rPr>
              <w:t>Yen</w:t>
            </w:r>
          </w:p>
        </w:tc>
        <w:tc>
          <w:tcPr>
            <w:tcW w:w="240" w:type="dxa"/>
            <w:vAlign w:val="bottom"/>
          </w:tcPr>
          <w:p>
            <w:pPr>
              <w:spacing w:after="0"/>
              <w:rPr>
                <w:sz w:val="17"/>
                <w:szCs w:val="17"/>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Euro</w:t>
            </w:r>
          </w:p>
        </w:tc>
        <w:tc>
          <w:tcPr>
            <w:tcW w:w="160" w:type="dxa"/>
            <w:vAlign w:val="bottom"/>
          </w:tcPr>
          <w:p>
            <w:pPr>
              <w:spacing w:after="0"/>
              <w:rPr>
                <w:sz w:val="17"/>
                <w:szCs w:val="17"/>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Dollars</w:t>
            </w:r>
          </w:p>
        </w:tc>
        <w:tc>
          <w:tcPr>
            <w:tcW w:w="24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94"/>
              </w:rPr>
              <w:t>Yen</w:t>
            </w:r>
          </w:p>
        </w:tc>
        <w:tc>
          <w:tcPr>
            <w:tcW w:w="24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Euro</w:t>
            </w:r>
          </w:p>
        </w:tc>
      </w:tr>
      <w:tr>
        <w:trPr>
          <w:trHeight w:val="185"/>
        </w:trPr>
        <w:tc>
          <w:tcPr>
            <w:tcW w:w="3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w:t>
            </w:r>
          </w:p>
        </w:tc>
      </w:tr>
      <w:tr>
        <w:trPr>
          <w:trHeight w:val="185"/>
        </w:trPr>
        <w:tc>
          <w:tcPr>
            <w:tcW w:w="3320" w:type="dxa"/>
            <w:vAlign w:val="bottom"/>
          </w:tcPr>
          <w:p>
            <w:pPr>
              <w:spacing w:after="0"/>
              <w:rPr>
                <w:sz w:val="20"/>
                <w:szCs w:val="20"/>
                <w:color w:val="auto"/>
              </w:rPr>
            </w:pPr>
            <w:r>
              <w:rPr>
                <w:rFonts w:ascii="Arial" w:cs="Arial" w:eastAsia="Arial" w:hAnsi="Arial"/>
                <w:sz w:val="15"/>
                <w:szCs w:val="15"/>
                <w:color w:val="auto"/>
              </w:rPr>
              <w:t>Net deferred tax assets</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85</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76</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 and accrued expenses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(105)</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(127)</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(116)</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(137)</w:t>
            </w:r>
          </w:p>
        </w:tc>
      </w:tr>
      <w:tr>
        <w:trPr>
          <w:trHeight w:val="196"/>
        </w:trPr>
        <w:tc>
          <w:tcPr>
            <w:tcW w:w="3320" w:type="dxa"/>
            <w:vAlign w:val="bottom"/>
          </w:tcPr>
          <w:p>
            <w:pPr>
              <w:spacing w:after="0"/>
              <w:rPr>
                <w:sz w:val="20"/>
                <w:szCs w:val="20"/>
                <w:color w:val="auto"/>
              </w:rPr>
            </w:pPr>
            <w:r>
              <w:rPr>
                <w:rFonts w:ascii="Arial" w:cs="Arial" w:eastAsia="Arial" w:hAnsi="Arial"/>
                <w:sz w:val="15"/>
                <w:szCs w:val="15"/>
                <w:color w:val="auto"/>
              </w:rPr>
              <w:t>Debt</w:t>
            </w: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(49)</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(108)</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(258)</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(165)</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(5)</w:t>
            </w:r>
          </w:p>
        </w:tc>
      </w:tr>
    </w:tbl>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5"/>
          <w:szCs w:val="15"/>
          <w:color w:val="auto"/>
        </w:rPr>
        <w:t>The Company estimates that, based on its assets and liabilities denominated in currencies other than the U.S. dollar as of August 28, 2008, a 1% change in the exchange rate versus the U.S. dollar would result in foreign currency gains or losses of approximately U.S. $1 million for the euro and the yen.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2"/>
        </w:trPr>
        <w:tc>
          <w:tcPr>
            <w:tcW w:w="10560" w:type="dxa"/>
            <w:vAlign w:val="bottom"/>
          </w:tcPr>
          <w:p>
            <w:pPr>
              <w:spacing w:after="0"/>
              <w:rPr>
                <w:sz w:val="20"/>
                <w:szCs w:val="20"/>
                <w:color w:val="auto"/>
              </w:rPr>
            </w:pPr>
            <w:r>
              <w:rPr>
                <w:rFonts w:ascii="Arial" w:cs="Arial" w:eastAsia="Arial" w:hAnsi="Arial"/>
                <w:sz w:val="15"/>
                <w:szCs w:val="15"/>
                <w:b w:val="1"/>
                <w:bCs w:val="1"/>
                <w:color w:val="auto"/>
              </w:rPr>
              <w:t xml:space="preserve">Item 8. </w:t>
            </w:r>
            <w:r>
              <w:rPr>
                <w:rFonts w:ascii="Arial" w:cs="Arial" w:eastAsia="Arial" w:hAnsi="Arial"/>
                <w:sz w:val="15"/>
                <w:szCs w:val="15"/>
                <w:b w:val="1"/>
                <w:bCs w:val="1"/>
                <w:i w:val="1"/>
                <w:iCs w:val="1"/>
                <w:color w:val="auto"/>
              </w:rPr>
              <w:t>Financial Statements and Supplementary Data</w:t>
            </w:r>
          </w:p>
        </w:tc>
        <w:tc>
          <w:tcPr>
            <w:tcW w:w="880" w:type="dxa"/>
            <w:vAlign w:val="bottom"/>
          </w:tcPr>
          <w:p>
            <w:pPr>
              <w:spacing w:after="0"/>
              <w:rPr>
                <w:sz w:val="17"/>
                <w:szCs w:val="17"/>
                <w:color w:val="auto"/>
              </w:rPr>
            </w:pPr>
          </w:p>
        </w:tc>
      </w:tr>
      <w:tr>
        <w:trPr>
          <w:trHeight w:val="394"/>
        </w:trPr>
        <w:tc>
          <w:tcPr>
            <w:tcW w:w="10560" w:type="dxa"/>
            <w:vAlign w:val="bottom"/>
          </w:tcPr>
          <w:p>
            <w:pPr>
              <w:spacing w:after="0"/>
              <w:rPr>
                <w:sz w:val="20"/>
                <w:szCs w:val="20"/>
                <w:color w:val="auto"/>
              </w:rPr>
            </w:pPr>
            <w:r>
              <w:rPr>
                <w:rFonts w:ascii="Arial" w:cs="Arial" w:eastAsia="Arial" w:hAnsi="Arial"/>
                <w:sz w:val="15"/>
                <w:szCs w:val="15"/>
                <w:b w:val="1"/>
                <w:bCs w:val="1"/>
                <w:color w:val="auto"/>
              </w:rPr>
              <w:t>Index to Consolidated Financial Statements</w:t>
            </w:r>
          </w:p>
        </w:tc>
        <w:tc>
          <w:tcPr>
            <w:tcW w:w="880" w:type="dxa"/>
            <w:vAlign w:val="bottom"/>
          </w:tcPr>
          <w:p>
            <w:pPr>
              <w:spacing w:after="0"/>
              <w:rPr>
                <w:sz w:val="24"/>
                <w:szCs w:val="24"/>
                <w:color w:val="auto"/>
              </w:rPr>
            </w:pPr>
          </w:p>
        </w:tc>
      </w:tr>
      <w:tr>
        <w:trPr>
          <w:trHeight w:val="394"/>
        </w:trPr>
        <w:tc>
          <w:tcPr>
            <w:tcW w:w="105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83"/>
              </w:rPr>
              <w:t>Page</w:t>
            </w:r>
          </w:p>
        </w:tc>
      </w:tr>
      <w:tr>
        <w:trPr>
          <w:trHeight w:val="186"/>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10560" w:type="dxa"/>
            <w:vAlign w:val="bottom"/>
            <w:shd w:val="clear" w:color="auto" w:fill="CCEEFF"/>
          </w:tcPr>
          <w:p>
            <w:pPr>
              <w:spacing w:after="0"/>
              <w:rPr>
                <w:sz w:val="20"/>
                <w:szCs w:val="20"/>
                <w:color w:val="auto"/>
              </w:rPr>
            </w:pPr>
            <w:r>
              <w:rPr>
                <w:rFonts w:ascii="Arial" w:cs="Arial" w:eastAsia="Arial" w:hAnsi="Arial"/>
                <w:sz w:val="15"/>
                <w:szCs w:val="15"/>
                <w:color w:val="auto"/>
                <w:w w:val="95"/>
              </w:rPr>
              <w:t>Consolidated Financial Statements as of August 28, 2008 and August 30, 2007 and for the fiscal years ended August 28, 2008, August 30, 2007, and August 31, 2006:</w:t>
            </w:r>
          </w:p>
        </w:tc>
        <w:tc>
          <w:tcPr>
            <w:tcW w:w="880" w:type="dxa"/>
            <w:vAlign w:val="bottom"/>
            <w:shd w:val="clear" w:color="auto" w:fill="CCEEFF"/>
          </w:tcPr>
          <w:p>
            <w:pPr>
              <w:spacing w:after="0"/>
              <w:rPr>
                <w:sz w:val="16"/>
                <w:szCs w:val="16"/>
                <w:color w:val="auto"/>
              </w:rPr>
            </w:pPr>
          </w:p>
        </w:tc>
      </w:tr>
      <w:tr>
        <w:trPr>
          <w:trHeight w:val="185"/>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1056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Operations</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43</w:t>
            </w:r>
          </w:p>
        </w:tc>
      </w:tr>
      <w:tr>
        <w:trPr>
          <w:trHeight w:val="185"/>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10560" w:type="dxa"/>
            <w:vAlign w:val="bottom"/>
            <w:shd w:val="clear" w:color="auto" w:fill="CCEEFF"/>
          </w:tcPr>
          <w:p>
            <w:pPr>
              <w:spacing w:after="0"/>
              <w:rPr>
                <w:sz w:val="20"/>
                <w:szCs w:val="20"/>
                <w:color w:val="auto"/>
              </w:rPr>
            </w:pPr>
            <w:r>
              <w:rPr>
                <w:rFonts w:ascii="Arial" w:cs="Arial" w:eastAsia="Arial" w:hAnsi="Arial"/>
                <w:sz w:val="15"/>
                <w:szCs w:val="15"/>
                <w:color w:val="auto"/>
              </w:rPr>
              <w:t>Consolidated Balance Sheets</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44</w:t>
            </w:r>
          </w:p>
        </w:tc>
      </w:tr>
      <w:tr>
        <w:trPr>
          <w:trHeight w:val="185"/>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1056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Shareholders’ Equity</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45</w:t>
            </w:r>
          </w:p>
        </w:tc>
      </w:tr>
      <w:tr>
        <w:trPr>
          <w:trHeight w:val="185"/>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1056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Cash Flows</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46</w:t>
            </w:r>
          </w:p>
        </w:tc>
      </w:tr>
      <w:tr>
        <w:trPr>
          <w:trHeight w:val="185"/>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10560" w:type="dxa"/>
            <w:vAlign w:val="bottom"/>
            <w:shd w:val="clear" w:color="auto" w:fill="CCEEFF"/>
          </w:tcPr>
          <w:p>
            <w:pPr>
              <w:spacing w:after="0"/>
              <w:rPr>
                <w:sz w:val="20"/>
                <w:szCs w:val="20"/>
                <w:color w:val="auto"/>
              </w:rPr>
            </w:pPr>
            <w:r>
              <w:rPr>
                <w:rFonts w:ascii="Arial" w:cs="Arial" w:eastAsia="Arial" w:hAnsi="Arial"/>
                <w:sz w:val="15"/>
                <w:szCs w:val="15"/>
                <w:color w:val="auto"/>
              </w:rPr>
              <w:t>Notes to Consolidated Financial Statements</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47</w:t>
            </w:r>
          </w:p>
        </w:tc>
      </w:tr>
      <w:tr>
        <w:trPr>
          <w:trHeight w:val="185"/>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10560" w:type="dxa"/>
            <w:vAlign w:val="bottom"/>
            <w:shd w:val="clear" w:color="auto" w:fill="CCEEFF"/>
          </w:tcPr>
          <w:p>
            <w:pPr>
              <w:spacing w:after="0"/>
              <w:rPr>
                <w:sz w:val="20"/>
                <w:szCs w:val="20"/>
                <w:color w:val="auto"/>
              </w:rPr>
            </w:pPr>
            <w:r>
              <w:rPr>
                <w:rFonts w:ascii="Arial" w:cs="Arial" w:eastAsia="Arial" w:hAnsi="Arial"/>
                <w:sz w:val="15"/>
                <w:szCs w:val="15"/>
                <w:color w:val="auto"/>
              </w:rPr>
              <w:t>Report of Independent Registered Public Accounting Firm</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69</w:t>
            </w:r>
          </w:p>
        </w:tc>
      </w:tr>
      <w:tr>
        <w:trPr>
          <w:trHeight w:val="185"/>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10560" w:type="dxa"/>
            <w:vAlign w:val="bottom"/>
            <w:shd w:val="clear" w:color="auto" w:fill="CCEEFF"/>
          </w:tcPr>
          <w:p>
            <w:pPr>
              <w:spacing w:after="0"/>
              <w:rPr>
                <w:sz w:val="20"/>
                <w:szCs w:val="20"/>
                <w:color w:val="auto"/>
              </w:rPr>
            </w:pPr>
            <w:r>
              <w:rPr>
                <w:rFonts w:ascii="Arial" w:cs="Arial" w:eastAsia="Arial" w:hAnsi="Arial"/>
                <w:sz w:val="15"/>
                <w:szCs w:val="15"/>
                <w:color w:val="auto"/>
              </w:rPr>
              <w:t>Financial Statement Schedule:</w:t>
            </w:r>
          </w:p>
        </w:tc>
        <w:tc>
          <w:tcPr>
            <w:tcW w:w="880" w:type="dxa"/>
            <w:vAlign w:val="bottom"/>
            <w:shd w:val="clear" w:color="auto" w:fill="CCEEFF"/>
          </w:tcPr>
          <w:p>
            <w:pPr>
              <w:spacing w:after="0"/>
              <w:rPr>
                <w:sz w:val="16"/>
                <w:szCs w:val="16"/>
                <w:color w:val="auto"/>
              </w:rPr>
            </w:pPr>
          </w:p>
        </w:tc>
      </w:tr>
      <w:tr>
        <w:trPr>
          <w:trHeight w:val="185"/>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10560" w:type="dxa"/>
            <w:vAlign w:val="bottom"/>
            <w:shd w:val="clear" w:color="auto" w:fill="CCEEFF"/>
          </w:tcPr>
          <w:p>
            <w:pPr>
              <w:spacing w:after="0"/>
              <w:rPr>
                <w:sz w:val="20"/>
                <w:szCs w:val="20"/>
                <w:color w:val="auto"/>
              </w:rPr>
            </w:pPr>
            <w:r>
              <w:rPr>
                <w:rFonts w:ascii="Arial" w:cs="Arial" w:eastAsia="Arial" w:hAnsi="Arial"/>
                <w:sz w:val="15"/>
                <w:szCs w:val="15"/>
                <w:color w:val="auto"/>
              </w:rPr>
              <w:t>Schedule II – Valuation and Qualifying Accounts</w:t>
            </w:r>
          </w:p>
        </w:tc>
        <w:tc>
          <w:tcPr>
            <w:tcW w:w="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76</w:t>
            </w:r>
          </w:p>
        </w:tc>
      </w:tr>
      <w:tr>
        <w:trPr>
          <w:trHeight w:val="730"/>
        </w:trPr>
        <w:tc>
          <w:tcPr>
            <w:tcW w:w="10560" w:type="dxa"/>
            <w:vAlign w:val="bottom"/>
          </w:tcPr>
          <w:p>
            <w:pPr>
              <w:ind w:left="5640"/>
              <w:spacing w:after="0"/>
              <w:rPr>
                <w:sz w:val="20"/>
                <w:szCs w:val="20"/>
                <w:color w:val="auto"/>
              </w:rPr>
            </w:pPr>
            <w:r>
              <w:rPr>
                <w:rFonts w:ascii="Arial" w:cs="Arial" w:eastAsia="Arial" w:hAnsi="Arial"/>
                <w:sz w:val="15"/>
                <w:szCs w:val="15"/>
                <w:color w:val="auto"/>
              </w:rPr>
              <w:t>42</w:t>
            </w:r>
          </w:p>
        </w:tc>
        <w:tc>
          <w:tcPr>
            <w:tcW w:w="880" w:type="dxa"/>
            <w:vAlign w:val="bottom"/>
          </w:tcPr>
          <w:p>
            <w:pPr>
              <w:spacing w:after="0"/>
              <w:rPr>
                <w:sz w:val="24"/>
                <w:szCs w:val="24"/>
                <w:color w:val="auto"/>
              </w:rPr>
            </w:pPr>
          </w:p>
        </w:tc>
      </w:tr>
      <w:tr>
        <w:trPr>
          <w:trHeight w:val="101"/>
        </w:trPr>
        <w:tc>
          <w:tcPr>
            <w:tcW w:w="105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2"/>
        </w:trPr>
        <w:tc>
          <w:tcPr>
            <w:tcW w:w="3640" w:type="dxa"/>
            <w:vAlign w:val="bottom"/>
          </w:tcPr>
          <w:p>
            <w:pPr>
              <w:spacing w:after="0"/>
              <w:rPr>
                <w:sz w:val="17"/>
                <w:szCs w:val="17"/>
                <w:color w:val="auto"/>
              </w:rPr>
            </w:pPr>
          </w:p>
        </w:tc>
        <w:tc>
          <w:tcPr>
            <w:tcW w:w="3960" w:type="dxa"/>
            <w:vAlign w:val="bottom"/>
            <w:gridSpan w:val="2"/>
          </w:tcPr>
          <w:p>
            <w:pPr>
              <w:jc w:val="center"/>
              <w:ind w:left="123"/>
              <w:spacing w:after="0"/>
              <w:rPr>
                <w:sz w:val="20"/>
                <w:szCs w:val="20"/>
                <w:color w:val="auto"/>
              </w:rPr>
            </w:pPr>
            <w:r>
              <w:rPr>
                <w:rFonts w:ascii="Arial" w:cs="Arial" w:eastAsia="Arial" w:hAnsi="Arial"/>
                <w:sz w:val="15"/>
                <w:szCs w:val="15"/>
                <w:b w:val="1"/>
                <w:bCs w:val="1"/>
                <w:color w:val="auto"/>
              </w:rPr>
              <w:t>MICRON TECHNOLOGY, INC.</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4"/>
        </w:trPr>
        <w:tc>
          <w:tcPr>
            <w:tcW w:w="3640" w:type="dxa"/>
            <w:vAlign w:val="bottom"/>
          </w:tcPr>
          <w:p>
            <w:pPr>
              <w:spacing w:after="0"/>
              <w:rPr>
                <w:sz w:val="24"/>
                <w:szCs w:val="24"/>
                <w:color w:val="auto"/>
              </w:rPr>
            </w:pPr>
          </w:p>
        </w:tc>
        <w:tc>
          <w:tcPr>
            <w:tcW w:w="3960" w:type="dxa"/>
            <w:vAlign w:val="bottom"/>
            <w:gridSpan w:val="2"/>
          </w:tcPr>
          <w:p>
            <w:pPr>
              <w:jc w:val="center"/>
              <w:ind w:left="103"/>
              <w:spacing w:after="0"/>
              <w:rPr>
                <w:sz w:val="20"/>
                <w:szCs w:val="20"/>
                <w:color w:val="auto"/>
              </w:rPr>
            </w:pPr>
            <w:r>
              <w:rPr>
                <w:rFonts w:ascii="Arial" w:cs="Arial" w:eastAsia="Arial" w:hAnsi="Arial"/>
                <w:sz w:val="15"/>
                <w:szCs w:val="15"/>
                <w:b w:val="1"/>
                <w:bCs w:val="1"/>
                <w:color w:val="auto"/>
              </w:rPr>
              <w:t>CONSOLIDATED STATEMENTS OF OPERATIONS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640" w:type="dxa"/>
            <w:vAlign w:val="bottom"/>
          </w:tcPr>
          <w:p>
            <w:pPr>
              <w:spacing w:after="0"/>
              <w:rPr>
                <w:sz w:val="17"/>
                <w:szCs w:val="17"/>
                <w:color w:val="auto"/>
              </w:rPr>
            </w:pPr>
          </w:p>
        </w:tc>
        <w:tc>
          <w:tcPr>
            <w:tcW w:w="3960" w:type="dxa"/>
            <w:vAlign w:val="bottom"/>
            <w:gridSpan w:val="2"/>
          </w:tcPr>
          <w:p>
            <w:pPr>
              <w:jc w:val="center"/>
              <w:ind w:left="103"/>
              <w:spacing w:after="0"/>
              <w:rPr>
                <w:sz w:val="20"/>
                <w:szCs w:val="20"/>
                <w:color w:val="auto"/>
              </w:rPr>
            </w:pPr>
            <w:r>
              <w:rPr>
                <w:rFonts w:ascii="Arial" w:cs="Arial" w:eastAsia="Arial" w:hAnsi="Arial"/>
                <w:sz w:val="15"/>
                <w:szCs w:val="15"/>
                <w:color w:val="auto"/>
                <w:w w:val="93"/>
              </w:rPr>
              <w:t>(in millions except per share amounts)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01"/>
        </w:trPr>
        <w:tc>
          <w:tcPr>
            <w:tcW w:w="3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1"/>
              </w:rPr>
              <w:t>August 28,</w:t>
            </w: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August 30,</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9"/>
              </w:rPr>
              <w:t>August 31,</w:t>
            </w:r>
          </w:p>
        </w:tc>
      </w:tr>
      <w:tr>
        <w:trPr>
          <w:trHeight w:val="205"/>
        </w:trPr>
        <w:tc>
          <w:tcPr>
            <w:tcW w:w="36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For the year ended</w:t>
            </w:r>
          </w:p>
        </w:tc>
        <w:tc>
          <w:tcPr>
            <w:tcW w:w="3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7"/>
                <w:szCs w:val="17"/>
                <w:color w:val="auto"/>
              </w:rPr>
            </w:pPr>
          </w:p>
        </w:tc>
      </w:tr>
      <w:tr>
        <w:trPr>
          <w:trHeight w:val="185"/>
        </w:trPr>
        <w:tc>
          <w:tcPr>
            <w:tcW w:w="36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3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5,841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5,272</w:t>
            </w:r>
          </w:p>
        </w:tc>
      </w:tr>
      <w:tr>
        <w:trPr>
          <w:trHeight w:val="185"/>
        </w:trPr>
        <w:tc>
          <w:tcPr>
            <w:tcW w:w="3640" w:type="dxa"/>
            <w:vAlign w:val="bottom"/>
          </w:tcPr>
          <w:p>
            <w:pPr>
              <w:spacing w:after="0"/>
              <w:rPr>
                <w:sz w:val="20"/>
                <w:szCs w:val="20"/>
                <w:color w:val="auto"/>
              </w:rPr>
            </w:pPr>
            <w:r>
              <w:rPr>
                <w:rFonts w:ascii="Arial" w:cs="Arial" w:eastAsia="Arial" w:hAnsi="Arial"/>
                <w:sz w:val="15"/>
                <w:szCs w:val="15"/>
                <w:color w:val="auto"/>
              </w:rPr>
              <w:t>Cost of goods sold</w:t>
            </w: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5,896</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4,610</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4,072</w:t>
            </w:r>
          </w:p>
        </w:tc>
      </w:tr>
      <w:tr>
        <w:trPr>
          <w:trHeight w:val="23"/>
        </w:trPr>
        <w:tc>
          <w:tcPr>
            <w:tcW w:w="36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1,078</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1,200</w:t>
            </w:r>
          </w:p>
        </w:tc>
      </w:tr>
      <w:tr>
        <w:trPr>
          <w:trHeight w:val="185"/>
        </w:trPr>
        <w:tc>
          <w:tcPr>
            <w:tcW w:w="36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455</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610</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460</w:t>
            </w:r>
          </w:p>
        </w:tc>
      </w:tr>
      <w:tr>
        <w:trPr>
          <w:trHeight w:val="185"/>
        </w:trPr>
        <w:tc>
          <w:tcPr>
            <w:tcW w:w="364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680</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805</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656</w:t>
            </w: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Goodwill impairment</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463</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3640" w:type="dxa"/>
            <w:vAlign w:val="bottom"/>
          </w:tcPr>
          <w:p>
            <w:pPr>
              <w:spacing w:after="0"/>
              <w:rPr>
                <w:sz w:val="20"/>
                <w:szCs w:val="20"/>
                <w:color w:val="auto"/>
              </w:rPr>
            </w:pPr>
            <w:r>
              <w:rPr>
                <w:rFonts w:ascii="Arial" w:cs="Arial" w:eastAsia="Arial" w:hAnsi="Arial"/>
                <w:sz w:val="15"/>
                <w:szCs w:val="15"/>
                <w:color w:val="auto"/>
              </w:rPr>
              <w:t>Restructure</w:t>
            </w: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33</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19</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Other operating (income) expense, net</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(91)</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(76)</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(266)</w:t>
            </w:r>
          </w:p>
        </w:tc>
      </w:tr>
      <w:tr>
        <w:trPr>
          <w:trHeight w:val="23"/>
        </w:trPr>
        <w:tc>
          <w:tcPr>
            <w:tcW w:w="364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3640" w:type="dxa"/>
            <w:vAlign w:val="bottom"/>
          </w:tcPr>
          <w:p>
            <w:pPr>
              <w:spacing w:after="0"/>
              <w:rPr>
                <w:sz w:val="20"/>
                <w:szCs w:val="20"/>
                <w:color w:val="auto"/>
              </w:rPr>
            </w:pPr>
            <w:r>
              <w:rPr>
                <w:rFonts w:ascii="Arial" w:cs="Arial" w:eastAsia="Arial" w:hAnsi="Arial"/>
                <w:sz w:val="15"/>
                <w:szCs w:val="15"/>
                <w:color w:val="auto"/>
              </w:rPr>
              <w:t>Operating income (loss)</w:t>
            </w: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(1,595)</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(280)</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350</w:t>
            </w:r>
          </w:p>
        </w:tc>
      </w:tr>
      <w:tr>
        <w:trPr>
          <w:trHeight w:val="185"/>
        </w:trPr>
        <w:tc>
          <w:tcPr>
            <w:tcW w:w="364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3640" w:type="dxa"/>
            <w:vAlign w:val="bottom"/>
          </w:tcPr>
          <w:p>
            <w:pPr>
              <w:spacing w:after="0"/>
              <w:rPr>
                <w:sz w:val="20"/>
                <w:szCs w:val="20"/>
                <w:color w:val="auto"/>
              </w:rPr>
            </w:pPr>
            <w:r>
              <w:rPr>
                <w:rFonts w:ascii="Arial" w:cs="Arial" w:eastAsia="Arial" w:hAnsi="Arial"/>
                <w:sz w:val="15"/>
                <w:szCs w:val="15"/>
                <w:color w:val="auto"/>
              </w:rPr>
              <w:t>Interest income</w:t>
            </w: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79</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143</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101</w:t>
            </w: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(82)</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w:t>
            </w:r>
          </w:p>
        </w:tc>
      </w:tr>
      <w:tr>
        <w:trPr>
          <w:trHeight w:val="185"/>
        </w:trPr>
        <w:tc>
          <w:tcPr>
            <w:tcW w:w="3640" w:type="dxa"/>
            <w:vAlign w:val="bottom"/>
          </w:tcPr>
          <w:p>
            <w:pPr>
              <w:spacing w:after="0"/>
              <w:rPr>
                <w:sz w:val="20"/>
                <w:szCs w:val="20"/>
                <w:color w:val="auto"/>
              </w:rPr>
            </w:pPr>
            <w:r>
              <w:rPr>
                <w:rFonts w:ascii="Arial" w:cs="Arial" w:eastAsia="Arial" w:hAnsi="Arial"/>
                <w:sz w:val="15"/>
                <w:szCs w:val="15"/>
                <w:color w:val="auto"/>
              </w:rPr>
              <w:t>Other non-operating income (expense), net</w:t>
            </w: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9</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7</w:t>
            </w:r>
          </w:p>
        </w:tc>
      </w:tr>
      <w:tr>
        <w:trPr>
          <w:trHeight w:val="23"/>
        </w:trPr>
        <w:tc>
          <w:tcPr>
            <w:tcW w:w="36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w w:val="99"/>
              </w:rPr>
              <w:t>Income (loss) before taxes and noncontrolling interests</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(1,611)</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(168)</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433</w:t>
            </w:r>
          </w:p>
        </w:tc>
      </w:tr>
      <w:tr>
        <w:trPr>
          <w:trHeight w:val="185"/>
        </w:trPr>
        <w:tc>
          <w:tcPr>
            <w:tcW w:w="36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Income tax (provision)</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w:t>
            </w:r>
          </w:p>
        </w:tc>
      </w:tr>
      <w:tr>
        <w:trPr>
          <w:trHeight w:val="185"/>
        </w:trPr>
        <w:tc>
          <w:tcPr>
            <w:tcW w:w="3640" w:type="dxa"/>
            <w:vAlign w:val="bottom"/>
          </w:tcPr>
          <w:p>
            <w:pPr>
              <w:spacing w:after="0"/>
              <w:rPr>
                <w:sz w:val="20"/>
                <w:szCs w:val="20"/>
                <w:color w:val="auto"/>
              </w:rPr>
            </w:pPr>
            <w:r>
              <w:rPr>
                <w:rFonts w:ascii="Arial" w:cs="Arial" w:eastAsia="Arial" w:hAnsi="Arial"/>
                <w:sz w:val="15"/>
                <w:szCs w:val="15"/>
                <w:color w:val="auto"/>
              </w:rPr>
              <w:t>Noncontrolling interests in net (income) loss</w:t>
            </w: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(122)</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r>
      <w:tr>
        <w:trPr>
          <w:trHeight w:val="23"/>
        </w:trPr>
        <w:tc>
          <w:tcPr>
            <w:tcW w:w="36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3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408</w:t>
            </w:r>
          </w:p>
        </w:tc>
      </w:tr>
      <w:tr>
        <w:trPr>
          <w:trHeight w:val="172"/>
        </w:trPr>
        <w:tc>
          <w:tcPr>
            <w:tcW w:w="3640" w:type="dxa"/>
            <w:vAlign w:val="bottom"/>
            <w:tcBorders>
              <w:top w:val="single" w:sz="8" w:color="CCEEFF"/>
            </w:tcBorders>
          </w:tcPr>
          <w:p>
            <w:pPr>
              <w:spacing w:after="0"/>
              <w:rPr>
                <w:sz w:val="14"/>
                <w:szCs w:val="14"/>
                <w:color w:val="auto"/>
              </w:rPr>
            </w:pPr>
          </w:p>
        </w:tc>
        <w:tc>
          <w:tcPr>
            <w:tcW w:w="38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Earnings (loss) per share:</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3640" w:type="dxa"/>
            <w:vAlign w:val="bottom"/>
          </w:tcPr>
          <w:p>
            <w:pPr>
              <w:spacing w:after="0"/>
              <w:rPr>
                <w:sz w:val="20"/>
                <w:szCs w:val="20"/>
                <w:color w:val="auto"/>
              </w:rPr>
            </w:pPr>
            <w:r>
              <w:rPr>
                <w:rFonts w:ascii="Arial" w:cs="Arial" w:eastAsia="Arial" w:hAnsi="Arial"/>
                <w:sz w:val="15"/>
                <w:szCs w:val="15"/>
                <w:color w:val="auto"/>
              </w:rPr>
              <w:t>Basic</w:t>
            </w:r>
          </w:p>
        </w:tc>
        <w:tc>
          <w:tcPr>
            <w:tcW w:w="3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(2.10)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(0.42)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0.59</w:t>
            </w: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Diluted</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(2.10)</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(0.42)</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0.57</w:t>
            </w:r>
          </w:p>
        </w:tc>
      </w:tr>
      <w:tr>
        <w:trPr>
          <w:trHeight w:val="185"/>
        </w:trPr>
        <w:tc>
          <w:tcPr>
            <w:tcW w:w="36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 used in per share calculations:</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3640" w:type="dxa"/>
            <w:vAlign w:val="bottom"/>
          </w:tcPr>
          <w:p>
            <w:pPr>
              <w:spacing w:after="0"/>
              <w:rPr>
                <w:sz w:val="20"/>
                <w:szCs w:val="20"/>
                <w:color w:val="auto"/>
              </w:rPr>
            </w:pPr>
            <w:r>
              <w:rPr>
                <w:rFonts w:ascii="Arial" w:cs="Arial" w:eastAsia="Arial" w:hAnsi="Arial"/>
                <w:sz w:val="15"/>
                <w:szCs w:val="15"/>
                <w:color w:val="auto"/>
              </w:rPr>
              <w:t>Basic</w:t>
            </w: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772.5</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769.1</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691.7</w:t>
            </w:r>
          </w:p>
        </w:tc>
      </w:tr>
      <w:tr>
        <w:trPr>
          <w:trHeight w:val="185"/>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Diluted</w:t>
            </w:r>
          </w:p>
        </w:tc>
        <w:tc>
          <w:tcPr>
            <w:tcW w:w="3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772.5</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769.1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725.1</w:t>
            </w:r>
          </w:p>
        </w:tc>
      </w:tr>
    </w:tbl>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2"/>
        </w:trPr>
        <w:tc>
          <w:tcPr>
            <w:tcW w:w="8820" w:type="dxa"/>
            <w:vAlign w:val="bottom"/>
          </w:tcPr>
          <w:p>
            <w:pPr>
              <w:jc w:val="center"/>
              <w:ind w:left="2543"/>
              <w:spacing w:after="0"/>
              <w:rPr>
                <w:sz w:val="20"/>
                <w:szCs w:val="20"/>
                <w:color w:val="auto"/>
              </w:rPr>
            </w:pPr>
            <w:r>
              <w:rPr>
                <w:rFonts w:ascii="Arial" w:cs="Arial" w:eastAsia="Arial" w:hAnsi="Arial"/>
                <w:sz w:val="15"/>
                <w:szCs w:val="15"/>
                <w:b w:val="1"/>
                <w:bCs w:val="1"/>
                <w:color w:val="auto"/>
              </w:rPr>
              <w:t>MICRON TECHNOLOGY, INC.</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4"/>
        </w:trPr>
        <w:tc>
          <w:tcPr>
            <w:tcW w:w="8820" w:type="dxa"/>
            <w:vAlign w:val="bottom"/>
          </w:tcPr>
          <w:p>
            <w:pPr>
              <w:jc w:val="center"/>
              <w:ind w:left="2543"/>
              <w:spacing w:after="0"/>
              <w:rPr>
                <w:sz w:val="20"/>
                <w:szCs w:val="20"/>
                <w:color w:val="auto"/>
              </w:rPr>
            </w:pPr>
            <w:r>
              <w:rPr>
                <w:rFonts w:ascii="Arial" w:cs="Arial" w:eastAsia="Arial" w:hAnsi="Arial"/>
                <w:sz w:val="15"/>
                <w:szCs w:val="15"/>
                <w:b w:val="1"/>
                <w:bCs w:val="1"/>
                <w:color w:val="auto"/>
              </w:rPr>
              <w:t>CONSOLIDATED BALANCE SHEETS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820" w:type="dxa"/>
            <w:vAlign w:val="bottom"/>
          </w:tcPr>
          <w:p>
            <w:pPr>
              <w:jc w:val="center"/>
              <w:ind w:left="2523"/>
              <w:spacing w:after="0"/>
              <w:rPr>
                <w:sz w:val="20"/>
                <w:szCs w:val="20"/>
                <w:color w:val="auto"/>
              </w:rPr>
            </w:pPr>
            <w:r>
              <w:rPr>
                <w:rFonts w:ascii="Arial" w:cs="Arial" w:eastAsia="Arial" w:hAnsi="Arial"/>
                <w:sz w:val="15"/>
                <w:szCs w:val="15"/>
                <w:color w:val="auto"/>
                <w:w w:val="94"/>
              </w:rPr>
              <w:t>(in millions except par value amounts)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01"/>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August 28,</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9"/>
              </w:rPr>
              <w:t>August 30,</w:t>
            </w:r>
          </w:p>
        </w:tc>
      </w:tr>
      <w:tr>
        <w:trPr>
          <w:trHeight w:val="205"/>
        </w:trPr>
        <w:tc>
          <w:tcPr>
            <w:tcW w:w="88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As of</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7"/>
                <w:szCs w:val="17"/>
                <w:color w:val="auto"/>
              </w:rPr>
            </w:pPr>
          </w:p>
        </w:tc>
      </w:tr>
      <w:tr>
        <w:trPr>
          <w:trHeight w:val="185"/>
        </w:trPr>
        <w:tc>
          <w:tcPr>
            <w:tcW w:w="8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Cash and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1,243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2,192</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Short-term investments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119</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424</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Receivables</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1,032</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994</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Inventories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1,291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1,532</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Other current assets</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94</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92</w:t>
            </w:r>
          </w:p>
        </w:tc>
      </w:tr>
      <w:tr>
        <w:trPr>
          <w:trHeight w:val="23"/>
        </w:trPr>
        <w:tc>
          <w:tcPr>
            <w:tcW w:w="8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Total current assets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3,779</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5,234</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364</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401</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8,811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8,279</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58</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515</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418</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389</w:t>
            </w:r>
          </w:p>
        </w:tc>
      </w:tr>
      <w:tr>
        <w:trPr>
          <w:trHeight w:val="23"/>
        </w:trPr>
        <w:tc>
          <w:tcPr>
            <w:tcW w:w="8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13,430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14,818</w:t>
            </w:r>
          </w:p>
        </w:tc>
      </w:tr>
      <w:tr>
        <w:trPr>
          <w:trHeight w:val="20"/>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1,385</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Deferred income</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114</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84</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Equipment purchase contracts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98</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134</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Current portion of long-term debt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275</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423</w:t>
            </w:r>
          </w:p>
        </w:tc>
      </w:tr>
      <w:tr>
        <w:trPr>
          <w:trHeight w:val="23"/>
        </w:trPr>
        <w:tc>
          <w:tcPr>
            <w:tcW w:w="8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1,598</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2,026</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2,451</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1,987</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338</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446</w:t>
            </w:r>
          </w:p>
        </w:tc>
      </w:tr>
      <w:tr>
        <w:trPr>
          <w:trHeight w:val="23"/>
        </w:trPr>
        <w:tc>
          <w:tcPr>
            <w:tcW w:w="8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5"/>
                <w:szCs w:val="15"/>
                <w:color w:val="auto"/>
              </w:rPr>
              <w:t>Total liabilities</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4,387</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4,459</w:t>
            </w:r>
          </w:p>
        </w:tc>
      </w:tr>
      <w:tr>
        <w:trPr>
          <w:trHeight w:val="185"/>
        </w:trPr>
        <w:tc>
          <w:tcPr>
            <w:tcW w:w="88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5"/>
                <w:szCs w:val="15"/>
                <w:color w:val="auto"/>
              </w:rPr>
              <w:t>Noncontrolling interests in subsidiaries</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2,865</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2,607</w:t>
            </w:r>
          </w:p>
        </w:tc>
      </w:tr>
      <w:tr>
        <w:trPr>
          <w:trHeight w:val="185"/>
        </w:trPr>
        <w:tc>
          <w:tcPr>
            <w:tcW w:w="88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5"/>
        </w:trPr>
        <w:tc>
          <w:tcPr>
            <w:tcW w:w="8820" w:type="dxa"/>
            <w:vAlign w:val="bottom"/>
          </w:tcPr>
          <w:p>
            <w:pPr>
              <w:spacing w:after="0"/>
              <w:rPr>
                <w:sz w:val="20"/>
                <w:szCs w:val="20"/>
                <w:color w:val="auto"/>
              </w:rPr>
            </w:pPr>
            <w:r>
              <w:rPr>
                <w:rFonts w:ascii="Arial" w:cs="Arial" w:eastAsia="Arial" w:hAnsi="Arial"/>
                <w:sz w:val="15"/>
                <w:szCs w:val="15"/>
                <w:color w:val="auto"/>
              </w:rPr>
              <w:t>Common stock, $0.10 par value, authorized 3 billion shares, issued and outstanding 761.1 million and 757.9 million shares,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8820" w:type="dxa"/>
            <w:vAlign w:val="bottom"/>
          </w:tcPr>
          <w:p>
            <w:pPr>
              <w:ind w:left="140"/>
              <w:spacing w:after="0"/>
              <w:rPr>
                <w:sz w:val="20"/>
                <w:szCs w:val="20"/>
                <w:color w:val="auto"/>
              </w:rPr>
            </w:pPr>
            <w:r>
              <w:rPr>
                <w:rFonts w:ascii="Arial" w:cs="Arial" w:eastAsia="Arial" w:hAnsi="Arial"/>
                <w:sz w:val="15"/>
                <w:szCs w:val="15"/>
                <w:color w:val="auto"/>
              </w:rPr>
              <w:t>respectively</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76</w:t>
            </w:r>
          </w:p>
        </w:tc>
      </w:tr>
      <w:tr>
        <w:trPr>
          <w:trHeight w:val="186"/>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Additional capital</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6,566</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6,519</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Retained earnings (accumulated deficit)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(456)</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1,164</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w:t>
            </w:r>
          </w:p>
        </w:tc>
      </w:tr>
      <w:tr>
        <w:trPr>
          <w:trHeight w:val="23"/>
        </w:trPr>
        <w:tc>
          <w:tcPr>
            <w:tcW w:w="8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Total shareholders’ equity</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6,178</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7,752</w:t>
            </w:r>
          </w:p>
        </w:tc>
      </w:tr>
      <w:tr>
        <w:trPr>
          <w:trHeight w:val="23"/>
        </w:trPr>
        <w:tc>
          <w:tcPr>
            <w:tcW w:w="8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13,430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14,818</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5"/>
          <w:szCs w:val="15"/>
          <w:b w:val="1"/>
          <w:bCs w:val="1"/>
          <w:color w:val="auto"/>
        </w:rPr>
        <w:t>MICRON TECHNOLOGY, INC.</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SHAREHOLDERS’ EQUITY</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Accumulated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320" w:type="dxa"/>
            <w:vAlign w:val="bottom"/>
          </w:tcPr>
          <w:p>
            <w:pPr>
              <w:spacing w:after="0"/>
              <w:rPr>
                <w:sz w:val="17"/>
                <w:szCs w:val="17"/>
                <w:color w:val="auto"/>
              </w:rPr>
            </w:pPr>
          </w:p>
        </w:tc>
        <w:tc>
          <w:tcPr>
            <w:tcW w:w="230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Total</w:t>
            </w:r>
          </w:p>
        </w:tc>
      </w:tr>
      <w:tr>
        <w:trPr>
          <w:trHeight w:val="169"/>
        </w:trPr>
        <w:tc>
          <w:tcPr>
            <w:tcW w:w="3320" w:type="dxa"/>
            <w:vAlign w:val="bottom"/>
          </w:tcPr>
          <w:p>
            <w:pPr>
              <w:spacing w:after="0"/>
              <w:rPr>
                <w:sz w:val="14"/>
                <w:szCs w:val="14"/>
                <w:color w:val="auto"/>
              </w:rPr>
            </w:pPr>
          </w:p>
        </w:tc>
        <w:tc>
          <w:tcPr>
            <w:tcW w:w="1380" w:type="dxa"/>
            <w:vAlign w:val="bottom"/>
            <w:gridSpan w:val="2"/>
          </w:tcPr>
          <w:p>
            <w:pPr>
              <w:jc w:val="right"/>
              <w:ind w:right="540"/>
              <w:spacing w:after="0" w:line="169"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b w:val="1"/>
                <w:bCs w:val="1"/>
                <w:color w:val="auto"/>
              </w:rPr>
              <w:t>Additional</w:t>
            </w:r>
          </w:p>
        </w:tc>
        <w:tc>
          <w:tcPr>
            <w:tcW w:w="180" w:type="dxa"/>
            <w:vAlign w:val="bottom"/>
          </w:tcPr>
          <w:p>
            <w:pPr>
              <w:spacing w:after="0"/>
              <w:rPr>
                <w:sz w:val="14"/>
                <w:szCs w:val="14"/>
                <w:color w:val="auto"/>
              </w:rPr>
            </w:pPr>
          </w:p>
        </w:tc>
        <w:tc>
          <w:tcPr>
            <w:tcW w:w="1200" w:type="dxa"/>
            <w:vAlign w:val="bottom"/>
            <w:gridSpan w:val="2"/>
          </w:tcPr>
          <w:p>
            <w:pPr>
              <w:jc w:val="right"/>
              <w:ind w:right="520"/>
              <w:spacing w:after="0" w:line="169" w:lineRule="exact"/>
              <w:rPr>
                <w:sz w:val="20"/>
                <w:szCs w:val="20"/>
                <w:color w:val="auto"/>
              </w:rPr>
            </w:pPr>
            <w:r>
              <w:rPr>
                <w:rFonts w:ascii="Arial" w:cs="Arial" w:eastAsia="Arial" w:hAnsi="Arial"/>
                <w:sz w:val="15"/>
                <w:szCs w:val="15"/>
                <w:b w:val="1"/>
                <w:bCs w:val="1"/>
                <w:color w:val="auto"/>
              </w:rPr>
              <w:t>Retained</w:t>
            </w:r>
          </w:p>
        </w:tc>
        <w:tc>
          <w:tcPr>
            <w:tcW w:w="1360" w:type="dxa"/>
            <w:vAlign w:val="bottom"/>
            <w:gridSpan w:val="3"/>
          </w:tcPr>
          <w:p>
            <w:pPr>
              <w:jc w:val="center"/>
              <w:ind w:right="220"/>
              <w:spacing w:after="0" w:line="169" w:lineRule="exact"/>
              <w:rPr>
                <w:sz w:val="20"/>
                <w:szCs w:val="20"/>
                <w:color w:val="auto"/>
              </w:rPr>
            </w:pPr>
            <w:r>
              <w:rPr>
                <w:rFonts w:ascii="Arial" w:cs="Arial" w:eastAsia="Arial" w:hAnsi="Arial"/>
                <w:sz w:val="15"/>
                <w:szCs w:val="15"/>
                <w:b w:val="1"/>
                <w:bCs w:val="1"/>
                <w:color w:val="auto"/>
                <w:w w:val="90"/>
              </w:rPr>
              <w:t>Comprehensive</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line="169" w:lineRule="exact"/>
              <w:rPr>
                <w:sz w:val="20"/>
                <w:szCs w:val="20"/>
                <w:color w:val="auto"/>
              </w:rPr>
            </w:pPr>
            <w:r>
              <w:rPr>
                <w:rFonts w:ascii="Arial" w:cs="Arial" w:eastAsia="Arial" w:hAnsi="Arial"/>
                <w:sz w:val="15"/>
                <w:szCs w:val="15"/>
                <w:b w:val="1"/>
                <w:bCs w:val="1"/>
                <w:color w:val="auto"/>
                <w:w w:val="93"/>
              </w:rPr>
              <w:t>Shareholders’</w:t>
            </w:r>
          </w:p>
        </w:tc>
      </w:tr>
      <w:tr>
        <w:trPr>
          <w:trHeight w:val="205"/>
        </w:trPr>
        <w:tc>
          <w:tcPr>
            <w:tcW w:w="3320" w:type="dxa"/>
            <w:vAlign w:val="bottom"/>
          </w:tcPr>
          <w:p>
            <w:pPr>
              <w:spacing w:after="0"/>
              <w:rPr>
                <w:sz w:val="17"/>
                <w:szCs w:val="17"/>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of Shares</w:t>
            </w:r>
          </w:p>
        </w:tc>
        <w:tc>
          <w:tcPr>
            <w:tcW w:w="920" w:type="dxa"/>
            <w:vAlign w:val="bottom"/>
          </w:tcPr>
          <w:p>
            <w:pPr>
              <w:jc w:val="right"/>
              <w:ind w:right="3"/>
              <w:spacing w:after="0"/>
              <w:rPr>
                <w:sz w:val="20"/>
                <w:szCs w:val="20"/>
                <w:color w:val="auto"/>
              </w:rPr>
            </w:pPr>
            <w:r>
              <w:rPr>
                <w:rFonts w:ascii="Arial" w:cs="Arial" w:eastAsia="Arial" w:hAnsi="Arial"/>
                <w:sz w:val="15"/>
                <w:szCs w:val="15"/>
                <w:b w:val="1"/>
                <w:bCs w:val="1"/>
                <w:color w:val="auto"/>
              </w:rPr>
              <w:t>Amount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Capital</w:t>
            </w:r>
          </w:p>
        </w:tc>
        <w:tc>
          <w:tcPr>
            <w:tcW w:w="180" w:type="dxa"/>
            <w:vAlign w:val="bottom"/>
          </w:tcPr>
          <w:p>
            <w:pPr>
              <w:spacing w:after="0"/>
              <w:rPr>
                <w:sz w:val="17"/>
                <w:szCs w:val="17"/>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(Loss)</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Equity</w:t>
            </w:r>
          </w:p>
        </w:tc>
      </w:tr>
      <w:tr>
        <w:trPr>
          <w:trHeight w:val="185"/>
        </w:trPr>
        <w:tc>
          <w:tcPr>
            <w:tcW w:w="3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3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September 1, 2005</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4,707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5,847</w:t>
            </w:r>
          </w:p>
        </w:tc>
      </w:tr>
      <w:tr>
        <w:trPr>
          <w:trHeight w:val="172"/>
        </w:trPr>
        <w:tc>
          <w:tcPr>
            <w:tcW w:w="33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Comprehensive income (loss):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5"/>
                <w:szCs w:val="15"/>
                <w:color w:val="auto"/>
              </w:rPr>
              <w:t>Net income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408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408</w:t>
            </w: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 (loss):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5"/>
        </w:trPr>
        <w:tc>
          <w:tcPr>
            <w:tcW w:w="3320" w:type="dxa"/>
            <w:vAlign w:val="bottom"/>
          </w:tcPr>
          <w:p>
            <w:pPr>
              <w:spacing w:after="0"/>
              <w:rPr>
                <w:sz w:val="20"/>
                <w:szCs w:val="20"/>
                <w:color w:val="auto"/>
              </w:rPr>
            </w:pPr>
            <w:r>
              <w:rPr>
                <w:rFonts w:ascii="Arial" w:cs="Arial" w:eastAsia="Arial" w:hAnsi="Arial"/>
                <w:sz w:val="15"/>
                <w:szCs w:val="15"/>
                <w:color w:val="auto"/>
              </w:rPr>
              <w:t>Net change in unrealized gain (loss) on</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3320" w:type="dxa"/>
            <w:vAlign w:val="bottom"/>
          </w:tcPr>
          <w:p>
            <w:pPr>
              <w:ind w:left="540"/>
              <w:spacing w:after="0"/>
              <w:rPr>
                <w:sz w:val="20"/>
                <w:szCs w:val="20"/>
                <w:color w:val="auto"/>
              </w:rPr>
            </w:pPr>
            <w:r>
              <w:rPr>
                <w:rFonts w:ascii="Arial" w:cs="Arial" w:eastAsia="Arial" w:hAnsi="Arial"/>
                <w:sz w:val="15"/>
                <w:szCs w:val="15"/>
                <w:color w:val="auto"/>
              </w:rPr>
              <w:t>investments, net of tax</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r>
      <w:tr>
        <w:trPr>
          <w:trHeight w:val="189"/>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comprehensive income (loss)</w:t>
            </w:r>
          </w:p>
        </w:tc>
        <w:tc>
          <w:tcPr>
            <w:tcW w:w="1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406</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Stock issued under stock plans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114</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115</w:t>
            </w:r>
          </w:p>
        </w:tc>
      </w:tr>
      <w:tr>
        <w:trPr>
          <w:trHeight w:val="185"/>
        </w:trPr>
        <w:tc>
          <w:tcPr>
            <w:tcW w:w="332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26</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26</w:t>
            </w:r>
          </w:p>
        </w:tc>
      </w:tr>
      <w:tr>
        <w:trPr>
          <w:trHeight w:val="17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Conversion of notes to stock, net of unamortized</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53.7</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618</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623</w:t>
            </w:r>
          </w:p>
        </w:tc>
      </w:tr>
      <w:tr>
        <w:trPr>
          <w:trHeight w:val="175"/>
        </w:trPr>
        <w:tc>
          <w:tcPr>
            <w:tcW w:w="3320" w:type="dxa"/>
            <w:vAlign w:val="bottom"/>
          </w:tcPr>
          <w:p>
            <w:pPr>
              <w:spacing w:after="0"/>
              <w:rPr>
                <w:sz w:val="20"/>
                <w:szCs w:val="20"/>
                <w:color w:val="auto"/>
              </w:rPr>
            </w:pPr>
            <w:r>
              <w:rPr>
                <w:rFonts w:ascii="Arial" w:cs="Arial" w:eastAsia="Arial" w:hAnsi="Arial"/>
                <w:sz w:val="15"/>
                <w:szCs w:val="15"/>
                <w:color w:val="auto"/>
              </w:rPr>
              <w:t>Stock and stock options issued in connection with</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5"/>
                <w:szCs w:val="15"/>
                <w:color w:val="auto"/>
              </w:rPr>
              <w:t>the acquisition of Lexar</w:t>
            </w:r>
          </w:p>
        </w:tc>
        <w:tc>
          <w:tcPr>
            <w:tcW w:w="1140" w:type="dxa"/>
            <w:vAlign w:val="bottom"/>
          </w:tcPr>
          <w:p>
            <w:pPr>
              <w:jc w:val="right"/>
              <w:spacing w:after="0"/>
              <w:rPr>
                <w:sz w:val="20"/>
                <w:szCs w:val="20"/>
                <w:color w:val="auto"/>
              </w:rPr>
            </w:pPr>
            <w:r>
              <w:rPr>
                <w:rFonts w:ascii="Arial" w:cs="Arial" w:eastAsia="Arial" w:hAnsi="Arial"/>
                <w:sz w:val="15"/>
                <w:szCs w:val="15"/>
                <w:color w:val="auto"/>
              </w:rPr>
              <w:t>50.7</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878</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883</w:t>
            </w:r>
          </w:p>
        </w:tc>
      </w:tr>
      <w:tr>
        <w:trPr>
          <w:trHeight w:val="17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w w:val="98"/>
              </w:rPr>
              <w:t>Premium recognized on convertible debt assumed</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 Lexar acquisition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43</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43</w:t>
            </w:r>
          </w:p>
        </w:tc>
      </w:tr>
      <w:tr>
        <w:trPr>
          <w:trHeight w:val="185"/>
        </w:trPr>
        <w:tc>
          <w:tcPr>
            <w:tcW w:w="3320" w:type="dxa"/>
            <w:vAlign w:val="bottom"/>
          </w:tcPr>
          <w:p>
            <w:pPr>
              <w:spacing w:after="0"/>
              <w:rPr>
                <w:sz w:val="20"/>
                <w:szCs w:val="20"/>
                <w:color w:val="auto"/>
              </w:rPr>
            </w:pPr>
            <w:r>
              <w:rPr>
                <w:rFonts w:ascii="Arial" w:cs="Arial" w:eastAsia="Arial" w:hAnsi="Arial"/>
                <w:sz w:val="15"/>
                <w:szCs w:val="15"/>
                <w:color w:val="auto"/>
              </w:rPr>
              <w:t>Settlement of capped calls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171</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171</w:t>
            </w: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Stock issued in connection with Intel stock rights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3"/>
        </w:trPr>
        <w:tc>
          <w:tcPr>
            <w:tcW w:w="3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5"/>
                <w:szCs w:val="15"/>
                <w:b w:val="1"/>
                <w:bCs w:val="1"/>
                <w:color w:val="auto"/>
              </w:rPr>
              <w:t>Balance at August 31, 2006</w:t>
            </w:r>
          </w:p>
        </w:tc>
        <w:tc>
          <w:tcPr>
            <w:tcW w:w="1140" w:type="dxa"/>
            <w:vAlign w:val="bottom"/>
          </w:tcPr>
          <w:p>
            <w:pPr>
              <w:jc w:val="right"/>
              <w:spacing w:after="0"/>
              <w:rPr>
                <w:sz w:val="20"/>
                <w:szCs w:val="20"/>
                <w:color w:val="auto"/>
              </w:rPr>
            </w:pPr>
            <w:r>
              <w:rPr>
                <w:rFonts w:ascii="Arial" w:cs="Arial" w:eastAsia="Arial" w:hAnsi="Arial"/>
                <w:sz w:val="15"/>
                <w:szCs w:val="15"/>
                <w:color w:val="auto"/>
              </w:rPr>
              <w:t>749.4</w:t>
            </w:r>
          </w:p>
        </w:tc>
        <w:tc>
          <w:tcPr>
            <w:tcW w:w="240" w:type="dxa"/>
            <w:vAlign w:val="bottom"/>
          </w:tcPr>
          <w:p>
            <w:pPr>
              <w:spacing w:after="0"/>
              <w:rPr>
                <w:sz w:val="16"/>
                <w:szCs w:val="16"/>
                <w:color w:val="auto"/>
              </w:rPr>
            </w:pPr>
          </w:p>
        </w:tc>
        <w:tc>
          <w:tcPr>
            <w:tcW w:w="920" w:type="dxa"/>
            <w:vAlign w:val="bottom"/>
          </w:tcPr>
          <w:p>
            <w:pPr>
              <w:jc w:val="right"/>
              <w:ind w:right="76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6,555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1,486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8,114</w:t>
            </w:r>
          </w:p>
        </w:tc>
      </w:tr>
      <w:tr>
        <w:trPr>
          <w:trHeight w:val="20"/>
        </w:trPr>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3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5"/>
                <w:szCs w:val="15"/>
                <w:color w:val="auto"/>
              </w:rPr>
              <w:t>Net loss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(320)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(320)</w:t>
            </w: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Stock issued under stock plans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73</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w:t>
            </w:r>
          </w:p>
        </w:tc>
      </w:tr>
      <w:tr>
        <w:trPr>
          <w:trHeight w:val="185"/>
        </w:trPr>
        <w:tc>
          <w:tcPr>
            <w:tcW w:w="332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44</w:t>
            </w: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Repurchase and retirement of common stock</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w:t>
            </w:r>
          </w:p>
        </w:tc>
      </w:tr>
      <w:tr>
        <w:trPr>
          <w:trHeight w:val="175"/>
        </w:trPr>
        <w:tc>
          <w:tcPr>
            <w:tcW w:w="3320" w:type="dxa"/>
            <w:vAlign w:val="bottom"/>
          </w:tcPr>
          <w:p>
            <w:pPr>
              <w:spacing w:after="0"/>
              <w:rPr>
                <w:sz w:val="20"/>
                <w:szCs w:val="20"/>
                <w:color w:val="auto"/>
              </w:rPr>
            </w:pPr>
            <w:r>
              <w:rPr>
                <w:rFonts w:ascii="Arial" w:cs="Arial" w:eastAsia="Arial" w:hAnsi="Arial"/>
                <w:sz w:val="15"/>
                <w:szCs w:val="15"/>
                <w:color w:val="auto"/>
              </w:rPr>
              <w:t>Adjustment to initially apply SFAS No. 158, net of</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320" w:type="dxa"/>
            <w:vAlign w:val="bottom"/>
          </w:tcPr>
          <w:p>
            <w:pPr>
              <w:ind w:left="280"/>
              <w:spacing w:after="0"/>
              <w:rPr>
                <w:sz w:val="20"/>
                <w:szCs w:val="20"/>
                <w:color w:val="auto"/>
              </w:rPr>
            </w:pPr>
            <w:r>
              <w:rPr>
                <w:rFonts w:ascii="Arial" w:cs="Arial" w:eastAsia="Arial" w:hAnsi="Arial"/>
                <w:sz w:val="15"/>
                <w:szCs w:val="15"/>
                <w:color w:val="auto"/>
              </w:rPr>
              <w:t>tax benefit of $3</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w:t>
            </w:r>
          </w:p>
        </w:tc>
      </w:tr>
      <w:tr>
        <w:trPr>
          <w:trHeight w:val="186"/>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Purchase of capped calls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(151)</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(151)</w:t>
            </w:r>
          </w:p>
        </w:tc>
      </w:tr>
      <w:tr>
        <w:trPr>
          <w:trHeight w:val="23"/>
        </w:trPr>
        <w:tc>
          <w:tcPr>
            <w:tcW w:w="3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5"/>
                <w:szCs w:val="15"/>
                <w:b w:val="1"/>
                <w:bCs w:val="1"/>
                <w:color w:val="auto"/>
              </w:rPr>
              <w:t>Balance at August 30, 2007</w:t>
            </w:r>
          </w:p>
        </w:tc>
        <w:tc>
          <w:tcPr>
            <w:tcW w:w="1140" w:type="dxa"/>
            <w:vAlign w:val="bottom"/>
          </w:tcPr>
          <w:p>
            <w:pPr>
              <w:jc w:val="right"/>
              <w:spacing w:after="0"/>
              <w:rPr>
                <w:sz w:val="20"/>
                <w:szCs w:val="20"/>
                <w:color w:val="auto"/>
              </w:rPr>
            </w:pPr>
            <w:r>
              <w:rPr>
                <w:rFonts w:ascii="Arial" w:cs="Arial" w:eastAsia="Arial" w:hAnsi="Arial"/>
                <w:sz w:val="15"/>
                <w:szCs w:val="15"/>
                <w:color w:val="auto"/>
              </w:rPr>
              <w:t>757.9</w:t>
            </w:r>
          </w:p>
        </w:tc>
        <w:tc>
          <w:tcPr>
            <w:tcW w:w="240" w:type="dxa"/>
            <w:vAlign w:val="bottom"/>
          </w:tcPr>
          <w:p>
            <w:pPr>
              <w:spacing w:after="0"/>
              <w:rPr>
                <w:sz w:val="16"/>
                <w:szCs w:val="16"/>
                <w:color w:val="auto"/>
              </w:rPr>
            </w:pPr>
          </w:p>
        </w:tc>
        <w:tc>
          <w:tcPr>
            <w:tcW w:w="920" w:type="dxa"/>
            <w:vAlign w:val="bottom"/>
          </w:tcPr>
          <w:p>
            <w:pPr>
              <w:jc w:val="right"/>
              <w:ind w:right="76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6,519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1,164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7,752</w:t>
            </w:r>
          </w:p>
        </w:tc>
      </w:tr>
      <w:tr>
        <w:trPr>
          <w:trHeight w:val="20"/>
        </w:trPr>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3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5"/>
                <w:szCs w:val="15"/>
                <w:color w:val="auto"/>
              </w:rPr>
              <w:t>Comprehensive income (loss):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(1,619)</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(1,619)</w:t>
            </w:r>
          </w:p>
        </w:tc>
      </w:tr>
      <w:tr>
        <w:trPr>
          <w:trHeight w:val="185"/>
        </w:trPr>
        <w:tc>
          <w:tcPr>
            <w:tcW w:w="332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Net change in unrealized gain (loss) on</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33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investments, net of tax</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23"/>
        </w:trPr>
        <w:tc>
          <w:tcPr>
            <w:tcW w:w="3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3320" w:type="dxa"/>
            <w:vAlign w:val="bottom"/>
          </w:tcPr>
          <w:p>
            <w:pPr>
              <w:spacing w:after="0"/>
              <w:rPr>
                <w:sz w:val="20"/>
                <w:szCs w:val="20"/>
                <w:color w:val="auto"/>
              </w:rPr>
            </w:pPr>
            <w:r>
              <w:rPr>
                <w:rFonts w:ascii="Arial" w:cs="Arial" w:eastAsia="Arial" w:hAnsi="Arial"/>
                <w:sz w:val="15"/>
                <w:szCs w:val="15"/>
                <w:color w:val="auto"/>
              </w:rPr>
              <w:t>Total comprehensive income (loss)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(1,620)</w:t>
            </w:r>
          </w:p>
        </w:tc>
      </w:tr>
      <w:tr>
        <w:trPr>
          <w:trHeight w:val="185"/>
        </w:trPr>
        <w:tc>
          <w:tcPr>
            <w:tcW w:w="3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5"/>
                <w:szCs w:val="15"/>
                <w:color w:val="auto"/>
              </w:rPr>
              <w:t>Stock issued under stock plans</w:t>
            </w:r>
          </w:p>
        </w:tc>
        <w:tc>
          <w:tcPr>
            <w:tcW w:w="1140" w:type="dxa"/>
            <w:vAlign w:val="bottom"/>
          </w:tcPr>
          <w:p>
            <w:pPr>
              <w:jc w:val="right"/>
              <w:spacing w:after="0"/>
              <w:rPr>
                <w:sz w:val="20"/>
                <w:szCs w:val="20"/>
                <w:color w:val="auto"/>
              </w:rPr>
            </w:pPr>
            <w:r>
              <w:rPr>
                <w:rFonts w:ascii="Arial" w:cs="Arial" w:eastAsia="Arial" w:hAnsi="Arial"/>
                <w:sz w:val="15"/>
                <w:szCs w:val="15"/>
                <w:color w:val="auto"/>
              </w:rPr>
              <w:t>3.7</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48</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w:t>
            </w:r>
          </w:p>
        </w:tc>
      </w:tr>
      <w:tr>
        <w:trPr>
          <w:trHeight w:val="185"/>
        </w:trPr>
        <w:tc>
          <w:tcPr>
            <w:tcW w:w="3320" w:type="dxa"/>
            <w:vAlign w:val="bottom"/>
          </w:tcPr>
          <w:p>
            <w:pPr>
              <w:spacing w:after="0"/>
              <w:rPr>
                <w:sz w:val="20"/>
                <w:szCs w:val="20"/>
                <w:color w:val="auto"/>
              </w:rPr>
            </w:pPr>
            <w:r>
              <w:rPr>
                <w:rFonts w:ascii="Arial" w:cs="Arial" w:eastAsia="Arial" w:hAnsi="Arial"/>
                <w:sz w:val="15"/>
                <w:szCs w:val="15"/>
                <w:color w:val="auto"/>
              </w:rPr>
              <w:t>Adoption of FIN 48</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r>
      <w:tr>
        <w:trPr>
          <w:trHeight w:val="18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Repurchase and retirement of common stock</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(0.5)</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w:t>
            </w:r>
          </w:p>
        </w:tc>
      </w:tr>
      <w:tr>
        <w:trPr>
          <w:trHeight w:val="23"/>
        </w:trPr>
        <w:tc>
          <w:tcPr>
            <w:tcW w:w="3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3320" w:type="dxa"/>
            <w:vAlign w:val="bottom"/>
          </w:tcPr>
          <w:p>
            <w:pPr>
              <w:spacing w:after="0"/>
              <w:rPr>
                <w:sz w:val="20"/>
                <w:szCs w:val="20"/>
                <w:color w:val="auto"/>
              </w:rPr>
            </w:pPr>
            <w:r>
              <w:rPr>
                <w:rFonts w:ascii="Arial" w:cs="Arial" w:eastAsia="Arial" w:hAnsi="Arial"/>
                <w:sz w:val="15"/>
                <w:szCs w:val="15"/>
                <w:b w:val="1"/>
                <w:bCs w:val="1"/>
                <w:color w:val="auto"/>
              </w:rPr>
              <w:t>Balance at August 28, 2008</w:t>
            </w:r>
          </w:p>
        </w:tc>
        <w:tc>
          <w:tcPr>
            <w:tcW w:w="1140" w:type="dxa"/>
            <w:vAlign w:val="bottom"/>
          </w:tcPr>
          <w:p>
            <w:pPr>
              <w:jc w:val="right"/>
              <w:spacing w:after="0"/>
              <w:rPr>
                <w:sz w:val="20"/>
                <w:szCs w:val="20"/>
                <w:color w:val="auto"/>
              </w:rPr>
            </w:pPr>
            <w:r>
              <w:rPr>
                <w:rFonts w:ascii="Arial" w:cs="Arial" w:eastAsia="Arial" w:hAnsi="Arial"/>
                <w:sz w:val="15"/>
                <w:szCs w:val="15"/>
                <w:color w:val="auto"/>
              </w:rPr>
              <w:t>761.1</w:t>
            </w:r>
          </w:p>
        </w:tc>
        <w:tc>
          <w:tcPr>
            <w:tcW w:w="240" w:type="dxa"/>
            <w:vAlign w:val="bottom"/>
          </w:tcPr>
          <w:p>
            <w:pPr>
              <w:spacing w:after="0"/>
              <w:rPr>
                <w:sz w:val="16"/>
                <w:szCs w:val="16"/>
                <w:color w:val="auto"/>
              </w:rPr>
            </w:pPr>
          </w:p>
        </w:tc>
        <w:tc>
          <w:tcPr>
            <w:tcW w:w="920" w:type="dxa"/>
            <w:vAlign w:val="bottom"/>
          </w:tcPr>
          <w:p>
            <w:pPr>
              <w:jc w:val="right"/>
              <w:ind w:right="76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6,566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(456)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6,178</w:t>
            </w:r>
          </w:p>
        </w:tc>
      </w:tr>
      <w:tr>
        <w:trPr>
          <w:trHeight w:val="20"/>
        </w:trPr>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00"/>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2"/>
        </w:trPr>
        <w:tc>
          <w:tcPr>
            <w:tcW w:w="7440" w:type="dxa"/>
            <w:vAlign w:val="bottom"/>
          </w:tcPr>
          <w:p>
            <w:pPr>
              <w:jc w:val="center"/>
              <w:ind w:left="3923"/>
              <w:spacing w:after="0"/>
              <w:rPr>
                <w:sz w:val="20"/>
                <w:szCs w:val="20"/>
                <w:color w:val="auto"/>
              </w:rPr>
            </w:pPr>
            <w:r>
              <w:rPr>
                <w:rFonts w:ascii="Arial" w:cs="Arial" w:eastAsia="Arial" w:hAnsi="Arial"/>
                <w:sz w:val="15"/>
                <w:szCs w:val="15"/>
                <w:b w:val="1"/>
                <w:bCs w:val="1"/>
                <w:color w:val="auto"/>
              </w:rPr>
              <w:t>MICRON TECHNOLOGY, INC.</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4"/>
        </w:trPr>
        <w:tc>
          <w:tcPr>
            <w:tcW w:w="7600" w:type="dxa"/>
            <w:vAlign w:val="bottom"/>
            <w:gridSpan w:val="2"/>
          </w:tcPr>
          <w:p>
            <w:pPr>
              <w:jc w:val="center"/>
              <w:ind w:left="3743"/>
              <w:spacing w:after="0"/>
              <w:rPr>
                <w:sz w:val="20"/>
                <w:szCs w:val="20"/>
                <w:color w:val="auto"/>
              </w:rPr>
            </w:pPr>
            <w:r>
              <w:rPr>
                <w:rFonts w:ascii="Arial" w:cs="Arial" w:eastAsia="Arial" w:hAnsi="Arial"/>
                <w:sz w:val="15"/>
                <w:szCs w:val="15"/>
                <w:b w:val="1"/>
                <w:bCs w:val="1"/>
                <w:color w:val="auto"/>
              </w:rPr>
              <w:t>CONSOLIDATED STATEMENTS OF CASH FLOWS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440" w:type="dxa"/>
            <w:vAlign w:val="bottom"/>
          </w:tcPr>
          <w:p>
            <w:pPr>
              <w:jc w:val="center"/>
              <w:ind w:left="3903"/>
              <w:spacing w:after="0"/>
              <w:rPr>
                <w:sz w:val="20"/>
                <w:szCs w:val="20"/>
                <w:color w:val="auto"/>
              </w:rPr>
            </w:pPr>
            <w:r>
              <w:rPr>
                <w:rFonts w:ascii="Arial" w:cs="Arial" w:eastAsia="Arial" w:hAnsi="Arial"/>
                <w:sz w:val="15"/>
                <w:szCs w:val="15"/>
                <w:color w:val="auto"/>
              </w:rPr>
              <w:t>(in millions)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01"/>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1"/>
              </w:rPr>
              <w:t>August 28,</w:t>
            </w: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August 30,</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9"/>
              </w:rPr>
              <w:t>August 31,</w:t>
            </w:r>
          </w:p>
        </w:tc>
      </w:tr>
      <w:tr>
        <w:trPr>
          <w:trHeight w:val="205"/>
        </w:trPr>
        <w:tc>
          <w:tcPr>
            <w:tcW w:w="74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For the year ended</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7"/>
                <w:szCs w:val="17"/>
                <w:color w:val="auto"/>
              </w:rPr>
            </w:pPr>
          </w:p>
        </w:tc>
      </w:tr>
      <w:tr>
        <w:trPr>
          <w:trHeight w:val="185"/>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Net income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(1,619)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(320)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408</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2,060</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1,718</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1,281</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Goodwill impairment</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463</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Provision to write-down inventories to estimated market values</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282</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20</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Gain from disposition of equipment, net of write-downs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(66)</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Change in operating assets and liabilities: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(Increase) decrease in receivables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(62)</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Increase in inventories</w:t>
            </w: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(40)</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(591)</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(12)</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Increase (decrease) in accounts payable and accrued expenses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(92)</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130</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Increase (decrease) in customer prepayments</w:t>
            </w: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(38)</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249</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94</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153</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w:t>
            </w:r>
          </w:p>
        </w:tc>
      </w:tr>
      <w:tr>
        <w:trPr>
          <w:trHeight w:val="23"/>
        </w:trPr>
        <w:tc>
          <w:tcPr>
            <w:tcW w:w="74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7440" w:type="dxa"/>
            <w:vAlign w:val="bottom"/>
          </w:tcPr>
          <w:p>
            <w:pPr>
              <w:spacing w:after="0"/>
              <w:rPr>
                <w:sz w:val="20"/>
                <w:szCs w:val="20"/>
                <w:color w:val="auto"/>
              </w:rPr>
            </w:pPr>
            <w:r>
              <w:rPr>
                <w:rFonts w:ascii="Arial" w:cs="Arial" w:eastAsia="Arial" w:hAnsi="Arial"/>
                <w:sz w:val="15"/>
                <w:szCs w:val="15"/>
                <w:color w:val="auto"/>
              </w:rPr>
              <w:t>Net cash provided by operating activities</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1,018</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937</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2,019</w:t>
            </w:r>
          </w:p>
        </w:tc>
      </w:tr>
      <w:tr>
        <w:trPr>
          <w:trHeight w:val="185"/>
        </w:trPr>
        <w:tc>
          <w:tcPr>
            <w:tcW w:w="74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Expenditures for property, plant and equipment</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(2,529)</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(3,603)</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(1,365)</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Purchases of available-for-sale securities</w:t>
            </w: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(283)</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(1,466)</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(3,080)</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Investments in non-marketable equity instruments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Acquisition of noncontrolling interest in TECH</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(73)</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Proceeds from maturities of available-for-sale securities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547</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2,156</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2,189</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Proceeds from sales of property, plant and equipment</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187</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94</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55</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Proceeds from sales of available-for-sale securities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540</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Consolidation of TECH</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319</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Cash acquired in acquisition of Lexar</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46</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(39)</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(4)</w:t>
            </w:r>
          </w:p>
        </w:tc>
      </w:tr>
      <w:tr>
        <w:trPr>
          <w:trHeight w:val="23"/>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Net cash used for investing activities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(2,092)</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(2,391)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(1,756)</w:t>
            </w:r>
          </w:p>
        </w:tc>
      </w:tr>
      <w:tr>
        <w:trPr>
          <w:trHeight w:val="185"/>
        </w:trPr>
        <w:tc>
          <w:tcPr>
            <w:tcW w:w="74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Proceeds from debt</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837</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1,300</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Cash received from noncontrolling interests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400</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1,249</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984</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Proceeds from equipment sale-leaseback transactions</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111</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454</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Proceeds from issuance of common stock</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69</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113</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Repayments of debt</w:t>
            </w: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(698)</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(193)</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(415)</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Payments on equipment purchase contracts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(387)</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(487)</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(209)</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Distributions to noncontrolling interests</w:t>
            </w: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(132)</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Cash received (paid) for capped call transactions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3"/>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125</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2,215</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644</w:t>
            </w:r>
          </w:p>
        </w:tc>
      </w:tr>
      <w:tr>
        <w:trPr>
          <w:trHeight w:val="185"/>
        </w:trPr>
        <w:tc>
          <w:tcPr>
            <w:tcW w:w="74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Net increase (decrease) in cash and equivalents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(949)</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761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907</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Cash and equivalents at beginning of year</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2,192</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1,431</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524</w:t>
            </w:r>
          </w:p>
        </w:tc>
      </w:tr>
      <w:tr>
        <w:trPr>
          <w:trHeight w:val="23"/>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 at end of year</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2,192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1,431</w:t>
            </w:r>
          </w:p>
        </w:tc>
      </w:tr>
      <w:tr>
        <w:trPr>
          <w:trHeight w:val="172"/>
        </w:trPr>
        <w:tc>
          <w:tcPr>
            <w:tcW w:w="74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disclosures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Income taxes paid, net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(52)</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Interest paid, net of amounts capitalized</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Noncash investing and financing activities: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Equipment acquisitions on contracts payable and capital leases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501</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1,010</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326</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Stock and stock options issued in acquisition of Lexar</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883</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Conversion of notes to stock, net of unamortized issuance cost</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00"/>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5"/>
          <w:szCs w:val="15"/>
          <w:b w:val="1"/>
          <w:bCs w:val="1"/>
          <w:color w:val="auto"/>
        </w:rPr>
        <w:t>MICRON TECHNOLOGY,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(All tabular amounts in millions except per share amounts)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Micron Technology, Inc. and its subsidiaries (hereinafter referred to collectively as the “Company”) manufacture and market DRAM, NAND Flash memory,</w:t>
      </w:r>
      <w:r>
        <w:rPr>
          <w:rFonts w:ascii="Arial" w:cs="Arial" w:eastAsia="Arial" w:hAnsi="Arial"/>
          <w:sz w:val="15"/>
          <w:szCs w:val="15"/>
          <w:b w:val="1"/>
          <w:bCs w:val="1"/>
          <w:color w:val="auto"/>
        </w:rPr>
        <w:t xml:space="preserve"> </w:t>
      </w:r>
      <w:r>
        <w:rPr>
          <w:rFonts w:ascii="Arial" w:cs="Arial" w:eastAsia="Arial" w:hAnsi="Arial"/>
          <w:sz w:val="15"/>
          <w:szCs w:val="15"/>
          <w:color w:val="auto"/>
        </w:rPr>
        <w:t>CMOS image sensors and other semiconductor components. The Company has two segments,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United States of America and include the accounts of the Company and its consolidated subsidiaries. All significant intercompany transactions and balances have been eliminated.</w:t>
      </w:r>
    </w:p>
    <w:p>
      <w:pPr>
        <w:spacing w:after="0" w:line="179"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The Company’s fiscal year is the 52 or 53-week period ending on the Thursday closest to August 31. The Company’s fiscal 2008, 2007 and 2006 each contained 52 weeks. All period references are to the Company’s fiscal periods unless otherwise indicated.</w:t>
      </w:r>
    </w:p>
    <w:p>
      <w:pPr>
        <w:spacing w:after="0" w:line="157" w:lineRule="exact"/>
        <w:rPr>
          <w:sz w:val="20"/>
          <w:szCs w:val="20"/>
          <w:color w:val="auto"/>
        </w:rPr>
      </w:pPr>
    </w:p>
    <w:p>
      <w:pPr>
        <w:jc w:val="both"/>
        <w:ind w:right="60"/>
        <w:spacing w:after="0" w:line="296" w:lineRule="auto"/>
        <w:rPr>
          <w:sz w:val="20"/>
          <w:szCs w:val="20"/>
          <w:color w:val="auto"/>
        </w:rPr>
      </w:pPr>
      <w:r>
        <w:rPr>
          <w:rFonts w:ascii="Arial" w:cs="Arial" w:eastAsia="Arial" w:hAnsi="Arial"/>
          <w:sz w:val="14"/>
          <w:szCs w:val="14"/>
          <w:b w:val="1"/>
          <w:bCs w:val="1"/>
          <w:color w:val="auto"/>
        </w:rPr>
        <w:t xml:space="preserve">Use of estimates: </w:t>
      </w:r>
      <w:r>
        <w:rPr>
          <w:rFonts w:ascii="Arial" w:cs="Arial" w:eastAsia="Arial" w:hAnsi="Arial"/>
          <w:sz w:val="14"/>
          <w:szCs w:val="14"/>
          <w:color w:val="auto"/>
        </w:rPr>
        <w:t>The preparation of financial statements and related disclosures in conformity with accounting principles generally accepted in the United States of America requires</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differ under different assumptions or conditions. The Company evaluates its estimates and judgments on an ongoing basis. Actual results could differ from estimates.</w:t>
      </w:r>
    </w:p>
    <w:p>
      <w:pPr>
        <w:spacing w:after="0" w:line="156"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b w:val="1"/>
          <w:bCs w:val="1"/>
          <w:color w:val="auto"/>
        </w:rPr>
        <w:t xml:space="preserve">Product warranty: </w:t>
      </w:r>
      <w:r>
        <w:rPr>
          <w:rFonts w:ascii="Arial" w:cs="Arial" w:eastAsia="Arial" w:hAnsi="Arial"/>
          <w:sz w:val="15"/>
          <w:szCs w:val="15"/>
          <w:color w:val="auto"/>
        </w:rPr>
        <w:t>The Company generally provides a limited warranty that its products are in compliance with Company specifications existing at the time of delivery.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upon the Company more extensive liability than that provided under the Company’s general terms and conditions. The Company’s warranty obligations are not material.</w:t>
      </w:r>
    </w:p>
    <w:p>
      <w:pPr>
        <w:spacing w:after="0" w:line="173"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b w:val="1"/>
          <w:bCs w:val="1"/>
          <w:color w:val="auto"/>
        </w:rPr>
        <w:t xml:space="preserve">Revenue recognition: </w:t>
      </w:r>
      <w:r>
        <w:rPr>
          <w:rFonts w:ascii="Arial" w:cs="Arial" w:eastAsia="Arial" w:hAnsi="Arial"/>
          <w:sz w:val="14"/>
          <w:szCs w:val="14"/>
          <w:color w:val="auto"/>
        </w:rPr>
        <w:t>The Company recognizes product or license revenue when persuasive evidence of a sales arrangement exists, delivery has occurred, the price is fixed or</w:t>
      </w:r>
      <w:r>
        <w:rPr>
          <w:rFonts w:ascii="Arial" w:cs="Arial" w:eastAsia="Arial" w:hAnsi="Arial"/>
          <w:sz w:val="14"/>
          <w:szCs w:val="14"/>
          <w:b w:val="1"/>
          <w:bCs w:val="1"/>
          <w:color w:val="auto"/>
        </w:rPr>
        <w:t xml:space="preserve"> </w:t>
      </w:r>
      <w:r>
        <w:rPr>
          <w:rFonts w:ascii="Arial" w:cs="Arial" w:eastAsia="Arial" w:hAnsi="Arial"/>
          <w:sz w:val="14"/>
          <w:szCs w:val="14"/>
          <w:color w:val="auto"/>
        </w:rPr>
        <w:t>determinable and collectibility is reasonably assured. Since the Company is unable to estimate returns and changes in market price and therefore the price is not fixed or determinable, sales made under agreements allowing pricing protection or rights of return (other than for product warranty) are deferred until customers have sold the product.</w:t>
      </w:r>
    </w:p>
    <w:p>
      <w:pPr>
        <w:spacing w:after="0" w:line="149"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Costs related to the conceptual formulation and design of products and processes are expensed as research and development as incurred. Determining</w:t>
      </w:r>
      <w:r>
        <w:rPr>
          <w:rFonts w:ascii="Arial" w:cs="Arial" w:eastAsia="Arial" w:hAnsi="Arial"/>
          <w:sz w:val="15"/>
          <w:szCs w:val="15"/>
          <w:b w:val="1"/>
          <w:bCs w:val="1"/>
          <w:color w:val="auto"/>
        </w:rPr>
        <w:t xml:space="preserve"> </w:t>
      </w:r>
      <w:r>
        <w:rPr>
          <w:rFonts w:ascii="Arial" w:cs="Arial" w:eastAsia="Arial" w:hAnsi="Arial"/>
          <w:sz w:val="15"/>
          <w:szCs w:val="15"/>
          <w:color w:val="auto"/>
        </w:rPr>
        <w:t>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 Product design and other research and development costs for NAND Flash are shared equally among the Company and Intel Corporation (“Intel”). These charges to Intel are reflected as a reduction of research and development expense. (See “Joint Ventures – NAND Flash Joint Ventures with Intel.”)</w:t>
      </w:r>
    </w:p>
    <w:p>
      <w:pPr>
        <w:spacing w:after="0" w:line="173" w:lineRule="exact"/>
        <w:rPr>
          <w:sz w:val="20"/>
          <w:szCs w:val="20"/>
          <w:color w:val="auto"/>
        </w:rPr>
      </w:pPr>
    </w:p>
    <w:p>
      <w:pPr>
        <w:jc w:val="both"/>
        <w:ind w:right="60"/>
        <w:spacing w:after="0" w:line="278" w:lineRule="auto"/>
        <w:rPr>
          <w:sz w:val="20"/>
          <w:szCs w:val="20"/>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color w:val="auto"/>
        </w:rPr>
        <w:t>Stock-based compensation cost is measured at the grant date, based on the fair value of the award, and is recognized as expense over the requisite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period. For stock awards granted after the beginning of 2006, expenses are amortized under the straight-line attribution method. The Company grants new shares upon the exercise of stock options or conversion of share units. (See “Equity Plans.”)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Functional currency: </w:t>
      </w:r>
      <w:r>
        <w:rPr>
          <w:rFonts w:ascii="Arial" w:cs="Arial" w:eastAsia="Arial" w:hAnsi="Arial"/>
          <w:sz w:val="15"/>
          <w:szCs w:val="15"/>
          <w:color w:val="auto"/>
        </w:rPr>
        <w:t>The U.S. dollar is the Company’s functional currency for substantially all of its operations.</w:t>
      </w:r>
    </w:p>
    <w:p>
      <w:pPr>
        <w:spacing w:after="0" w:line="222" w:lineRule="exact"/>
        <w:rPr>
          <w:sz w:val="20"/>
          <w:szCs w:val="20"/>
          <w:color w:val="auto"/>
        </w:rPr>
      </w:pPr>
    </w:p>
    <w:p>
      <w:pPr>
        <w:ind w:right="240"/>
        <w:spacing w:after="0" w:line="339" w:lineRule="auto"/>
        <w:rPr>
          <w:sz w:val="20"/>
          <w:szCs w:val="20"/>
          <w:color w:val="auto"/>
        </w:rPr>
      </w:pPr>
      <w:r>
        <w:rPr>
          <w:rFonts w:ascii="Arial" w:cs="Arial" w:eastAsia="Arial" w:hAnsi="Arial"/>
          <w:sz w:val="13"/>
          <w:szCs w:val="13"/>
          <w:b w:val="1"/>
          <w:bCs w:val="1"/>
          <w:color w:val="auto"/>
        </w:rPr>
        <w:t xml:space="preserve">Earnings per share: </w:t>
      </w:r>
      <w:r>
        <w:rPr>
          <w:rFonts w:ascii="Arial" w:cs="Arial" w:eastAsia="Arial" w:hAnsi="Arial"/>
          <w:sz w:val="13"/>
          <w:szCs w:val="13"/>
          <w:color w:val="auto"/>
        </w:rPr>
        <w:t>Basic earnings per share is computed based on the weighted-average number of common shares and stock rights outstanding. Diluted earnings per share is</w:t>
      </w:r>
      <w:r>
        <w:rPr>
          <w:rFonts w:ascii="Arial" w:cs="Arial" w:eastAsia="Arial" w:hAnsi="Arial"/>
          <w:sz w:val="13"/>
          <w:szCs w:val="13"/>
          <w:b w:val="1"/>
          <w:bCs w:val="1"/>
          <w:color w:val="auto"/>
        </w:rPr>
        <w:t xml:space="preserve"> </w:t>
      </w:r>
      <w:r>
        <w:rPr>
          <w:rFonts w:ascii="Arial" w:cs="Arial" w:eastAsia="Arial" w:hAnsi="Arial"/>
          <w:sz w:val="13"/>
          <w:szCs w:val="13"/>
          <w:color w:val="auto"/>
        </w:rPr>
        <w:t>computed based on the weighted-average number of common shares and stock rights outstanding plus the dilutive effects of stock options, warrants and convertible notes. Potential common shares that would increase earnings per share amounts or decrease loss per share amounts are antidilutive and are, therefore, excluded from diluted per share calculations.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48" w:name="page49"/>
    <w:bookmarkEnd w:id="48"/>
    <w:p>
      <w:pPr>
        <w:ind w:right="80"/>
        <w:spacing w:after="0" w:line="271" w:lineRule="auto"/>
        <w:rPr>
          <w:sz w:val="20"/>
          <w:szCs w:val="20"/>
          <w:color w:val="auto"/>
        </w:rPr>
      </w:pPr>
      <w:r>
        <w:rPr>
          <w:rFonts w:ascii="Arial" w:cs="Arial" w:eastAsia="Arial" w:hAnsi="Arial"/>
          <w:sz w:val="15"/>
          <w:szCs w:val="15"/>
          <w:b w:val="1"/>
          <w:bCs w:val="1"/>
          <w:color w:val="auto"/>
        </w:rPr>
        <w:t xml:space="preserve">Financial instruments: </w:t>
      </w:r>
      <w:r>
        <w:rPr>
          <w:rFonts w:ascii="Arial" w:cs="Arial" w:eastAsia="Arial" w:hAnsi="Arial"/>
          <w:sz w:val="15"/>
          <w:szCs w:val="15"/>
          <w:color w:val="auto"/>
        </w:rPr>
        <w:t>Cash equivalents include highly liquid short-term investments with original maturities to the Company of three months or less, readily convertible to known</w:t>
      </w:r>
      <w:r>
        <w:rPr>
          <w:rFonts w:ascii="Arial" w:cs="Arial" w:eastAsia="Arial" w:hAnsi="Arial"/>
          <w:sz w:val="15"/>
          <w:szCs w:val="15"/>
          <w:b w:val="1"/>
          <w:bCs w:val="1"/>
          <w:color w:val="auto"/>
        </w:rPr>
        <w:t xml:space="preserve"> </w:t>
      </w:r>
      <w:r>
        <w:rPr>
          <w:rFonts w:ascii="Arial" w:cs="Arial" w:eastAsia="Arial" w:hAnsi="Arial"/>
          <w:sz w:val="15"/>
          <w:szCs w:val="15"/>
          <w:color w:val="auto"/>
        </w:rPr>
        <w:t>amounts of cash. Investments with original maturities greater than three months and remaining maturities less than one year are classified as short-term investments. Investments with remaining maturities greater than one year are classified as other noncurrent assets. Securities classified as available-for-sale are stated at market value. The carrying value of investment securities sold is determined using the specific identification method.</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Amounts reported as cash and equivalents, short-term investments, receivables, other assets, accounts payable and accrued expenses and equipment purchase contracts approximate their fair values. As of August 28, 2008 and August 30, 2007, the estimated fair value of the Company’s debt was $2,167 million and $2,411 million, respectively, compared to their carrying value of $2,726 million and $2,410 million, respectively. The estimated fair values presented herein were based on market interest rates and other market information available to management as of each balance sheet date presented. The use of different market assumptions and/or estimation methodologies could have a material effect on the estimated fair values. The estimated fair values do not take into consideration expenses that could be incurred in an actual settlement.</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4"/>
          <w:szCs w:val="14"/>
          <w:b w:val="1"/>
          <w:bCs w:val="1"/>
          <w:color w:val="auto"/>
        </w:rPr>
        <w:t xml:space="preserve">Inventories: </w:t>
      </w:r>
      <w:r>
        <w:rPr>
          <w:rFonts w:ascii="Arial" w:cs="Arial" w:eastAsia="Arial" w:hAnsi="Arial"/>
          <w:sz w:val="14"/>
          <w:szCs w:val="14"/>
          <w:color w:val="auto"/>
        </w:rPr>
        <w:t>Inventories are stated at the lower of average cost or market value. Cost includes labor, material and overhead costs, including product and process 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costs. Determining fair market values of inventories involves numerous judgments, including projecting average selling prices and sales volumes for future periods and costs to complete products in work in process inventories. As a result of these analyses, when fair market values are below the Company’s costs, the Company records a charge to cost of goods sold in advance of when the inventory is actually sold. The Company’s inventories have been categorized as Memory products or Imaging products for purposes of determining average cost and fair market value. The major characteristics the Company considers in determining categories are product type and markets.</w:t>
      </w:r>
    </w:p>
    <w:p>
      <w:pPr>
        <w:spacing w:after="0" w:line="160"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b w:val="1"/>
          <w:bCs w:val="1"/>
          <w:color w:val="auto"/>
        </w:rPr>
        <w:t xml:space="preserve">Product and process technology: </w:t>
      </w:r>
      <w:r>
        <w:rPr>
          <w:rFonts w:ascii="Arial" w:cs="Arial" w:eastAsia="Arial" w:hAnsi="Arial"/>
          <w:sz w:val="14"/>
          <w:szCs w:val="14"/>
          <w:color w:val="auto"/>
        </w:rPr>
        <w:t>Costs incurred to acquire product and process technology or to patent technology developed by the Company are capitalized and amortized on a</w:t>
      </w:r>
      <w:r>
        <w:rPr>
          <w:rFonts w:ascii="Arial" w:cs="Arial" w:eastAsia="Arial" w:hAnsi="Arial"/>
          <w:sz w:val="14"/>
          <w:szCs w:val="14"/>
          <w:b w:val="1"/>
          <w:bCs w:val="1"/>
          <w:color w:val="auto"/>
        </w:rPr>
        <w:t xml:space="preserve"> </w:t>
      </w:r>
      <w:r>
        <w:rPr>
          <w:rFonts w:ascii="Arial" w:cs="Arial" w:eastAsia="Arial" w:hAnsi="Arial"/>
          <w:sz w:val="14"/>
          <w:szCs w:val="14"/>
          <w:color w:val="auto"/>
        </w:rPr>
        <w:t>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 Fully-amortized assets are removed from product and process technology and accumulated amortization.</w:t>
      </w:r>
    </w:p>
    <w:p>
      <w:pPr>
        <w:spacing w:after="0" w:line="156"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b w:val="1"/>
          <w:bCs w:val="1"/>
          <w:color w:val="auto"/>
        </w:rPr>
        <w:t xml:space="preserve">Property, plant and equipment: </w:t>
      </w:r>
      <w:r>
        <w:rPr>
          <w:rFonts w:ascii="Arial" w:cs="Arial" w:eastAsia="Arial" w:hAnsi="Arial"/>
          <w:sz w:val="15"/>
          <w:szCs w:val="15"/>
          <w:color w:val="auto"/>
        </w:rPr>
        <w:t>Property, plant and equipment are stated at cost and depreciated using the straight-line method over estimated useful lives of 5 to 30 years for</w:t>
      </w:r>
      <w:r>
        <w:rPr>
          <w:rFonts w:ascii="Arial" w:cs="Arial" w:eastAsia="Arial" w:hAnsi="Arial"/>
          <w:sz w:val="15"/>
          <w:szCs w:val="15"/>
          <w:b w:val="1"/>
          <w:bCs w:val="1"/>
          <w:color w:val="auto"/>
        </w:rPr>
        <w:t xml:space="preserve"> </w:t>
      </w:r>
      <w:r>
        <w:rPr>
          <w:rFonts w:ascii="Arial" w:cs="Arial" w:eastAsia="Arial" w:hAnsi="Arial"/>
          <w:sz w:val="15"/>
          <w:szCs w:val="15"/>
          <w:color w:val="auto"/>
        </w:rPr>
        <w:t>buildings, 2 to 20 years for equipment and 2 to 5 years for software. Assets held for sale are carried at the lower of cost or estimated fair value and are included in other noncurrent assets. When property or equipment is retired or otherwise disposed of, the net book value of the asset is removed from the Company’s accounts and any gain or loss is included in the Company’s results of operations.</w:t>
      </w:r>
    </w:p>
    <w:p>
      <w:pPr>
        <w:spacing w:after="0" w:line="178"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$13 million, $18 million and $10 million in 2008, 2007 and 2006, respectively, in connection with various capital projects.</w:t>
      </w:r>
    </w:p>
    <w:p>
      <w:pPr>
        <w:spacing w:after="0" w:line="168"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b w:val="1"/>
          <w:bCs w:val="1"/>
          <w:color w:val="auto"/>
        </w:rPr>
        <w:t xml:space="preserve">Recently issued accounting standards: </w:t>
      </w:r>
      <w:r>
        <w:rPr>
          <w:rFonts w:ascii="Arial" w:cs="Arial" w:eastAsia="Arial" w:hAnsi="Arial"/>
          <w:sz w:val="14"/>
          <w:szCs w:val="14"/>
          <w:color w:val="auto"/>
        </w:rPr>
        <w:t>In May 2008, the Financial Accounting Standards Board (“FASB”) issued FASB Staff Position (“FSP”) No. APB 14-1, “Accounting for</w:t>
      </w:r>
      <w:r>
        <w:rPr>
          <w:rFonts w:ascii="Arial" w:cs="Arial" w:eastAsia="Arial" w:hAnsi="Arial"/>
          <w:sz w:val="14"/>
          <w:szCs w:val="14"/>
          <w:b w:val="1"/>
          <w:bCs w:val="1"/>
          <w:color w:val="auto"/>
        </w:rPr>
        <w:t xml:space="preserve"> </w:t>
      </w:r>
      <w:r>
        <w:rPr>
          <w:rFonts w:ascii="Arial" w:cs="Arial" w:eastAsia="Arial" w:hAnsi="Arial"/>
          <w:sz w:val="14"/>
          <w:szCs w:val="14"/>
          <w:color w:val="auto"/>
        </w:rPr>
        <w:t>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as interest cost is recognized in subsequent periods. The Company is required to adopt FSP No. APB 14-1 at the beginning of 2010. On adoption, the Company will retrospectively account for its $1.3 billion of 1.875% convertible senior notes issued in May of 2007 under the provisions of FSP No. APB 14-1. Based on a preliminary analysis, the Company estimates that debt recognized on issuance of the $1.3 billion convertible senior notes would be approximately $400 million lower under FSP No. APB 14-1. The difference of approximately $400 million would be accreted to interest expense over the approximate seven-year term of the notes. A significant portion of the interest expense would be deferred as capitalized interest costs in accordance with the Company’s regular accounting policies and will impact results of operations as the assets that include the capitalized interest are depreciated. The Company is continuing to evaluate the full impact that the adoption of FSP No. APB 14-1 will have on its financial statements.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9" w:name="page50"/>
    <w:bookmarkEnd w:id="49"/>
    <w:p>
      <w:pPr>
        <w:spacing w:after="0" w:line="266" w:lineRule="auto"/>
        <w:rPr>
          <w:sz w:val="20"/>
          <w:szCs w:val="20"/>
          <w:color w:val="auto"/>
        </w:rPr>
      </w:pPr>
      <w:r>
        <w:rPr>
          <w:rFonts w:ascii="Arial" w:cs="Arial" w:eastAsia="Arial" w:hAnsi="Arial"/>
          <w:sz w:val="15"/>
          <w:szCs w:val="15"/>
          <w:color w:val="auto"/>
        </w:rPr>
        <w:t>In December 2007, the FASB issued Statement of Financial Accounting Standards (“SFAS”) No. 141 (revised 2007), “Business Combinations</w:t>
      </w:r>
      <w:r>
        <w:rPr>
          <w:rFonts w:ascii="Arial" w:cs="Arial" w:eastAsia="Arial" w:hAnsi="Arial"/>
          <w:sz w:val="15"/>
          <w:szCs w:val="15"/>
          <w:i w:val="1"/>
          <w:iCs w:val="1"/>
          <w:color w:val="auto"/>
        </w:rPr>
        <w:t>”</w:t>
      </w:r>
      <w:r>
        <w:rPr>
          <w:rFonts w:ascii="Arial" w:cs="Arial" w:eastAsia="Arial" w:hAnsi="Arial"/>
          <w:sz w:val="15"/>
          <w:szCs w:val="15"/>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the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on or after the beginning of 2010.</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that the adoption of SFAS No. 160 will have on its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 Including an amendment of FASB Statement No.</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115.” Under SFAS No. 159, the Company may elect to measure many financial instruments and certain other items at fair value on an instrument by instrument basis, subject to certain restrictions. The Company is required to adopt SFAS No. 159 effective at the beginning of 2009. The Company did not elect to measure any existing items at fair value on the adoption of SFAS No. 159.</w:t>
      </w:r>
    </w:p>
    <w:p>
      <w:pPr>
        <w:spacing w:after="0" w:line="179" w:lineRule="exact"/>
        <w:rPr>
          <w:sz w:val="20"/>
          <w:szCs w:val="20"/>
          <w:color w:val="auto"/>
        </w:rPr>
      </w:pPr>
    </w:p>
    <w:p>
      <w:pPr>
        <w:ind w:right="20"/>
        <w:spacing w:after="0" w:line="299" w:lineRule="auto"/>
        <w:rPr>
          <w:sz w:val="20"/>
          <w:szCs w:val="20"/>
          <w:color w:val="auto"/>
        </w:rPr>
      </w:pPr>
      <w:r>
        <w:rPr>
          <w:rFonts w:ascii="Arial" w:cs="Arial" w:eastAsia="Arial" w:hAnsi="Arial"/>
          <w:sz w:val="13"/>
          <w:szCs w:val="13"/>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In February 2008, the FASB issued FSP No. FAS 157-1, “Application of FASB Statement No. 157 to FASB Statement No. 13 and Other Accounting Pronouncements That Address Fair Value Measurements for Purposes of Lease Classification or Measurement under Statement 13,” which amends SFAS No. 157 to exclude accounting pronouncements that address fair value measurements for purposes of lease classification or measurement under SFAS No. 13. In February 2008, the FASB issued FSP No. FAS 157-2, “Effective Date of FASB Statement No. 157,” which delays the effective date of SFAS No. 157 until the beginning of 2010 for all non-financial assets and non-financial liabilities, except for items that are recognized or disclosed at fair value in the financial statements on a recurring basis (at least annually). In October 2008, the FASB also issued FSP No. FAS 157-3, “Determining the Fair Value of a Financial Asset when the Market for That Asset Is Not Active,” which clarifies the application of SFAS No. 157 for financial assets in a market that is not</w:t>
      </w:r>
    </w:p>
    <w:p>
      <w:pPr>
        <w:spacing w:after="0" w:line="4" w:lineRule="exact"/>
        <w:rPr>
          <w:sz w:val="20"/>
          <w:szCs w:val="20"/>
          <w:color w:val="auto"/>
        </w:rPr>
      </w:pPr>
    </w:p>
    <w:p>
      <w:pPr>
        <w:jc w:val="both"/>
        <w:ind w:right="120"/>
        <w:spacing w:after="0" w:line="267" w:lineRule="auto"/>
        <w:rPr>
          <w:sz w:val="20"/>
          <w:szCs w:val="20"/>
          <w:color w:val="auto"/>
        </w:rPr>
      </w:pPr>
      <w:r>
        <w:rPr>
          <w:rFonts w:ascii="Arial" w:cs="Arial" w:eastAsia="Arial" w:hAnsi="Arial"/>
          <w:sz w:val="15"/>
          <w:szCs w:val="15"/>
          <w:color w:val="auto"/>
        </w:rPr>
        <w:t>active. The Company is required to adopt SFAS No. 157 for financial assets and liabilities effective at the beginning of 2009. The Company does not expect that the adoption in 2009 of SFAS No. 157 for financial assets and financial liabilities will have a significant impact on its financial statements. The Company is evaluating the impact that the adoption in 2010 of SFAS No. 157 for non-financial assets and non-financial liabilities will have on its financial statements.</w:t>
      </w:r>
    </w:p>
    <w:p>
      <w:pPr>
        <w:spacing w:after="0" w:line="17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June 2006, the FASB issued Interpretation No. 48 (“FIN 48”), “Accounting for Uncertainty in Income Taxes – an interpretation of FASB Statement No. 109.” FIN 48 contains a two-step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on August 31, 2007. The adoption of FIN 48 did not have a significant impact on the Company’s results of operations or financial position. The Company did not change its policy of recognizing accrued interest and penalties related to unrecognized tax benefits within the income tax provision with the adoption of FIN 48. (See “Income Taxes” note.)</w:t>
      </w:r>
    </w:p>
    <w:p>
      <w:pPr>
        <w:spacing w:after="0" w:line="171" w:lineRule="exact"/>
        <w:rPr>
          <w:sz w:val="20"/>
          <w:szCs w:val="20"/>
          <w:color w:val="auto"/>
        </w:rPr>
      </w:pPr>
    </w:p>
    <w:p>
      <w:pPr>
        <w:jc w:val="both"/>
        <w:ind w:right="180"/>
        <w:spacing w:after="0" w:line="274" w:lineRule="auto"/>
        <w:rPr>
          <w:sz w:val="20"/>
          <w:szCs w:val="20"/>
          <w:color w:val="auto"/>
        </w:rPr>
      </w:pPr>
      <w:r>
        <w:rPr>
          <w:rFonts w:ascii="Arial" w:cs="Arial" w:eastAsia="Arial" w:hAnsi="Arial"/>
          <w:sz w:val="15"/>
          <w:szCs w:val="15"/>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The Company adopted SFAS No. 155 as of the beginning of 2008. The adoption of SFAS No. 155 did not have a significant impact on the Company’s results of operations or financial condition.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Supplemental Balance Sheet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Investment Securities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7"/>
                <w:szCs w:val="17"/>
                <w:color w:val="auto"/>
              </w:rPr>
            </w:pPr>
          </w:p>
        </w:tc>
      </w:tr>
      <w:tr>
        <w:trPr>
          <w:trHeight w:val="185"/>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Available-for-sale securities: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Commercial paper</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271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687</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U.S. government and agencies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289</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642</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Certificates of deposit</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198</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532</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w:t>
            </w:r>
          </w:p>
        </w:tc>
      </w:tr>
      <w:tr>
        <w:trPr>
          <w:trHeight w:val="23"/>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786</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1,900</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Less cash equivalents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(641)</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(1,449)</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Less noncurrent investments in equity</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(26)</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(27)</w:t>
            </w:r>
          </w:p>
        </w:tc>
      </w:tr>
      <w:tr>
        <w:trPr>
          <w:trHeight w:val="23"/>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Short-term investments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424</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60"/>
        <w:spacing w:after="0" w:line="293" w:lineRule="auto"/>
        <w:rPr>
          <w:sz w:val="20"/>
          <w:szCs w:val="20"/>
          <w:color w:val="auto"/>
        </w:rPr>
      </w:pPr>
      <w:r>
        <w:rPr>
          <w:rFonts w:ascii="Arial" w:cs="Arial" w:eastAsia="Arial" w:hAnsi="Arial"/>
          <w:sz w:val="14"/>
          <w:szCs w:val="14"/>
          <w:color w:val="auto"/>
        </w:rPr>
        <w:t>In 2008, the Company realized losses of $5 million on sales of investment securities and recognized losses of $8 million for other-than-temporary impairments on investment securities. As of August 28, 2008, the Company had gross unrealized losses of $7 million in accumulated other comprehensive income, substantially all of which was in commercial paper that had a fair value of $86 million and had been in an unrealized loss position for less than one year. Gross unrealized losses and gains in accumulated other comprehensive income as of August 30, 2007 were not material. Gross realized gains and losses on sales of securities in 2007 and 2006 were also not material.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Receivables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7"/>
                <w:szCs w:val="17"/>
                <w:color w:val="auto"/>
              </w:rPr>
            </w:pPr>
          </w:p>
        </w:tc>
      </w:tr>
      <w:tr>
        <w:trPr>
          <w:trHeight w:val="185"/>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Trade receivables (net of allowance for doubtful accounts of $2 and $4,respectively)</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735</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Income and other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47</w:t>
            </w:r>
          </w:p>
        </w:tc>
      </w:tr>
      <w:tr>
        <w:trPr>
          <w:trHeight w:val="189"/>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882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1,032</w:t>
            </w: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994</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74" w:lineRule="auto"/>
        <w:rPr>
          <w:sz w:val="20"/>
          <w:szCs w:val="20"/>
          <w:color w:val="auto"/>
        </w:rPr>
      </w:pPr>
      <w:r>
        <w:rPr>
          <w:rFonts w:ascii="Arial" w:cs="Arial" w:eastAsia="Arial" w:hAnsi="Arial"/>
          <w:sz w:val="15"/>
          <w:szCs w:val="15"/>
          <w:color w:val="auto"/>
        </w:rPr>
        <w:t>As of August 28, 2008 and August 30, 2007, other receivables included $71 million and $108 million, respectively, due from Intel for amounts related to NAND Flash product design and process development activities. Other receivables as of August 28, 2008 and August 30, 2007 also included $75 million and $83 million, respectively, due from settlement of litigation and $58 million as of August 28, 2008 due from settlements of pricing adjustments with certain suppliers.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Other noncurrent assets as of August 28, 2008 and August 30, 2007 included receivables of $39 million and $110 million, respectively, due from settlement of litigation.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Inventories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7"/>
                <w:szCs w:val="17"/>
                <w:color w:val="auto"/>
              </w:rPr>
            </w:pPr>
          </w:p>
        </w:tc>
      </w:tr>
      <w:tr>
        <w:trPr>
          <w:trHeight w:val="185"/>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517</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Work in process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671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772</w:t>
            </w:r>
          </w:p>
        </w:tc>
      </w:tr>
      <w:tr>
        <w:trPr>
          <w:trHeight w:val="189"/>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Raw materials and supplies</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882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1,291</w:t>
            </w: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1,532</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74" w:lineRule="auto"/>
        <w:rPr>
          <w:sz w:val="20"/>
          <w:szCs w:val="20"/>
          <w:color w:val="auto"/>
        </w:rPr>
      </w:pPr>
      <w:r>
        <w:rPr>
          <w:rFonts w:ascii="Arial" w:cs="Arial" w:eastAsia="Arial" w:hAnsi="Arial"/>
          <w:sz w:val="15"/>
          <w:szCs w:val="15"/>
          <w:color w:val="auto"/>
        </w:rPr>
        <w:t>The Company’s results of operations for the fourth, second and first quarters of 2008 and fourth quarter of 2007 included charges of $205 million, $15 million, $62 million and $20 million, respectively, to write down the carrying value of work in process and finished goods inventories of memory products (both DRAM and NAND Flash) to their estimated market values.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9963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1460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2008</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2007</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80" w:type="dxa"/>
            <w:vAlign w:val="bottom"/>
          </w:tcPr>
          <w:p>
            <w:pPr>
              <w:jc w:val="right"/>
              <w:ind w:right="23"/>
              <w:spacing w:after="0" w:line="169" w:lineRule="exact"/>
              <w:rPr>
                <w:sz w:val="20"/>
                <w:szCs w:val="20"/>
                <w:color w:val="auto"/>
              </w:rPr>
            </w:pPr>
            <w:r>
              <w:rPr>
                <w:rFonts w:ascii="Arial" w:cs="Arial" w:eastAsia="Arial" w:hAnsi="Arial"/>
                <w:sz w:val="15"/>
                <w:szCs w:val="15"/>
                <w:b w:val="1"/>
                <w:bCs w:val="1"/>
                <w:color w:val="auto"/>
              </w:rPr>
              <w:t>Gross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Accumulated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9" w:lineRule="exact"/>
              <w:rPr>
                <w:sz w:val="20"/>
                <w:szCs w:val="20"/>
                <w:color w:val="auto"/>
              </w:rPr>
            </w:pPr>
            <w:r>
              <w:rPr>
                <w:rFonts w:ascii="Arial" w:cs="Arial" w:eastAsia="Arial" w:hAnsi="Arial"/>
                <w:sz w:val="15"/>
                <w:szCs w:val="15"/>
                <w:b w:val="1"/>
                <w:bCs w:val="1"/>
                <w:color w:val="auto"/>
                <w:w w:val="92"/>
              </w:rPr>
              <w:t>Gross</w:t>
            </w:r>
          </w:p>
        </w:tc>
        <w:tc>
          <w:tcPr>
            <w:tcW w:w="100" w:type="dxa"/>
            <w:vAlign w:val="bottom"/>
          </w:tcPr>
          <w:p>
            <w:pPr>
              <w:spacing w:after="0"/>
              <w:rPr>
                <w:sz w:val="14"/>
                <w:szCs w:val="14"/>
                <w:color w:val="auto"/>
              </w:rPr>
            </w:pPr>
          </w:p>
        </w:tc>
        <w:tc>
          <w:tcPr>
            <w:tcW w:w="1040" w:type="dxa"/>
            <w:vAlign w:val="bottom"/>
          </w:tcPr>
          <w:p>
            <w:pPr>
              <w:ind w:left="40"/>
              <w:spacing w:after="0" w:line="169" w:lineRule="exact"/>
              <w:rPr>
                <w:sz w:val="20"/>
                <w:szCs w:val="20"/>
                <w:color w:val="auto"/>
              </w:rPr>
            </w:pPr>
            <w:r>
              <w:rPr>
                <w:rFonts w:ascii="Arial" w:cs="Arial" w:eastAsia="Arial" w:hAnsi="Arial"/>
                <w:sz w:val="15"/>
                <w:szCs w:val="15"/>
                <w:b w:val="1"/>
                <w:bCs w:val="1"/>
                <w:color w:val="auto"/>
              </w:rPr>
              <w:t>Accumulated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Amount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5"/>
                <w:szCs w:val="15"/>
                <w:b w:val="1"/>
                <w:bCs w:val="1"/>
                <w:color w:val="auto"/>
              </w:rPr>
              <w:t>Amortization</w:t>
            </w:r>
          </w:p>
        </w:tc>
        <w:tc>
          <w:tcPr>
            <w:tcW w:w="20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Amount</w:t>
            </w:r>
          </w:p>
        </w:tc>
        <w:tc>
          <w:tcPr>
            <w:tcW w:w="1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Amortization</w:t>
            </w: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Product and process technology</w:t>
            </w:r>
          </w:p>
        </w:tc>
        <w:tc>
          <w:tcPr>
            <w:tcW w:w="3140" w:type="dxa"/>
            <w:vAlign w:val="bottom"/>
            <w:gridSpan w:val="2"/>
            <w:shd w:val="clear" w:color="auto" w:fill="CCEEFF"/>
          </w:tcPr>
          <w:p>
            <w:pPr>
              <w:jc w:val="right"/>
              <w:ind w:right="723"/>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185"/>
        </w:trPr>
        <w:tc>
          <w:tcPr>
            <w:tcW w:w="3800" w:type="dxa"/>
            <w:vAlign w:val="bottom"/>
          </w:tcPr>
          <w:p>
            <w:pPr>
              <w:spacing w:after="0"/>
              <w:rPr>
                <w:sz w:val="20"/>
                <w:szCs w:val="20"/>
                <w:color w:val="auto"/>
              </w:rPr>
            </w:pPr>
            <w:r>
              <w:rPr>
                <w:rFonts w:ascii="Arial" w:cs="Arial" w:eastAsia="Arial" w:hAnsi="Arial"/>
                <w:sz w:val="15"/>
                <w:szCs w:val="15"/>
                <w:color w:val="auto"/>
              </w:rPr>
              <w:t>Customer relationships</w:t>
            </w:r>
          </w:p>
        </w:tc>
        <w:tc>
          <w:tcPr>
            <w:tcW w:w="2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(35)</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5"/>
        </w:trPr>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3"/>
        </w:trPr>
        <w:tc>
          <w:tcPr>
            <w:tcW w:w="38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733</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(369)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700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(299)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60" w:type="dxa"/>
            <w:vAlign w:val="bottom"/>
            <w:vMerge w:val="restart"/>
          </w:tcPr>
          <w:p>
            <w:pPr>
              <w:jc w:val="right"/>
              <w:ind w:right="183"/>
              <w:spacing w:after="0"/>
              <w:rPr>
                <w:sz w:val="20"/>
                <w:szCs w:val="20"/>
                <w:color w:val="auto"/>
              </w:rPr>
            </w:pPr>
            <w:r>
              <w:rPr>
                <w:rFonts w:ascii="Arial" w:cs="Arial" w:eastAsia="Arial" w:hAnsi="Arial"/>
                <w:sz w:val="15"/>
                <w:szCs w:val="15"/>
                <w:color w:val="auto"/>
              </w:rPr>
              <w:t>50</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8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0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1" w:name="page52"/>
    <w:bookmarkEnd w:id="51"/>
    <w:p>
      <w:pPr>
        <w:ind w:right="340"/>
        <w:spacing w:after="0" w:line="328" w:lineRule="auto"/>
        <w:rPr>
          <w:sz w:val="20"/>
          <w:szCs w:val="20"/>
          <w:color w:val="auto"/>
        </w:rPr>
      </w:pPr>
      <w:r>
        <w:rPr>
          <w:rFonts w:ascii="Arial" w:cs="Arial" w:eastAsia="Arial" w:hAnsi="Arial"/>
          <w:sz w:val="14"/>
          <w:szCs w:val="14"/>
          <w:color w:val="auto"/>
        </w:rPr>
        <w:t>During 2008, the Company capitalized $43 million for product and process technology with a weighted-average useful life of 10 years. During 2007, the Company capitalized $86 million for product and process technology with a weighted-average useful life of 9 years and $2 million of other intangible assets with a weighted-average useful life of 4 years.</w:t>
      </w:r>
    </w:p>
    <w:p>
      <w:pPr>
        <w:spacing w:after="0" w:line="140" w:lineRule="exact"/>
        <w:rPr>
          <w:sz w:val="20"/>
          <w:szCs w:val="20"/>
          <w:color w:val="auto"/>
        </w:rPr>
      </w:pPr>
    </w:p>
    <w:p>
      <w:pPr>
        <w:ind w:right="320"/>
        <w:spacing w:after="0" w:line="290" w:lineRule="auto"/>
        <w:rPr>
          <w:sz w:val="20"/>
          <w:szCs w:val="20"/>
          <w:color w:val="auto"/>
        </w:rPr>
      </w:pPr>
      <w:r>
        <w:rPr>
          <w:rFonts w:ascii="Arial" w:cs="Arial" w:eastAsia="Arial" w:hAnsi="Arial"/>
          <w:sz w:val="15"/>
          <w:szCs w:val="15"/>
          <w:color w:val="auto"/>
        </w:rPr>
        <w:t>Amortization expense for intangible assets was $80 million, $75 million and $52 million in 2008, 2007 and 2006, respectively. Annual amortization expense for intangible assets is estimated to be $72 million for 2009, $62 million for 2010, $56 million for 2011, $47 million for 2012 and $44 million for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Property, Plant and Equipment</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7"/>
                <w:szCs w:val="17"/>
                <w:color w:val="auto"/>
              </w:rPr>
            </w:pPr>
          </w:p>
        </w:tc>
      </w:tr>
      <w:tr>
        <w:trPr>
          <w:trHeight w:val="185"/>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Land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107</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Buildings (includes $142 and $131, respectively, for capital leases)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3,829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3,636</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Equipment (includes $755 and $744, respectively, for capital leases)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13,591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12,379</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Construction in progress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611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209</w:t>
            </w:r>
          </w:p>
        </w:tc>
      </w:tr>
      <w:tr>
        <w:trPr>
          <w:trHeight w:val="189"/>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Software</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18,413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16,598</w:t>
            </w:r>
          </w:p>
        </w:tc>
      </w:tr>
      <w:tr>
        <w:trPr>
          <w:trHeight w:val="189"/>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 (includes $327 and $258, respectively, for capital leases)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(9,602)</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(8,319)</w:t>
            </w:r>
          </w:p>
        </w:tc>
      </w:tr>
      <w:tr>
        <w:trPr>
          <w:trHeight w:val="185"/>
        </w:trPr>
        <w:tc>
          <w:tcPr>
            <w:tcW w:w="88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8,811</w:t>
            </w: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8,279</w:t>
            </w:r>
          </w:p>
        </w:tc>
        <w:tc>
          <w:tcPr>
            <w:tcW w:w="100" w:type="dxa"/>
            <w:vAlign w:val="bottom"/>
            <w:tcBorders>
              <w:top w:val="single" w:sz="8" w:color="CCEEFF"/>
            </w:tcBorders>
          </w:tcPr>
          <w:p>
            <w:pPr>
              <w:spacing w:after="0"/>
              <w:rPr>
                <w:sz w:val="16"/>
                <w:szCs w:val="16"/>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Depreciation expense was $1,976 million, $1,664 million and $1,258 million for 2008, 2007 and 2006,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26630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As of August 30, 2007, the Company had goodwill related to its Memory segment of $463 million. During the second quarter of 2008, the Company wrote off all of the segment’s goodwill based on the results of the Company’s test for impairment. As of August 28, 2008 and August 30, 2007, the Company had goodwill related to its Imaging segment of $58 million and $52 million, respectively. The $6 million increase in goodwill for the Imaging segment during 2008 was due to additional contingent payments made in connection with the Company’s acquisition of the CMOS image sensor business of Avago Technologies Limited. The Company’s assessment of goodwill for impairment in the second and fourth quarters of 2008 indicated that the fair value of the Imaging segment exceeded its carrying value and therefore goodwill in the segment was not impaired.</w:t>
      </w:r>
    </w:p>
    <w:p>
      <w:pPr>
        <w:spacing w:after="0" w:line="167"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SFAS No. 142, “Goodwill and Other Intangible Assets,” requires that goodwill be tested for impairment at a reporting unit level. The Company has determined that its reporting units are its Memory and Imaging segments based on its organizational structure and the financial information that is provided to and reviewed by management. The Company tests goodwill for impairment annually and whenever events or circumstances make it more likely than not that an impairment may have occurred. Goodwill is tested for impairment using a two-step process. In the first step, the fair value of a reporting unit is compared to its carrying value. If the fair value of a reporting unit exceeds the carrying value of the net assets assigned to a reporting unit, goodwill is considered not impaired and no further testing is required. If the carrying value of the net assets assigned to a reporting unit exceeds the fair value of a reporting unit, the second step of the impairment test is performed in order to determine the implied fair value of a reporting unit’s goodwill. Determining the implied fair value of goodwill requires valuation of a reporting unit’s tangible and intangible assets and liabilities in a manner similar to the allocation of purchase price in a business combination. If the carrying value of a reporting unit’s goodwill exceeds its implied fair value, goodwill is deemed impaired and is written down to the extent of the difference.</w:t>
      </w:r>
    </w:p>
    <w:p>
      <w:pPr>
        <w:spacing w:after="0" w:line="174"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In the first and second quarters of 2008, the Company experienced a sustained, significant decline in its stock price. As a result of the decline in stock prices, the Company’s market capitalization fell significantly below the recorded value of its consolidated net assets for most of the second quarter of 2008. The reduced market capitalization reflected, in part, the Memory segment’s lower average selling prices and expected continued weakness in pricing for the Company’s memory products. Accordingly, in the second quarter of 2008, the Company performed an assessment of goodwill for impairment. Based on the results of the Company’s assessment of goodwill for impairment, it was determined that the carrying value of the Memory segment exceeded its estimated fair value. Therefore, the Company performed the second step of the impairment test to determine the implied fair value of goodwill. Specifically, the Company allocated the estimated fair value of the Memory segment as determined in the first step to recognized and unrecognized net assets, including allocations to intangible assets such as intellectual property, customer relationships and brand and trade names. The result of the analysis indicated that there would be no remaining implied value attributable to goodwill in the Memory segment and accordingly, the Company wrote off all $463 million of goodwill associated with its Memory segment as of February 28, 2008.</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52" w:name="page53"/>
    <w:bookmarkEnd w:id="52"/>
    <w:p>
      <w:pPr>
        <w:ind w:right="20"/>
        <w:spacing w:after="0" w:line="285" w:lineRule="auto"/>
        <w:rPr>
          <w:sz w:val="20"/>
          <w:szCs w:val="20"/>
          <w:color w:val="auto"/>
        </w:rPr>
      </w:pPr>
      <w:r>
        <w:rPr>
          <w:rFonts w:ascii="Arial" w:cs="Arial" w:eastAsia="Arial" w:hAnsi="Arial"/>
          <w:sz w:val="14"/>
          <w:szCs w:val="14"/>
          <w:color w:val="auto"/>
        </w:rPr>
        <w:t>In the first step of the impairment analysis, the Company performed extensive valuation analyses utilizing both income and market approaches to determine the fair value of its reporting units. Under the income approach, the Company determined the fair value based on estimated future cash flows discounted by an estimated weighted-average cost of capital, which reflects the overall level of inherent risk of a reporting unit and the rate of return an outside investor would expect to earn. Estimated future cash flows were based on the Company’s internal projection models, industry projections and other assumptions deemed reasonable by management. Under the market-based approach, the Company derived the fair value of its reporting units based on revenue and earnings multiples of comparable publicly-traded peer companies. In the second step of the impairment analysis, the Company determined the implied fair value of goodwill for the Memory segment by allocating the fair value of the segment to all of its assets and liabilities in accordance with SFAS No. 141, “Business Combinations,” as if the segment had been acquired in a business combination and the price paid to acquire it was the fair value.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Accounts Payable and Accrued Expenses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7"/>
                <w:szCs w:val="17"/>
                <w:color w:val="auto"/>
              </w:rPr>
            </w:pPr>
          </w:p>
        </w:tc>
      </w:tr>
      <w:tr>
        <w:trPr>
          <w:trHeight w:val="185"/>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856</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Salaries, wages and benefits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247</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Customer advances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85</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Income and other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33</w:t>
            </w:r>
          </w:p>
        </w:tc>
      </w:tr>
      <w:tr>
        <w:trPr>
          <w:trHeight w:val="189"/>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882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1,111</w:t>
            </w: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1,385</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As of August 28, 2008 and August 30, 2007, customer advances included $129 million and $83 million, respectively, for the Company’s obligation to provide certain NAND Flash memory products to Apple Computer, Inc. (“Apple”) until December 31, 2010 pursuant to a prepaid NAND Flash supply agreement. As of August 28, 2008 and August 30, 2007, other accounts payable and accrued expenses included $16 million and $17 million, respectively, for amounts due to Intel for NAND Flash product design and process development and licensing fees pursuant to a product designs development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As of August 28, 2008 and August 30, 2007, other noncurrent liabilities included $83 million and $167 million, respectively, pursuant to the supply agreement with Apple.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Debt</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7"/>
                <w:szCs w:val="17"/>
                <w:color w:val="auto"/>
              </w:rPr>
            </w:pPr>
          </w:p>
        </w:tc>
      </w:tr>
      <w:tr>
        <w:trPr>
          <w:trHeight w:val="185"/>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Convertible senior notes payable, interest rate of 1.875%, due June 2014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1,300</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Notes payable in periodic installments through July 2015, weighted-average interest rates of 4.5%</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699</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374</w:t>
            </w:r>
          </w:p>
        </w:tc>
      </w:tr>
      <w:tr>
        <w:trPr>
          <w:trHeight w:val="17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Capital lease obligations payable in monthly installments through February 2023, weighted-average imputed interest rate of</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88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6.6%</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657</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666</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Convertible subordinated notes payable, interest rate of 5.6%, due April 2010</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70</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70</w:t>
            </w:r>
          </w:p>
        </w:tc>
      </w:tr>
      <w:tr>
        <w:trPr>
          <w:trHeight w:val="23"/>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5"/>
        </w:trPr>
        <w:tc>
          <w:tcPr>
            <w:tcW w:w="8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2,726</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2,410</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Less current portion</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(275)</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(423)</w:t>
            </w:r>
          </w:p>
        </w:tc>
      </w:tr>
      <w:tr>
        <w:trPr>
          <w:trHeight w:val="23"/>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8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2,451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1,987</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As of August 28, 2008, notes payable and capital lease obligations above included an aggregate of $108 million, denominated in Japanese yen, at a weighted-average interest rate of</w:t>
      </w:r>
    </w:p>
    <w:p>
      <w:pPr>
        <w:spacing w:after="0" w:line="35" w:lineRule="exact"/>
        <w:rPr>
          <w:sz w:val="20"/>
          <w:szCs w:val="20"/>
          <w:color w:val="auto"/>
        </w:rPr>
      </w:pPr>
    </w:p>
    <w:p>
      <w:pPr>
        <w:jc w:val="both"/>
        <w:ind w:right="80"/>
        <w:spacing w:after="0" w:line="313" w:lineRule="auto"/>
        <w:rPr>
          <w:sz w:val="20"/>
          <w:szCs w:val="20"/>
          <w:color w:val="auto"/>
        </w:rPr>
      </w:pPr>
      <w:r>
        <w:rPr>
          <w:rFonts w:ascii="Arial" w:cs="Arial" w:eastAsia="Arial" w:hAnsi="Arial"/>
          <w:sz w:val="14"/>
          <w:szCs w:val="14"/>
          <w:color w:val="auto"/>
        </w:rPr>
        <w:t>1.6%, which was subject to customary covenants, including the ratio of debt to equity. As of August 28, 2008, the Company was in compliance with these customary covenants. Notes payable and capital lease obligations as of August 28, 2008 also included $49 million, denominated in Singapore dollars, at a weighted average interest rate of 6.0%.</w:t>
      </w:r>
    </w:p>
    <w:p>
      <w:pPr>
        <w:spacing w:after="0" w:line="150"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During the second quarter of 2008, the Company’s joint venture subsidiary, TECH Semiconductor Singapore Pte. Ltd. (“TECH”), borrowed $240 million against a credit facility at Singapore Interbank Offered Rate (“SIBOR”) plus 2.5%. During the third quarter of 2008, TECH entered into a new credit facility enabling TECH to borrow up to $600 million at SIBOR plus 2.5%. During 2008, TECH drew $600 million under the new credit facility and retired the previous credit facility by paying off the $240 million outstanding balance. The new credit facility is collateralized by substantially all of the assets of TECH (approximately $1,741 million as of August 28, 2008) and contains covenants that, among other requirements, establish certain liquidity, debt service coverage and leverage ratios, and restrict TECH’s ability to incur indebtedness, create liens and acquire or dispose of</w:t>
      </w:r>
    </w:p>
    <w:p>
      <w:pPr>
        <w:spacing w:after="0" w:line="2" w:lineRule="exact"/>
        <w:rPr>
          <w:sz w:val="20"/>
          <w:szCs w:val="20"/>
          <w:color w:val="auto"/>
        </w:rPr>
      </w:pPr>
    </w:p>
    <w:p>
      <w:pPr>
        <w:jc w:val="both"/>
        <w:ind w:right="280"/>
        <w:spacing w:after="0" w:line="294" w:lineRule="auto"/>
        <w:rPr>
          <w:sz w:val="20"/>
          <w:szCs w:val="20"/>
          <w:color w:val="auto"/>
        </w:rPr>
      </w:pPr>
      <w:r>
        <w:rPr>
          <w:rFonts w:ascii="Arial" w:cs="Arial" w:eastAsia="Arial" w:hAnsi="Arial"/>
          <w:sz w:val="14"/>
          <w:szCs w:val="14"/>
          <w:color w:val="auto"/>
        </w:rPr>
        <w:t>assets. Payments under the new facility are due in approximately equal installments over 13 quarters commencing in May 2009. Beginning March 2009, TECH will be required to maintain $30 million in restricted cash and this restricted cash requirement will increase to $60 million in September 2009. The Company has guaranteed approximately 73% of the outstanding amount of the facility, with the Company’s obligation increasing to 100% of the outstanding amount of the facility upon the occurrence of certain conditions.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53" w:name="page54"/>
    <w:bookmarkEnd w:id="53"/>
    <w:p>
      <w:pPr>
        <w:ind w:right="320"/>
        <w:spacing w:after="0" w:line="290" w:lineRule="auto"/>
        <w:rPr>
          <w:sz w:val="20"/>
          <w:szCs w:val="20"/>
          <w:color w:val="auto"/>
        </w:rPr>
      </w:pPr>
      <w:r>
        <w:rPr>
          <w:rFonts w:ascii="Arial" w:cs="Arial" w:eastAsia="Arial" w:hAnsi="Arial"/>
          <w:sz w:val="15"/>
          <w:szCs w:val="15"/>
          <w:color w:val="auto"/>
        </w:rPr>
        <w:t>In 2008, the Company received $111 million in proceeds from sales-leaseback transactions and in connection with these transactions, recorded capital lease obligations aggregating $110 million with a weighted-average imputed interest rate of 6.7% and payable in periodic installments through June 2012.</w:t>
      </w:r>
    </w:p>
    <w:p>
      <w:pPr>
        <w:spacing w:after="0" w:line="163"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In May 2007, the Company issued $1.3 billion of 1.875% Convertible Senior Notes due June 1, 2014 (the “Senior Notes”). The issuance costs associated with the Senior Notes totaled $26 million and the net proceeds to the Company from the offering of the Senior Notes were $1,274 million. The initial conversion rate for the Senior Notes is 70.2679 shares of common stock per $1,000 principal amount of Senior Notes, equivalent to an initial conversion price of approximately $14.23 per share of common stock. Holders may convert the Senior Notes prior to the close of business on the business day immediately preceding the maturity date for the Senior Notes only under the following circumstances: (1) during any calendar quarter beginning after August 30, 2007 (and only during such calendar quarter), if the closing price of the Company's common stock for at least 20 trading days in the 30 consecutive trading days ending on the last trading day of the immediately preceding calendar quarter is more than 130% of the then applicable conversion price per share of the Senior Notes; (2) if the Senior Notes have been called for redemption; (3) if specified distributions to holders of the Company's common stock are made, or specified corporate events occur, as specified in the indenture for the Senior Notes; (4) during the five business days after any five consecutive trading day period in which the trading price per $1,000 principal amount of Senior Notes for each day of that period was less than 98% of the product of the closing price of the Company’s common stock and the then applicable conversion rate of the Senior Notes; or (5) at any time on or after March 1, 2014. Upon conversion, the Company will have the right to deliver, in lieu of shares of its common stock, cash or a combination of cash and shares of common stock. If a holder elects to convert its Senior Notes in connection with a make-whole change in control, as defined in the indenture, the Company will, in certain circumstances, pay a make-whole premium by increasing the conversion rate for the Senior Notes converted in connection with such make-whole change in control. On or after June 6, 2011, the Company may redeem for cash all or part of the Senior Notes if the last reported sale price of its common stock has been at least 130% of the conversion price then in effect for at least 20 trading days during any 30 consecutive trading day period ending within five trading days prior to the date on which the Company provides notice of redemption. The redemption price is 100% of the principal amount of the Senior Notes to be redeemed, plus accrued and unpaid interest. Upon a change in control or a termination of trading, as defined in the indenture, the holders may require the Company to repurchase for cash all or a portion of their Senior Notes at a repurchase price equal to 100% of the principal amount of the Senior Notes, plus accrued and unpaid interest, if any. The Company expects that the accounting for the Senior Notes will be significantly impacted by adoption of FSP No. APB 14-1, which is effective at the beginning of 2010 and will require the Company to retrospectively account for the Senior Notes from their issuance date. (See “Significant Accounting Policies – Recently issued accounting standards.”)</w:t>
      </w:r>
    </w:p>
    <w:p>
      <w:pPr>
        <w:spacing w:after="0" w:line="177"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In connection with the Company’s acquisition of Lexar Media, Inc. (“Lexar”) in the fourth quarter of 2006, the Company assumed Lexar’s $70 million 5.625% convertible notes due April 1, 2010 (the “Lexar Notes”). The Lexar Notes are convertible into the Company’s common stock any time at the option of the holders of the Lexar Notes at a price equal to approximately $11.28 per share and are subject to customary covenants. The Lexar Notes became redeemable for cash at the Company’s option on April 1, 2008, at a price equal to the principal amount plus accrued interest plus the net present value of the remaining scheduled interest payments through April 1, 2010. The Company may only redeem the Lexar Notes if its common stock has exceeded 175% of the conversion price for at least 20 trading days in the 30 consecutive trading days prior to delivery of a notice of redemption.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Certain notes payable are collateralized by property, plant and equipment with a carrying value of $28 million as of August 28, 2008.</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4" w:name="page55"/>
    <w:bookmarkEnd w:id="54"/>
    <w:p>
      <w:pPr>
        <w:spacing w:after="0"/>
        <w:rPr>
          <w:sz w:val="20"/>
          <w:szCs w:val="20"/>
          <w:color w:val="auto"/>
        </w:rPr>
      </w:pPr>
      <w:r>
        <w:rPr>
          <w:rFonts w:ascii="Arial" w:cs="Arial" w:eastAsia="Arial" w:hAnsi="Arial"/>
          <w:sz w:val="15"/>
          <w:szCs w:val="15"/>
          <w:color w:val="auto"/>
        </w:rPr>
        <w:t>As of August 28, 2008, maturities of notes payable and future minimum lease payments under capital lease obligations were as follows:</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9"/>
              </w:rPr>
              <w:t>Capital</w:t>
            </w:r>
          </w:p>
        </w:tc>
      </w:tr>
      <w:tr>
        <w:trPr>
          <w:trHeight w:val="185"/>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Notes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Lease</w:t>
            </w:r>
          </w:p>
        </w:tc>
      </w:tr>
      <w:tr>
        <w:trPr>
          <w:trHeight w:val="205"/>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Payable</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Obligations</w:t>
            </w:r>
          </w:p>
        </w:tc>
      </w:tr>
      <w:tr>
        <w:trPr>
          <w:trHeight w:val="185"/>
        </w:trPr>
        <w:tc>
          <w:tcPr>
            <w:tcW w:w="3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5"/>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2009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215</w:t>
            </w:r>
          </w:p>
        </w:tc>
      </w:tr>
      <w:tr>
        <w:trPr>
          <w:trHeight w:val="185"/>
        </w:trPr>
        <w:tc>
          <w:tcPr>
            <w:tcW w:w="3600" w:type="dxa"/>
            <w:vAlign w:val="bottom"/>
          </w:tcPr>
          <w:p>
            <w:pPr>
              <w:spacing w:after="0"/>
              <w:rPr>
                <w:sz w:val="20"/>
                <w:szCs w:val="20"/>
                <w:color w:val="auto"/>
              </w:rPr>
            </w:pPr>
            <w:r>
              <w:rPr>
                <w:rFonts w:ascii="Arial" w:cs="Arial" w:eastAsia="Arial" w:hAnsi="Arial"/>
                <w:sz w:val="15"/>
                <w:szCs w:val="15"/>
                <w:color w:val="auto"/>
              </w:rPr>
              <w:t>2010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148</w:t>
            </w:r>
          </w:p>
        </w:tc>
      </w:tr>
      <w:tr>
        <w:trPr>
          <w:trHeight w:val="185"/>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2011</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261</w:t>
            </w:r>
          </w:p>
        </w:tc>
      </w:tr>
      <w:tr>
        <w:trPr>
          <w:trHeight w:val="185"/>
        </w:trPr>
        <w:tc>
          <w:tcPr>
            <w:tcW w:w="3600" w:type="dxa"/>
            <w:vAlign w:val="bottom"/>
          </w:tcPr>
          <w:p>
            <w:pPr>
              <w:spacing w:after="0"/>
              <w:rPr>
                <w:sz w:val="20"/>
                <w:szCs w:val="20"/>
                <w:color w:val="auto"/>
              </w:rPr>
            </w:pPr>
            <w:r>
              <w:rPr>
                <w:rFonts w:ascii="Arial" w:cs="Arial" w:eastAsia="Arial" w:hAnsi="Arial"/>
                <w:sz w:val="15"/>
                <w:szCs w:val="15"/>
                <w:color w:val="auto"/>
              </w:rPr>
              <w:t>2012</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6"/>
                <w:szCs w:val="16"/>
                <w:color w:val="auto"/>
              </w:rPr>
            </w:pPr>
          </w:p>
        </w:tc>
      </w:tr>
      <w:tr>
        <w:trPr>
          <w:trHeight w:val="185"/>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2013</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16"/>
                <w:szCs w:val="16"/>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5"/>
                <w:szCs w:val="15"/>
                <w:color w:val="auto"/>
              </w:rPr>
              <w:t>2014 and thereafter</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w:t>
            </w:r>
          </w:p>
        </w:tc>
        <w:tc>
          <w:tcPr>
            <w:tcW w:w="120" w:type="dxa"/>
            <w:vAlign w:val="bottom"/>
          </w:tcPr>
          <w:p>
            <w:pPr>
              <w:spacing w:after="0"/>
              <w:rPr>
                <w:sz w:val="16"/>
                <w:szCs w:val="16"/>
                <w:color w:val="auto"/>
              </w:rPr>
            </w:pPr>
          </w:p>
        </w:tc>
      </w:tr>
      <w:tr>
        <w:trPr>
          <w:trHeight w:val="185"/>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Discount and interest, respectively</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(110)</w:t>
            </w:r>
          </w:p>
        </w:tc>
      </w:tr>
      <w:tr>
        <w:trPr>
          <w:trHeight w:val="23"/>
        </w:trPr>
        <w:tc>
          <w:tcPr>
            <w:tcW w:w="36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5"/>
        </w:trPr>
        <w:tc>
          <w:tcPr>
            <w:tcW w:w="3600" w:type="dxa"/>
            <w:vAlign w:val="bottom"/>
          </w:tcPr>
          <w:p>
            <w:pPr>
              <w:spacing w:after="0"/>
              <w:rPr>
                <w:sz w:val="16"/>
                <w:szCs w:val="16"/>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2,069</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657</w:t>
            </w:r>
          </w:p>
        </w:tc>
      </w:tr>
      <w:tr>
        <w:trPr>
          <w:trHeight w:val="20"/>
        </w:trPr>
        <w:tc>
          <w:tcPr>
            <w:tcW w:w="3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218"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As of August 28, 2008, the Company had commitments of approximately $300 million for the acquisition of property, plant and equipment. The Company leases certain facilities and equipment under operating leases. Total rental expense was $39 million, $62 million and $30 million for 2008, 2007 and 2006, respectively. Minimum future rental commitments under operating leases aggregated $94 million as of August 28, 2008 and are payable as follows: $18 million in 2009; $15 million in 2010; $13 million in 2011, $11 million in 2012, $11 million in 2013 and $26 million in 2014 and thereafter.</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218" w:lineRule="exact"/>
        <w:rPr>
          <w:sz w:val="20"/>
          <w:szCs w:val="20"/>
          <w:color w:val="auto"/>
        </w:rPr>
      </w:pPr>
    </w:p>
    <w:p>
      <w:pPr>
        <w:jc w:val="both"/>
        <w:ind w:right="220"/>
        <w:spacing w:after="0" w:line="274" w:lineRule="auto"/>
        <w:rPr>
          <w:sz w:val="20"/>
          <w:szCs w:val="20"/>
          <w:color w:val="auto"/>
        </w:rPr>
      </w:pPr>
      <w:r>
        <w:rPr>
          <w:rFonts w:ascii="Arial" w:cs="Arial" w:eastAsia="Arial" w:hAnsi="Arial"/>
          <w:sz w:val="15"/>
          <w:szCs w:val="15"/>
          <w:color w:val="auto"/>
        </w:rPr>
        <w:t>The Company has accrued a liability and charged operations for the estimated costs of adjudication or settlement of various asserted and unasserted claims existing as of the balance sheet date, including those described below. The Company is currently a party to other legal actions arising out of the normal course of business, none of which is expected to have a material adverse effect on the Company’s business, results of operations or financial condition.</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 Company is involved in the following patent, antitrust, securities and Lexar matters.</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i w:val="1"/>
          <w:iCs w:val="1"/>
          <w:color w:val="auto"/>
        </w:rPr>
        <w:t xml:space="preserve">Patent Matters: </w:t>
      </w:r>
      <w:r>
        <w:rPr>
          <w:rFonts w:ascii="Arial" w:cs="Arial" w:eastAsia="Arial" w:hAnsi="Arial"/>
          <w:sz w:val="14"/>
          <w:szCs w:val="14"/>
          <w:color w:val="auto"/>
        </w:rPr>
        <w:t>As is typical in the semiconductor and other high technology industries, from time to time, others have asserted, and may in the future assert, that the Company’s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The Company also is engaged in patent litigation with Mosaid Technologies, Inc. (“Mosaid”) in both the U.S. District Court for the Northern District of California and the U.S. District Court for the Eastern District of Texas. Among other things, the above lawsuits pertain to certain of the Company’s SDRAM, DDR SDRAM, DDR2 SDRAM, DDR3 SDRAM, RLDRAM and image sensor products, which account for a significant portion of net sales.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The Company is unable to predict the outcome of assertions of infringement made against the Company and therefore cannot estimate the range of possible loss.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55" w:name="page56"/>
    <w:bookmarkEnd w:id="55"/>
    <w:p>
      <w:pPr>
        <w:spacing w:after="0" w:line="262" w:lineRule="auto"/>
        <w:rPr>
          <w:sz w:val="20"/>
          <w:szCs w:val="20"/>
          <w:color w:val="auto"/>
        </w:rPr>
      </w:pPr>
      <w:r>
        <w:rPr>
          <w:rFonts w:ascii="Arial" w:cs="Arial" w:eastAsia="Arial" w:hAnsi="Arial"/>
          <w:sz w:val="15"/>
          <w:szCs w:val="15"/>
          <w:b w:val="1"/>
          <w:bCs w:val="1"/>
          <w:i w:val="1"/>
          <w:iCs w:val="1"/>
          <w:color w:val="auto"/>
        </w:rPr>
        <w:t xml:space="preserve">Antitrust Matters: </w:t>
      </w:r>
      <w:r>
        <w:rPr>
          <w:rFonts w:ascii="Arial" w:cs="Arial" w:eastAsia="Arial" w:hAnsi="Arial"/>
          <w:sz w:val="15"/>
          <w:szCs w:val="15"/>
          <w:color w:val="auto"/>
        </w:rPr>
        <w:t>At least sixty-eight purported class action price-fixing lawsuits have been filed against the Company and other DRAM suppliers in various federal and state courts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treble damages sustained by purported class members in addition to restitution, costs and attorneys’ fees. A number of these cases have been removed to federal court and transferred to the U.S. District Court for the Northern District of California for consolidated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accepted plaintiffs’ interlocutory appeal.</w:t>
      </w:r>
    </w:p>
    <w:p>
      <w:pPr>
        <w:spacing w:after="0" w:line="186"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Three states, Ohio, New Hampshire, and Texas, subsequently voluntarily dismissed their claims. The remaining states filed a third amended complaint on October 1, 2007. Alaska, Delaware, and Vermont subsequently voluntarily dismissed their claims. The amended complaint alleges, among other things, violations of the Sherman Act, Cartwright Act, and certain other states’ consumer protection and antitrust laws and seeks damages, and injunctive and other</w:t>
      </w:r>
    </w:p>
    <w:p>
      <w:pPr>
        <w:spacing w:after="0" w:line="3"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82" w:lineRule="exact"/>
        <w:rPr>
          <w:sz w:val="20"/>
          <w:szCs w:val="20"/>
          <w:color w:val="auto"/>
        </w:rPr>
      </w:pPr>
    </w:p>
    <w:p>
      <w:pPr>
        <w:ind w:right="120"/>
        <w:spacing w:after="0" w:line="302" w:lineRule="auto"/>
        <w:rPr>
          <w:sz w:val="20"/>
          <w:szCs w:val="20"/>
          <w:color w:val="auto"/>
        </w:rPr>
      </w:pPr>
      <w:r>
        <w:rPr>
          <w:rFonts w:ascii="Arial" w:cs="Arial" w:eastAsia="Arial" w:hAnsi="Arial"/>
          <w:sz w:val="14"/>
          <w:szCs w:val="14"/>
          <w:color w:val="auto"/>
        </w:rPr>
        <w:t>Three purported class action DRAM lawsuits also have been filed in Quebec, Ontario, and British Columbia, Canada, on behalf of direct and indirect purchasers, alleging violations of the Canadian Competition Act. The substantive allegations in these cases are similar to those asserted in the cases filed in the United States. In May and June 2008 respectively, plaintiffs’ motion for class certification was denied in the British Columbia and Quebec cases. Plaintiffs subsequently filed an appeal of each of those decisions.</w:t>
      </w:r>
    </w:p>
    <w:p>
      <w:pPr>
        <w:spacing w:after="0" w:line="157"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damages, injunctive relief, and other remedies.</w:t>
      </w:r>
    </w:p>
    <w:p>
      <w:pPr>
        <w:spacing w:after="0" w:line="174" w:lineRule="exact"/>
        <w:rPr>
          <w:sz w:val="20"/>
          <w:szCs w:val="20"/>
          <w:color w:val="auto"/>
        </w:rPr>
      </w:pPr>
    </w:p>
    <w:p>
      <w:pPr>
        <w:ind w:right="180"/>
        <w:spacing w:after="0" w:line="274" w:lineRule="auto"/>
        <w:rPr>
          <w:sz w:val="20"/>
          <w:szCs w:val="20"/>
          <w:color w:val="auto"/>
        </w:rPr>
      </w:pPr>
      <w:r>
        <w:rPr>
          <w:rFonts w:ascii="Arial" w:cs="Arial" w:eastAsia="Arial" w:hAnsi="Arial"/>
          <w:sz w:val="15"/>
          <w:szCs w:val="15"/>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174"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November 1, 1996 through December 31, 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November 1, 1996 through December 31, 2006. In September 2008, a class of direct purchasers was certified, and plaintiffs were granted leave to amend their complaint to cover Pseudo-Static RAM or “PSRAM” products as well. The complaints allege price fixing in violation of federal antitrust laws and state antitrust and unfair competition laws and seek treble monetary damages, restitution, costs, interest and attorneys’ fees.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6" w:name="page57"/>
    <w:bookmarkEnd w:id="56"/>
    <w:p>
      <w:pPr>
        <w:ind w:right="380"/>
        <w:spacing w:after="0" w:line="290" w:lineRule="auto"/>
        <w:rPr>
          <w:sz w:val="20"/>
          <w:szCs w:val="20"/>
          <w:color w:val="auto"/>
        </w:rPr>
      </w:pPr>
      <w:r>
        <w:rPr>
          <w:rFonts w:ascii="Arial" w:cs="Arial" w:eastAsia="Arial" w:hAnsi="Arial"/>
          <w:sz w:val="15"/>
          <w:szCs w:val="15"/>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63" w:lineRule="exact"/>
        <w:rPr>
          <w:sz w:val="20"/>
          <w:szCs w:val="20"/>
          <w:color w:val="auto"/>
        </w:rPr>
      </w:pPr>
    </w:p>
    <w:p>
      <w:pPr>
        <w:ind w:right="180"/>
        <w:spacing w:after="0" w:line="328" w:lineRule="auto"/>
        <w:rPr>
          <w:sz w:val="20"/>
          <w:szCs w:val="20"/>
          <w:color w:val="auto"/>
        </w:rPr>
      </w:pPr>
      <w:r>
        <w:rPr>
          <w:rFonts w:ascii="Arial" w:cs="Arial" w:eastAsia="Arial" w:hAnsi="Arial"/>
          <w:sz w:val="14"/>
          <w:szCs w:val="14"/>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Trial is currently scheduled to begin in March 2009. The complaint seeks treble damages, punitive damages, attorneys’ fees, costs, and a permanent injunction enjoining the defendants from the conduct alleged in the complaint.</w:t>
      </w:r>
    </w:p>
    <w:p>
      <w:pPr>
        <w:spacing w:after="0" w:line="180" w:lineRule="exact"/>
        <w:rPr>
          <w:sz w:val="20"/>
          <w:szCs w:val="20"/>
          <w:color w:val="auto"/>
        </w:rPr>
      </w:pPr>
    </w:p>
    <w:p>
      <w:pPr>
        <w:ind w:right="520"/>
        <w:spacing w:after="0" w:line="371" w:lineRule="auto"/>
        <w:rPr>
          <w:sz w:val="20"/>
          <w:szCs w:val="20"/>
          <w:color w:val="auto"/>
        </w:rPr>
      </w:pPr>
      <w:r>
        <w:rPr>
          <w:rFonts w:ascii="Arial" w:cs="Arial" w:eastAsia="Arial" w:hAnsi="Arial"/>
          <w:sz w:val="13"/>
          <w:szCs w:val="13"/>
          <w:color w:val="auto"/>
        </w:rPr>
        <w:t>The Company is unable to predict the outcome of these lawsuits and investigations and therefore cannot estimate the range of possible loss. The final resolution of these alleged violations of antitrust laws could result in significant liability and could have a material adverse effect on the Company’s business, results of operations or financial condition.</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5"/>
          <w:szCs w:val="15"/>
          <w:b w:val="1"/>
          <w:bCs w:val="1"/>
          <w:i w:val="1"/>
          <w:iCs w:val="1"/>
          <w:color w:val="auto"/>
        </w:rPr>
        <w:t xml:space="preserve">Securities Matters: </w:t>
      </w:r>
      <w:r>
        <w:rPr>
          <w:rFonts w:ascii="Arial" w:cs="Arial" w:eastAsia="Arial" w:hAnsi="Arial"/>
          <w:sz w:val="15"/>
          <w:szCs w:val="15"/>
          <w:color w:val="auto"/>
        </w:rPr>
        <w:t>On February 24, 2006, a putative class action complaint was filed against the Company and certain of its officers in the U.S. District Court for the District of Idaho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84"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Court of Appeals.</w:t>
      </w:r>
    </w:p>
    <w:p>
      <w:pPr>
        <w:spacing w:after="0" w:line="174" w:lineRule="exact"/>
        <w:rPr>
          <w:sz w:val="20"/>
          <w:szCs w:val="20"/>
          <w:color w:val="auto"/>
        </w:rPr>
      </w:pPr>
    </w:p>
    <w:p>
      <w:pPr>
        <w:ind w:right="600"/>
        <w:spacing w:after="0" w:line="328" w:lineRule="auto"/>
        <w:rPr>
          <w:sz w:val="20"/>
          <w:szCs w:val="20"/>
          <w:color w:val="auto"/>
        </w:rPr>
      </w:pPr>
      <w:r>
        <w:rPr>
          <w:rFonts w:ascii="Arial" w:cs="Arial" w:eastAsia="Arial" w:hAnsi="Arial"/>
          <w:sz w:val="14"/>
          <w:szCs w:val="14"/>
          <w:color w:val="auto"/>
        </w:rPr>
        <w:t>The Company is unable to predict the outcome of these cases and therefore cannot estimate the range of possible loss. A court determination in any of these actions against the Company could result in significant liability and could have a material adverse effect on the Company’s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Capped Call Transactions</w:t>
      </w:r>
    </w:p>
    <w:p>
      <w:pPr>
        <w:spacing w:after="0" w:line="218"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In connection with the offering of the Senior Notes in May 2007, the Company entered into three capped call transactions (the “Capped Calls”). The Capped Calls each have an initial strike price of approximately $14.23 per share, subject to certain adjustments, which matches the initial conversion price of the Senior Notes. The Capped Calls are in three equal tranches, have cap prices of $17.25, $20.13 and $23.00 per share, and cover, subject to anti-dilution adjustments similar to those contained in the Senior Notes, an approximate combined total of 91.3 million shares of common stock. The Capped Calls may reduce the potential dilution upon conversion of the Senior Notes. Settlement of the Capped Calls in cash on their respective expiration dates would result in the Company receiving an amount ranging from zero if the market price per share of the Company’s common stock is at or below $14.23 to a maximum of $538 million. The Company paid $151 million to purchase the Capped Calls. The Capped Calls expire on various dates between November 2011 and December 2012. The Capped Calls are considered capital transactions and the related cost was recorded as a charge to additional capital.</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Equity</w:t>
      </w:r>
    </w:p>
    <w:p>
      <w:pPr>
        <w:spacing w:after="0" w:line="218"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b w:val="1"/>
          <w:bCs w:val="1"/>
          <w:i w:val="1"/>
          <w:iCs w:val="1"/>
          <w:color w:val="auto"/>
        </w:rPr>
        <w:t xml:space="preserve">Stock Rights: </w:t>
      </w:r>
      <w:r>
        <w:rPr>
          <w:rFonts w:ascii="Arial" w:cs="Arial" w:eastAsia="Arial" w:hAnsi="Arial"/>
          <w:sz w:val="15"/>
          <w:szCs w:val="15"/>
          <w:color w:val="auto"/>
        </w:rPr>
        <w:t>As of August 28, 2008, Intel held stock rights exchangeable into approximately 16.9 million shares of the Company’s common stock. The shares are issuable pursuant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stock rights are included in weighted-average common shares outstanding in the computations of earnings per share.</w:t>
      </w:r>
    </w:p>
    <w:p>
      <w:pPr>
        <w:spacing w:after="0" w:line="163" w:lineRule="exact"/>
        <w:rPr>
          <w:sz w:val="20"/>
          <w:szCs w:val="20"/>
          <w:color w:val="auto"/>
        </w:rPr>
      </w:pPr>
    </w:p>
    <w:p>
      <w:pPr>
        <w:ind w:right="20"/>
        <w:spacing w:after="0" w:line="328" w:lineRule="auto"/>
        <w:rPr>
          <w:sz w:val="20"/>
          <w:szCs w:val="20"/>
          <w:color w:val="auto"/>
        </w:rPr>
      </w:pPr>
      <w:r>
        <w:rPr>
          <w:rFonts w:ascii="Arial" w:cs="Arial" w:eastAsia="Arial" w:hAnsi="Arial"/>
          <w:sz w:val="14"/>
          <w:szCs w:val="14"/>
          <w:b w:val="1"/>
          <w:bCs w:val="1"/>
          <w:i w:val="1"/>
          <w:iCs w:val="1"/>
          <w:color w:val="auto"/>
        </w:rPr>
        <w:t xml:space="preserve">Stock Warrants: </w:t>
      </w:r>
      <w:r>
        <w:rPr>
          <w:rFonts w:ascii="Arial" w:cs="Arial" w:eastAsia="Arial" w:hAnsi="Arial"/>
          <w:sz w:val="14"/>
          <w:szCs w:val="14"/>
          <w:color w:val="auto"/>
        </w:rPr>
        <w:t>In 2001, the Company received $480 million from the issuance of warrants to purchase 29.1 million shares of the Company’s common stock. The warrants entitled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holders to exercise their warrants and purchase shares of common stock for $56.00 per share at any time through May 15, 2008. The warrants expired unexercised on May 15, 2008.</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Accumulated Other Comprehensive Income (Loss): </w:t>
      </w:r>
      <w:r>
        <w:rPr>
          <w:rFonts w:ascii="Arial" w:cs="Arial" w:eastAsia="Arial" w:hAnsi="Arial"/>
          <w:sz w:val="14"/>
          <w:szCs w:val="14"/>
          <w:color w:val="auto"/>
        </w:rPr>
        <w:t>Accumulated other comprehensive income (loss), net of tax, consisted of the following as of the end of the periods shown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2008</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7"/>
                <w:szCs w:val="17"/>
                <w:color w:val="auto"/>
              </w:rPr>
            </w:pPr>
          </w:p>
        </w:tc>
      </w:tr>
      <w:tr>
        <w:trPr>
          <w:trHeight w:val="185"/>
        </w:trPr>
        <w:tc>
          <w:tcPr>
            <w:tcW w:w="8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Unrealized loss on investments, net</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Unrecognized pension liability</w:t>
            </w:r>
          </w:p>
        </w:tc>
        <w:tc>
          <w:tcPr>
            <w:tcW w:w="8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(5)</w:t>
            </w:r>
          </w:p>
        </w:tc>
      </w:tr>
      <w:tr>
        <w:trPr>
          <w:trHeight w:val="23"/>
        </w:trPr>
        <w:tc>
          <w:tcPr>
            <w:tcW w:w="8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 (loss)</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Plans</w:t>
      </w:r>
    </w:p>
    <w:p>
      <w:pPr>
        <w:spacing w:after="0" w:line="218" w:lineRule="exact"/>
        <w:rPr>
          <w:sz w:val="20"/>
          <w:szCs w:val="20"/>
          <w:color w:val="auto"/>
        </w:rPr>
      </w:pPr>
    </w:p>
    <w:p>
      <w:pPr>
        <w:jc w:val="both"/>
        <w:ind w:right="80"/>
        <w:spacing w:after="0" w:line="274" w:lineRule="auto"/>
        <w:rPr>
          <w:sz w:val="20"/>
          <w:szCs w:val="20"/>
          <w:color w:val="auto"/>
        </w:rPr>
      </w:pPr>
      <w:r>
        <w:rPr>
          <w:rFonts w:ascii="Arial" w:cs="Arial" w:eastAsia="Arial" w:hAnsi="Arial"/>
          <w:sz w:val="15"/>
          <w:szCs w:val="15"/>
          <w:color w:val="auto"/>
        </w:rPr>
        <w:t>As of August 28, 2008, the Company had an aggregate of 200.6 million shares of its common stock reserved for issuance for stock options and restricted stock awards, of which 122.1 million shares were subject to outstanding awards and 78.5 million shares were available for future grants. Awards are subject to terms and conditions as determined by the Company’s Board of Directors.</w:t>
      </w:r>
    </w:p>
    <w:p>
      <w:pPr>
        <w:spacing w:after="0" w:line="174" w:lineRule="exact"/>
        <w:rPr>
          <w:sz w:val="20"/>
          <w:szCs w:val="20"/>
          <w:color w:val="auto"/>
        </w:rPr>
      </w:pPr>
    </w:p>
    <w:p>
      <w:pPr>
        <w:ind w:right="780"/>
        <w:spacing w:after="0" w:line="328" w:lineRule="auto"/>
        <w:rPr>
          <w:sz w:val="20"/>
          <w:szCs w:val="20"/>
          <w:color w:val="auto"/>
        </w:rPr>
      </w:pPr>
      <w:r>
        <w:rPr>
          <w:rFonts w:ascii="Arial" w:cs="Arial" w:eastAsia="Arial" w:hAnsi="Arial"/>
          <w:sz w:val="14"/>
          <w:szCs w:val="14"/>
          <w:b w:val="1"/>
          <w:bCs w:val="1"/>
          <w:i w:val="1"/>
          <w:iCs w:val="1"/>
          <w:color w:val="auto"/>
        </w:rPr>
        <w:t xml:space="preserve">Stock Options: </w:t>
      </w:r>
      <w:r>
        <w:rPr>
          <w:rFonts w:ascii="Arial" w:cs="Arial" w:eastAsia="Arial" w:hAnsi="Arial"/>
          <w:sz w:val="14"/>
          <w:szCs w:val="14"/>
          <w:color w:val="auto"/>
        </w:rPr>
        <w:t>Stock options granted by the Company are generally exercisable in increments of 25% during each year of employment beginning one year from the date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grant. Stock options issued after September 22, 2004 generally expire six years from the date of grant. All other options expire ten years from the grant date.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8" w:name="page59"/>
    <w:bookmarkEnd w:id="58"/>
    <w:p>
      <w:pPr>
        <w:spacing w:after="0"/>
        <w:rPr>
          <w:sz w:val="20"/>
          <w:szCs w:val="20"/>
          <w:color w:val="auto"/>
        </w:rPr>
      </w:pPr>
      <w:r>
        <w:rPr>
          <w:rFonts w:ascii="Arial" w:cs="Arial" w:eastAsia="Arial" w:hAnsi="Arial"/>
          <w:sz w:val="15"/>
          <w:szCs w:val="15"/>
          <w:color w:val="auto"/>
        </w:rPr>
        <w:t>Option activity for 2008 is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Weighted-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average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Weighted-</w:t>
            </w: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remaining</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5"/>
              </w:rPr>
              <w:t>Number of</w:t>
            </w:r>
          </w:p>
        </w:tc>
        <w:tc>
          <w:tcPr>
            <w:tcW w:w="144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89"/>
              </w:rPr>
              <w:t>average exercise</w:t>
            </w: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contractual life</w:t>
            </w:r>
          </w:p>
        </w:tc>
        <w:tc>
          <w:tcPr>
            <w:tcW w:w="2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Aggregate</w:t>
            </w:r>
          </w:p>
        </w:tc>
      </w:tr>
      <w:tr>
        <w:trPr>
          <w:trHeight w:val="205"/>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6"/>
              </w:rPr>
              <w:t>shares</w:t>
            </w:r>
          </w:p>
        </w:tc>
        <w:tc>
          <w:tcPr>
            <w:tcW w:w="1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price per share</w:t>
            </w: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(in years)</w:t>
            </w: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intrinsic value</w:t>
            </w:r>
          </w:p>
        </w:tc>
      </w:tr>
      <w:tr>
        <w:trPr>
          <w:trHeight w:val="185"/>
        </w:trPr>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4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Outstanding at August 30, 2007</w:t>
            </w:r>
          </w:p>
        </w:tc>
        <w:tc>
          <w:tcPr>
            <w:tcW w:w="116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119.5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20.00</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5"/>
                <w:szCs w:val="15"/>
                <w:color w:val="auto"/>
                <w:w w:val="92"/>
              </w:rPr>
              <w:t>Granted</w:t>
            </w:r>
          </w:p>
        </w:tc>
        <w:tc>
          <w:tcPr>
            <w:tcW w:w="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5"/>
                <w:szCs w:val="15"/>
                <w:color w:val="auto"/>
              </w:rPr>
              <w:t>7.4</w:t>
            </w: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6.20</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6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4"/>
              </w:rPr>
              <w:t>Exercised</w:t>
            </w:r>
          </w:p>
        </w:tc>
        <w:tc>
          <w:tcPr>
            <w:tcW w:w="40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(0.2)</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4.34</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680" w:type="dxa"/>
            <w:vAlign w:val="bottom"/>
            <w:gridSpan w:val="3"/>
          </w:tcPr>
          <w:p>
            <w:pPr>
              <w:spacing w:after="0"/>
              <w:rPr>
                <w:sz w:val="20"/>
                <w:szCs w:val="20"/>
                <w:color w:val="auto"/>
              </w:rPr>
            </w:pPr>
            <w:r>
              <w:rPr>
                <w:rFonts w:ascii="Arial" w:cs="Arial" w:eastAsia="Arial" w:hAnsi="Arial"/>
                <w:sz w:val="15"/>
                <w:szCs w:val="15"/>
                <w:color w:val="auto"/>
              </w:rPr>
              <w:t>Cancelled or expired</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5"/>
                <w:szCs w:val="15"/>
                <w:color w:val="auto"/>
              </w:rPr>
              <w:t>(13.8)</w:t>
            </w: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19.01</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4680" w:type="dxa"/>
            <w:vAlign w:val="bottom"/>
            <w:tcBorders>
              <w:bottom w:val="single" w:sz="8" w:color="CCEEFF"/>
            </w:tcBorders>
            <w:gridSpan w:val="3"/>
            <w:shd w:val="clear" w:color="auto" w:fill="CCEEFF"/>
          </w:tcPr>
          <w:p>
            <w:pPr>
              <w:spacing w:after="0" w:line="166" w:lineRule="exact"/>
              <w:rPr>
                <w:sz w:val="20"/>
                <w:szCs w:val="20"/>
                <w:color w:val="auto"/>
              </w:rPr>
            </w:pPr>
            <w:r>
              <w:rPr>
                <w:rFonts w:ascii="Arial" w:cs="Arial" w:eastAsia="Arial" w:hAnsi="Arial"/>
                <w:sz w:val="15"/>
                <w:szCs w:val="15"/>
                <w:color w:val="auto"/>
              </w:rPr>
              <w:t>Outstanding at August 28, 2008</w:t>
            </w: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112.9</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19.24</w:t>
            </w:r>
          </w:p>
        </w:tc>
        <w:tc>
          <w:tcPr>
            <w:tcW w:w="1280" w:type="dxa"/>
            <w:vAlign w:val="bottom"/>
            <w:tcBorders>
              <w:bottom w:val="single" w:sz="8" w:color="CCEEFF"/>
            </w:tcBorders>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3.25</w:t>
            </w:r>
          </w:p>
        </w:tc>
        <w:tc>
          <w:tcPr>
            <w:tcW w:w="200" w:type="dxa"/>
            <w:vAlign w:val="bottom"/>
            <w:tcBorders>
              <w:bottom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w:t>
            </w:r>
          </w:p>
        </w:tc>
      </w:tr>
      <w:tr>
        <w:trPr>
          <w:trHeight w:val="172"/>
        </w:trPr>
        <w:tc>
          <w:tcPr>
            <w:tcW w:w="46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Exercisable at August 28, 2008</w:t>
            </w:r>
          </w:p>
        </w:tc>
        <w:tc>
          <w:tcPr>
            <w:tcW w:w="116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95.8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20.86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96"/>
        </w:trPr>
        <w:tc>
          <w:tcPr>
            <w:tcW w:w="4680" w:type="dxa"/>
            <w:vAlign w:val="bottom"/>
            <w:gridSpan w:val="3"/>
          </w:tcPr>
          <w:p>
            <w:pPr>
              <w:spacing w:after="0"/>
              <w:rPr>
                <w:sz w:val="20"/>
                <w:szCs w:val="20"/>
                <w:color w:val="auto"/>
              </w:rPr>
            </w:pPr>
            <w:r>
              <w:rPr>
                <w:rFonts w:ascii="Arial" w:cs="Arial" w:eastAsia="Arial" w:hAnsi="Arial"/>
                <w:sz w:val="15"/>
                <w:szCs w:val="15"/>
                <w:color w:val="auto"/>
              </w:rPr>
              <w:t>Expected to vest after August 28, 2008</w:t>
            </w:r>
          </w:p>
        </w:tc>
        <w:tc>
          <w:tcPr>
            <w:tcW w:w="1160" w:type="dxa"/>
            <w:vAlign w:val="bottom"/>
          </w:tcPr>
          <w:p>
            <w:pPr>
              <w:spacing w:after="0"/>
              <w:rPr>
                <w:sz w:val="17"/>
                <w:szCs w:val="17"/>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5"/>
                <w:szCs w:val="15"/>
                <w:color w:val="auto"/>
              </w:rPr>
              <w:t>16.2</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10.28</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4.56</w:t>
            </w:r>
          </w:p>
        </w:tc>
        <w:tc>
          <w:tcPr>
            <w:tcW w:w="2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384"/>
        </w:trPr>
        <w:tc>
          <w:tcPr>
            <w:tcW w:w="5840" w:type="dxa"/>
            <w:vAlign w:val="bottom"/>
            <w:gridSpan w:val="4"/>
          </w:tcPr>
          <w:p>
            <w:pPr>
              <w:spacing w:after="0"/>
              <w:rPr>
                <w:sz w:val="20"/>
                <w:szCs w:val="20"/>
                <w:color w:val="auto"/>
              </w:rPr>
            </w:pPr>
            <w:r>
              <w:rPr>
                <w:rFonts w:ascii="Arial" w:cs="Arial" w:eastAsia="Arial" w:hAnsi="Arial"/>
                <w:sz w:val="15"/>
                <w:szCs w:val="15"/>
                <w:color w:val="auto"/>
                <w:w w:val="94"/>
              </w:rPr>
              <w:t>The following table summarizes information about options outstanding as of August 28, 2008:</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5"/>
                <w:szCs w:val="15"/>
                <w:b w:val="1"/>
                <w:bCs w:val="1"/>
                <w:color w:val="auto"/>
                <w:w w:val="92"/>
              </w:rPr>
              <w:t>Outstanding options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ind w:left="620"/>
              <w:spacing w:after="0"/>
              <w:rPr>
                <w:sz w:val="20"/>
                <w:szCs w:val="20"/>
                <w:color w:val="auto"/>
              </w:rPr>
            </w:pPr>
            <w:r>
              <w:rPr>
                <w:rFonts w:ascii="Arial" w:cs="Arial" w:eastAsia="Arial" w:hAnsi="Arial"/>
                <w:sz w:val="15"/>
                <w:szCs w:val="15"/>
                <w:b w:val="1"/>
                <w:bCs w:val="1"/>
                <w:color w:val="auto"/>
              </w:rPr>
              <w:t>Exercisable options</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160"/>
              <w:spacing w:after="0" w:line="169" w:lineRule="exact"/>
              <w:rPr>
                <w:sz w:val="20"/>
                <w:szCs w:val="20"/>
                <w:color w:val="auto"/>
              </w:rPr>
            </w:pPr>
            <w:r>
              <w:rPr>
                <w:rFonts w:ascii="Arial" w:cs="Arial" w:eastAsia="Arial" w:hAnsi="Arial"/>
                <w:sz w:val="15"/>
                <w:szCs w:val="15"/>
                <w:b w:val="1"/>
                <w:bCs w:val="1"/>
                <w:color w:val="auto"/>
                <w:w w:val="93"/>
              </w:rPr>
              <w:t>Weighted-</w:t>
            </w: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93"/>
              </w:rPr>
              <w:t>Weighted-</w:t>
            </w:r>
          </w:p>
        </w:tc>
        <w:tc>
          <w:tcPr>
            <w:tcW w:w="2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43"/>
              <w:spacing w:after="0" w:line="169" w:lineRule="exact"/>
              <w:rPr>
                <w:sz w:val="20"/>
                <w:szCs w:val="20"/>
                <w:color w:val="auto"/>
              </w:rPr>
            </w:pPr>
            <w:r>
              <w:rPr>
                <w:rFonts w:ascii="Arial" w:cs="Arial" w:eastAsia="Arial" w:hAnsi="Arial"/>
                <w:sz w:val="15"/>
                <w:szCs w:val="15"/>
                <w:b w:val="1"/>
                <w:bCs w:val="1"/>
                <w:color w:val="auto"/>
                <w:w w:val="93"/>
              </w:rPr>
              <w:t>Weighted-</w:t>
            </w:r>
          </w:p>
        </w:tc>
        <w:tc>
          <w:tcPr>
            <w:tcW w:w="100" w:type="dxa"/>
            <w:vAlign w:val="bottom"/>
          </w:tcPr>
          <w:p>
            <w:pPr>
              <w:spacing w:after="0"/>
              <w:rPr>
                <w:sz w:val="14"/>
                <w:szCs w:val="14"/>
                <w:color w:val="auto"/>
              </w:rPr>
            </w:pPr>
          </w:p>
        </w:tc>
      </w:tr>
      <w:tr>
        <w:trPr>
          <w:trHeight w:val="185"/>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average</w:t>
            </w:r>
          </w:p>
        </w:tc>
        <w:tc>
          <w:tcPr>
            <w:tcW w:w="14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average</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average</w:t>
            </w:r>
          </w:p>
        </w:tc>
      </w:tr>
      <w:tr>
        <w:trPr>
          <w:trHeight w:val="185"/>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4"/>
              </w:rPr>
              <w:t>remaining</w:t>
            </w:r>
          </w:p>
        </w:tc>
        <w:tc>
          <w:tcPr>
            <w:tcW w:w="14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6"/>
              </w:rPr>
              <w:t>exercise</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exercise</w:t>
            </w:r>
          </w:p>
        </w:tc>
      </w:tr>
      <w:tr>
        <w:trPr>
          <w:trHeight w:val="185"/>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60" w:type="dxa"/>
            <w:vAlign w:val="bottom"/>
          </w:tcPr>
          <w:p>
            <w:pPr>
              <w:jc w:val="right"/>
              <w:ind w:right="223"/>
              <w:spacing w:after="0"/>
              <w:rPr>
                <w:sz w:val="20"/>
                <w:szCs w:val="20"/>
                <w:color w:val="auto"/>
              </w:rPr>
            </w:pPr>
            <w:r>
              <w:rPr>
                <w:rFonts w:ascii="Arial" w:cs="Arial" w:eastAsia="Arial" w:hAnsi="Arial"/>
                <w:sz w:val="15"/>
                <w:szCs w:val="15"/>
                <w:b w:val="1"/>
                <w:bCs w:val="1"/>
                <w:color w:val="auto"/>
              </w:rPr>
              <w:t>Number</w:t>
            </w:r>
          </w:p>
        </w:tc>
        <w:tc>
          <w:tcPr>
            <w:tcW w:w="22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contractual</w:t>
            </w:r>
          </w:p>
        </w:tc>
        <w:tc>
          <w:tcPr>
            <w:tcW w:w="140" w:type="dxa"/>
            <w:vAlign w:val="bottom"/>
          </w:tcPr>
          <w:p>
            <w:pPr>
              <w:spacing w:after="0"/>
              <w:rPr>
                <w:sz w:val="16"/>
                <w:szCs w:val="16"/>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4"/>
              </w:rPr>
              <w:t>price</w:t>
            </w: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8"/>
              </w:rPr>
              <w:t>Number</w:t>
            </w:r>
          </w:p>
        </w:tc>
        <w:tc>
          <w:tcPr>
            <w:tcW w:w="2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price</w:t>
            </w:r>
          </w:p>
        </w:tc>
      </w:tr>
      <w:tr>
        <w:trPr>
          <w:trHeight w:val="205"/>
        </w:trPr>
        <w:tc>
          <w:tcPr>
            <w:tcW w:w="4680" w:type="dxa"/>
            <w:vAlign w:val="bottom"/>
            <w:gridSpan w:val="3"/>
          </w:tcPr>
          <w:p>
            <w:pPr>
              <w:spacing w:after="0"/>
              <w:rPr>
                <w:sz w:val="20"/>
                <w:szCs w:val="20"/>
                <w:color w:val="auto"/>
              </w:rPr>
            </w:pPr>
            <w:r>
              <w:rPr>
                <w:rFonts w:ascii="Arial" w:cs="Arial" w:eastAsia="Arial" w:hAnsi="Arial"/>
                <w:sz w:val="15"/>
                <w:szCs w:val="15"/>
                <w:b w:val="1"/>
                <w:bCs w:val="1"/>
                <w:color w:val="auto"/>
              </w:rPr>
              <w:t>Range of exercise prices</w:t>
            </w:r>
          </w:p>
        </w:tc>
        <w:tc>
          <w:tcPr>
            <w:tcW w:w="1160" w:type="dxa"/>
            <w:vAlign w:val="bottom"/>
          </w:tcPr>
          <w:p>
            <w:pPr>
              <w:jc w:val="right"/>
              <w:ind w:right="203"/>
              <w:spacing w:after="0"/>
              <w:rPr>
                <w:sz w:val="20"/>
                <w:szCs w:val="20"/>
                <w:color w:val="auto"/>
              </w:rPr>
            </w:pPr>
            <w:r>
              <w:rPr>
                <w:rFonts w:ascii="Arial" w:cs="Arial" w:eastAsia="Arial" w:hAnsi="Arial"/>
                <w:sz w:val="15"/>
                <w:szCs w:val="15"/>
                <w:b w:val="1"/>
                <w:bCs w:val="1"/>
                <w:color w:val="auto"/>
              </w:rPr>
              <w:t>of shares</w:t>
            </w:r>
          </w:p>
        </w:tc>
        <w:tc>
          <w:tcPr>
            <w:tcW w:w="22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5"/>
              </w:rPr>
              <w:t>life (in years)</w:t>
            </w:r>
          </w:p>
        </w:tc>
        <w:tc>
          <w:tcPr>
            <w:tcW w:w="140" w:type="dxa"/>
            <w:vAlign w:val="bottom"/>
          </w:tcPr>
          <w:p>
            <w:pPr>
              <w:spacing w:after="0"/>
              <w:rPr>
                <w:sz w:val="17"/>
                <w:szCs w:val="17"/>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per share</w:t>
            </w: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of shares</w:t>
            </w: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per share</w:t>
            </w:r>
          </w:p>
        </w:tc>
      </w:tr>
      <w:tr>
        <w:trPr>
          <w:trHeight w:val="185"/>
        </w:trPr>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  0.51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4040" w:type="dxa"/>
            <w:vAlign w:val="bottom"/>
            <w:shd w:val="clear" w:color="auto" w:fill="CCEEFF"/>
          </w:tcPr>
          <w:p>
            <w:pPr>
              <w:jc w:val="right"/>
              <w:ind w:right="3483"/>
              <w:spacing w:after="0"/>
              <w:rPr>
                <w:sz w:val="20"/>
                <w:szCs w:val="20"/>
                <w:color w:val="auto"/>
              </w:rPr>
            </w:pPr>
            <w:r>
              <w:rPr>
                <w:rFonts w:ascii="Arial" w:cs="Arial" w:eastAsia="Arial" w:hAnsi="Arial"/>
                <w:sz w:val="15"/>
                <w:szCs w:val="15"/>
                <w:color w:val="auto"/>
                <w:w w:val="91"/>
              </w:rPr>
              <w:t>$ 14.02</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w:t>
            </w: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3.73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11.78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12.49</w:t>
            </w:r>
          </w:p>
        </w:tc>
      </w:tr>
      <w:tr>
        <w:trPr>
          <w:trHeight w:val="185"/>
        </w:trPr>
        <w:tc>
          <w:tcPr>
            <w:tcW w:w="520" w:type="dxa"/>
            <w:vAlign w:val="bottom"/>
          </w:tcPr>
          <w:p>
            <w:pPr>
              <w:jc w:val="right"/>
              <w:spacing w:after="0"/>
              <w:rPr>
                <w:sz w:val="20"/>
                <w:szCs w:val="20"/>
                <w:color w:val="auto"/>
              </w:rPr>
            </w:pPr>
            <w:r>
              <w:rPr>
                <w:rFonts w:ascii="Arial" w:cs="Arial" w:eastAsia="Arial" w:hAnsi="Arial"/>
                <w:sz w:val="15"/>
                <w:szCs w:val="15"/>
                <w:color w:val="auto"/>
              </w:rPr>
              <w:t>14.06</w:t>
            </w:r>
          </w:p>
        </w:tc>
        <w:tc>
          <w:tcPr>
            <w:tcW w:w="12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4040" w:type="dxa"/>
            <w:vAlign w:val="bottom"/>
          </w:tcPr>
          <w:p>
            <w:pPr>
              <w:jc w:val="right"/>
              <w:ind w:right="3483"/>
              <w:spacing w:after="0"/>
              <w:rPr>
                <w:sz w:val="20"/>
                <w:szCs w:val="20"/>
                <w:color w:val="auto"/>
              </w:rPr>
            </w:pPr>
            <w:r>
              <w:rPr>
                <w:rFonts w:ascii="Arial" w:cs="Arial" w:eastAsia="Arial" w:hAnsi="Arial"/>
                <w:sz w:val="15"/>
                <w:szCs w:val="15"/>
                <w:color w:val="auto"/>
              </w:rPr>
              <w:t>22.83</w:t>
            </w:r>
          </w:p>
        </w:tc>
        <w:tc>
          <w:tcPr>
            <w:tcW w:w="1160" w:type="dxa"/>
            <w:vAlign w:val="bottom"/>
          </w:tcPr>
          <w:p>
            <w:pPr>
              <w:jc w:val="right"/>
              <w:spacing w:after="0"/>
              <w:rPr>
                <w:sz w:val="20"/>
                <w:szCs w:val="20"/>
                <w:color w:val="auto"/>
              </w:rPr>
            </w:pPr>
            <w:r>
              <w:rPr>
                <w:rFonts w:ascii="Arial" w:cs="Arial" w:eastAsia="Arial" w:hAnsi="Arial"/>
                <w:sz w:val="15"/>
                <w:szCs w:val="15"/>
                <w:color w:val="auto"/>
              </w:rPr>
              <w:t>25.2</w:t>
            </w:r>
          </w:p>
        </w:tc>
        <w:tc>
          <w:tcPr>
            <w:tcW w:w="1540" w:type="dxa"/>
            <w:vAlign w:val="bottom"/>
            <w:gridSpan w:val="3"/>
          </w:tcPr>
          <w:p>
            <w:pPr>
              <w:jc w:val="right"/>
              <w:ind w:right="160"/>
              <w:spacing w:after="0"/>
              <w:rPr>
                <w:sz w:val="20"/>
                <w:szCs w:val="20"/>
                <w:color w:val="auto"/>
              </w:rPr>
            </w:pPr>
            <w:r>
              <w:rPr>
                <w:rFonts w:ascii="Arial" w:cs="Arial" w:eastAsia="Arial" w:hAnsi="Arial"/>
                <w:sz w:val="15"/>
                <w:szCs w:val="15"/>
                <w:color w:val="auto"/>
              </w:rPr>
              <w:t>3.59</w:t>
            </w: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19.08</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23.8</w:t>
            </w:r>
          </w:p>
        </w:tc>
        <w:tc>
          <w:tcPr>
            <w:tcW w:w="2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19.32</w:t>
            </w:r>
          </w:p>
        </w:tc>
      </w:tr>
      <w:tr>
        <w:trPr>
          <w:trHeight w:val="185"/>
        </w:trPr>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4040" w:type="dxa"/>
            <w:vAlign w:val="bottom"/>
            <w:shd w:val="clear" w:color="auto" w:fill="CCEEFF"/>
          </w:tcPr>
          <w:p>
            <w:pPr>
              <w:jc w:val="right"/>
              <w:ind w:right="3483"/>
              <w:spacing w:after="0"/>
              <w:rPr>
                <w:sz w:val="20"/>
                <w:szCs w:val="20"/>
                <w:color w:val="auto"/>
              </w:rPr>
            </w:pPr>
            <w:r>
              <w:rPr>
                <w:rFonts w:ascii="Arial" w:cs="Arial" w:eastAsia="Arial" w:hAnsi="Arial"/>
                <w:sz w:val="15"/>
                <w:szCs w:val="15"/>
                <w:color w:val="auto"/>
              </w:rPr>
              <w:t>34.06</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1.89</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29.95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17.0</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29.95</w:t>
            </w:r>
          </w:p>
        </w:tc>
      </w:tr>
      <w:tr>
        <w:trPr>
          <w:trHeight w:val="185"/>
        </w:trPr>
        <w:tc>
          <w:tcPr>
            <w:tcW w:w="520" w:type="dxa"/>
            <w:vAlign w:val="bottom"/>
          </w:tcPr>
          <w:p>
            <w:pPr>
              <w:jc w:val="right"/>
              <w:spacing w:after="0"/>
              <w:rPr>
                <w:sz w:val="20"/>
                <w:szCs w:val="20"/>
                <w:color w:val="auto"/>
              </w:rPr>
            </w:pPr>
            <w:r>
              <w:rPr>
                <w:rFonts w:ascii="Arial" w:cs="Arial" w:eastAsia="Arial" w:hAnsi="Arial"/>
                <w:sz w:val="15"/>
                <w:szCs w:val="15"/>
                <w:color w:val="auto"/>
              </w:rPr>
              <w:t>34.09</w:t>
            </w:r>
          </w:p>
        </w:tc>
        <w:tc>
          <w:tcPr>
            <w:tcW w:w="12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4040" w:type="dxa"/>
            <w:vAlign w:val="bottom"/>
          </w:tcPr>
          <w:p>
            <w:pPr>
              <w:jc w:val="right"/>
              <w:ind w:right="3483"/>
              <w:spacing w:after="0"/>
              <w:rPr>
                <w:sz w:val="20"/>
                <w:szCs w:val="20"/>
                <w:color w:val="auto"/>
              </w:rPr>
            </w:pPr>
            <w:r>
              <w:rPr>
                <w:rFonts w:ascii="Arial" w:cs="Arial" w:eastAsia="Arial" w:hAnsi="Arial"/>
                <w:sz w:val="15"/>
                <w:szCs w:val="15"/>
                <w:color w:val="auto"/>
              </w:rPr>
              <w:t>40.06</w:t>
            </w:r>
          </w:p>
        </w:tc>
        <w:tc>
          <w:tcPr>
            <w:tcW w:w="1160" w:type="dxa"/>
            <w:vAlign w:val="bottom"/>
          </w:tcPr>
          <w:p>
            <w:pPr>
              <w:jc w:val="right"/>
              <w:spacing w:after="0"/>
              <w:rPr>
                <w:sz w:val="20"/>
                <w:szCs w:val="20"/>
                <w:color w:val="auto"/>
              </w:rPr>
            </w:pPr>
            <w:r>
              <w:rPr>
                <w:rFonts w:ascii="Arial" w:cs="Arial" w:eastAsia="Arial" w:hAnsi="Arial"/>
                <w:sz w:val="15"/>
                <w:szCs w:val="15"/>
                <w:color w:val="auto"/>
              </w:rPr>
              <w:t>6.0</w:t>
            </w:r>
          </w:p>
        </w:tc>
        <w:tc>
          <w:tcPr>
            <w:tcW w:w="1540" w:type="dxa"/>
            <w:vAlign w:val="bottom"/>
            <w:gridSpan w:val="3"/>
          </w:tcPr>
          <w:p>
            <w:pPr>
              <w:jc w:val="right"/>
              <w:ind w:right="160"/>
              <w:spacing w:after="0"/>
              <w:rPr>
                <w:sz w:val="20"/>
                <w:szCs w:val="20"/>
                <w:color w:val="auto"/>
              </w:rPr>
            </w:pPr>
            <w:r>
              <w:rPr>
                <w:rFonts w:ascii="Arial" w:cs="Arial" w:eastAsia="Arial" w:hAnsi="Arial"/>
                <w:sz w:val="15"/>
                <w:szCs w:val="15"/>
                <w:color w:val="auto"/>
              </w:rPr>
              <w:t>1.40</w:t>
            </w: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36.90</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6.0</w:t>
            </w:r>
          </w:p>
        </w:tc>
        <w:tc>
          <w:tcPr>
            <w:tcW w:w="2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36.90</w:t>
            </w:r>
          </w:p>
        </w:tc>
      </w:tr>
      <w:tr>
        <w:trPr>
          <w:trHeight w:val="189"/>
        </w:trPr>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4040" w:type="dxa"/>
            <w:vAlign w:val="bottom"/>
            <w:tcBorders>
              <w:bottom w:val="single" w:sz="8" w:color="CCEEFF"/>
            </w:tcBorders>
            <w:shd w:val="clear" w:color="auto" w:fill="CCEEFF"/>
          </w:tcPr>
          <w:p>
            <w:pPr>
              <w:jc w:val="right"/>
              <w:ind w:right="3483"/>
              <w:spacing w:after="0"/>
              <w:rPr>
                <w:sz w:val="20"/>
                <w:szCs w:val="20"/>
                <w:color w:val="auto"/>
              </w:rPr>
            </w:pPr>
            <w:r>
              <w:rPr>
                <w:rFonts w:ascii="Arial" w:cs="Arial" w:eastAsia="Arial" w:hAnsi="Arial"/>
                <w:sz w:val="15"/>
                <w:szCs w:val="15"/>
                <w:color w:val="auto"/>
              </w:rPr>
              <w:t>96.56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5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2.11</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66.99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66.99</w:t>
            </w:r>
          </w:p>
        </w:tc>
      </w:tr>
      <w:tr>
        <w:trPr>
          <w:trHeight w:val="185"/>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112.9</w:t>
            </w:r>
          </w:p>
        </w:tc>
        <w:tc>
          <w:tcPr>
            <w:tcW w:w="1540" w:type="dxa"/>
            <w:vAlign w:val="bottom"/>
            <w:gridSpan w:val="3"/>
          </w:tcPr>
          <w:p>
            <w:pPr>
              <w:jc w:val="right"/>
              <w:ind w:right="160"/>
              <w:spacing w:after="0"/>
              <w:rPr>
                <w:sz w:val="20"/>
                <w:szCs w:val="20"/>
                <w:color w:val="auto"/>
              </w:rPr>
            </w:pPr>
            <w:r>
              <w:rPr>
                <w:rFonts w:ascii="Arial" w:cs="Arial" w:eastAsia="Arial" w:hAnsi="Arial"/>
                <w:sz w:val="15"/>
                <w:szCs w:val="15"/>
                <w:color w:val="auto"/>
              </w:rPr>
              <w:t>3.25</w:t>
            </w: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19.24</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95.8</w:t>
            </w:r>
          </w:p>
        </w:tc>
        <w:tc>
          <w:tcPr>
            <w:tcW w:w="2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20.86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The weighted-average grant-date fair value per share was $2.52, $4.87 and $5.92 for options granted during 2008, 2007 and 2006, respectively. The total intrinsic value was $1 million, $32 million and $46 million for options exercised during 2008, 2007 and 2006.</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Changes in the Company’s nonvested options for 2008 are summarized as follows:</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Weighted-</w:t>
            </w:r>
          </w:p>
        </w:tc>
      </w:tr>
      <w:tr>
        <w:trPr>
          <w:trHeight w:val="185"/>
        </w:trPr>
        <w:tc>
          <w:tcPr>
            <w:tcW w:w="3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average grant</w:t>
            </w:r>
          </w:p>
        </w:tc>
      </w:tr>
      <w:tr>
        <w:trPr>
          <w:trHeight w:val="185"/>
        </w:trPr>
        <w:tc>
          <w:tcPr>
            <w:tcW w:w="366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Number of</w:t>
            </w:r>
          </w:p>
        </w:tc>
        <w:tc>
          <w:tcPr>
            <w:tcW w:w="128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5"/>
              </w:rPr>
              <w:t>date fair value</w:t>
            </w:r>
          </w:p>
        </w:tc>
      </w:tr>
      <w:tr>
        <w:trPr>
          <w:trHeight w:val="205"/>
        </w:trPr>
        <w:tc>
          <w:tcPr>
            <w:tcW w:w="366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per share</w:t>
            </w:r>
          </w:p>
        </w:tc>
      </w:tr>
      <w:tr>
        <w:trPr>
          <w:trHeight w:val="185"/>
        </w:trPr>
        <w:tc>
          <w:tcPr>
            <w:tcW w:w="36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5"/>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Nonvested at August 30, 2007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5.50</w:t>
            </w:r>
          </w:p>
        </w:tc>
      </w:tr>
      <w:tr>
        <w:trPr>
          <w:trHeight w:val="185"/>
        </w:trPr>
        <w:tc>
          <w:tcPr>
            <w:tcW w:w="3660" w:type="dxa"/>
            <w:vAlign w:val="bottom"/>
          </w:tcPr>
          <w:p>
            <w:pPr>
              <w:spacing w:after="0"/>
              <w:rPr>
                <w:sz w:val="20"/>
                <w:szCs w:val="20"/>
                <w:color w:val="auto"/>
              </w:rPr>
            </w:pPr>
            <w:r>
              <w:rPr>
                <w:rFonts w:ascii="Arial" w:cs="Arial" w:eastAsia="Arial" w:hAnsi="Arial"/>
                <w:sz w:val="15"/>
                <w:szCs w:val="15"/>
                <w:color w:val="auto"/>
              </w:rPr>
              <w:t>Granted</w:t>
            </w:r>
          </w:p>
        </w:tc>
        <w:tc>
          <w:tcPr>
            <w:tcW w:w="980" w:type="dxa"/>
            <w:vAlign w:val="bottom"/>
          </w:tcPr>
          <w:p>
            <w:pPr>
              <w:jc w:val="right"/>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2.52</w:t>
            </w:r>
          </w:p>
        </w:tc>
      </w:tr>
      <w:tr>
        <w:trPr>
          <w:trHeight w:val="185"/>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5.65</w:t>
            </w:r>
          </w:p>
        </w:tc>
      </w:tr>
      <w:tr>
        <w:trPr>
          <w:trHeight w:val="185"/>
        </w:trPr>
        <w:tc>
          <w:tcPr>
            <w:tcW w:w="3660" w:type="dxa"/>
            <w:vAlign w:val="bottom"/>
          </w:tcPr>
          <w:p>
            <w:pPr>
              <w:spacing w:after="0"/>
              <w:rPr>
                <w:sz w:val="20"/>
                <w:szCs w:val="20"/>
                <w:color w:val="auto"/>
              </w:rPr>
            </w:pPr>
            <w:r>
              <w:rPr>
                <w:rFonts w:ascii="Arial" w:cs="Arial" w:eastAsia="Arial" w:hAnsi="Arial"/>
                <w:sz w:val="15"/>
                <w:szCs w:val="15"/>
                <w:color w:val="auto"/>
              </w:rPr>
              <w:t>Cancelled</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(1.9)</w:t>
            </w:r>
          </w:p>
        </w:tc>
        <w:tc>
          <w:tcPr>
            <w:tcW w:w="16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5.12</w:t>
            </w:r>
          </w:p>
        </w:tc>
      </w:tr>
      <w:tr>
        <w:trPr>
          <w:trHeight w:val="23"/>
        </w:trPr>
        <w:tc>
          <w:tcPr>
            <w:tcW w:w="36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5"/>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Nonvested at August 28, 2008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17.1</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4.21</w:t>
            </w: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As of August 28, 2008, $51 million of total unrecognized compensation cost related to nonvested awards was expected to be recognized through the fourth quarter of 2012, resulting in a weighted-average period of 1.2 years. The Company’s nonvested options as of August 28, 2008 have a weighted-average exercise price of $10.22, a weighted-average remaining contractual life of 4.6 years and no aggregate intrinsic value.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59" w:name="page60"/>
    <w:bookmarkEnd w:id="59"/>
    <w:p>
      <w:pPr>
        <w:spacing w:after="0" w:line="281" w:lineRule="auto"/>
        <w:rPr>
          <w:sz w:val="20"/>
          <w:szCs w:val="20"/>
          <w:color w:val="auto"/>
        </w:rPr>
      </w:pPr>
      <w:r>
        <w:rPr>
          <w:rFonts w:ascii="Arial" w:cs="Arial" w:eastAsia="Arial" w:hAnsi="Arial"/>
          <w:sz w:val="14"/>
          <w:szCs w:val="14"/>
          <w:color w:val="auto"/>
        </w:rPr>
        <w:t>The fair value of each option award is estimated as of the date of grant using the Black-Scholes option valuation model. The Black-Scholes model was developed for use in estimating the fair value of traded options which have no vesting restrictions and are fully transferable and requires the input of subjective assumptions, including the expected stock price volatility and estimated option life. The expected volatilities utilized by the Company are based on implied volatilities from traded options on the Company’s stock and on historical</w:t>
      </w:r>
    </w:p>
    <w:p>
      <w:pPr>
        <w:spacing w:after="0" w:line="1"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volatility. The expected life of options granted was based on the simplified method provided by the Securities and Exchange Commission as historical data did not provide a reasonable basis to estimate future terms due to significant changes in the terms of prior grants. The risk-free rates utilized by the Company are based on the U.S. Treasury yield in effect at the time of the grant. No dividends have been assumed in the Company’s estimated option values. Assumptions used in the Black-Scholes model are presented below:</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205"/>
        </w:trPr>
        <w:tc>
          <w:tcPr>
            <w:tcW w:w="2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b w:val="1"/>
                <w:bCs w:val="1"/>
                <w:color w:val="auto"/>
              </w:rPr>
              <w:t>2008</w:t>
            </w:r>
          </w:p>
        </w:tc>
        <w:tc>
          <w:tcPr>
            <w:tcW w:w="128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2007</w:t>
            </w:r>
          </w:p>
        </w:tc>
        <w:tc>
          <w:tcPr>
            <w:tcW w:w="9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2006</w:t>
            </w:r>
          </w:p>
        </w:tc>
        <w:tc>
          <w:tcPr>
            <w:tcW w:w="180" w:type="dxa"/>
            <w:vAlign w:val="bottom"/>
          </w:tcPr>
          <w:p>
            <w:pPr>
              <w:spacing w:after="0"/>
              <w:rPr>
                <w:sz w:val="17"/>
                <w:szCs w:val="17"/>
                <w:color w:val="auto"/>
              </w:rPr>
            </w:pPr>
          </w:p>
        </w:tc>
      </w:tr>
      <w:tr>
        <w:trPr>
          <w:trHeight w:val="185"/>
        </w:trPr>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Average expected life in years</w:t>
            </w:r>
          </w:p>
        </w:tc>
        <w:tc>
          <w:tcPr>
            <w:tcW w:w="12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4.25</w:t>
            </w:r>
          </w:p>
        </w:tc>
        <w:tc>
          <w:tcPr>
            <w:tcW w:w="12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4.25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4.25</w:t>
            </w:r>
          </w:p>
        </w:tc>
      </w:tr>
      <w:tr>
        <w:trPr>
          <w:trHeight w:val="185"/>
        </w:trPr>
        <w:tc>
          <w:tcPr>
            <w:tcW w:w="2420" w:type="dxa"/>
            <w:vAlign w:val="bottom"/>
          </w:tcPr>
          <w:p>
            <w:pPr>
              <w:spacing w:after="0"/>
              <w:rPr>
                <w:sz w:val="20"/>
                <w:szCs w:val="20"/>
                <w:color w:val="auto"/>
              </w:rPr>
            </w:pPr>
            <w:r>
              <w:rPr>
                <w:rFonts w:ascii="Arial" w:cs="Arial" w:eastAsia="Arial" w:hAnsi="Arial"/>
                <w:sz w:val="15"/>
                <w:szCs w:val="15"/>
                <w:color w:val="auto"/>
              </w:rPr>
              <w:t>Expected volatility</w:t>
            </w:r>
          </w:p>
        </w:tc>
        <w:tc>
          <w:tcPr>
            <w:tcW w:w="1240" w:type="dxa"/>
            <w:vAlign w:val="bottom"/>
          </w:tcPr>
          <w:p>
            <w:pPr>
              <w:jc w:val="right"/>
              <w:ind w:right="163"/>
              <w:spacing w:after="0"/>
              <w:rPr>
                <w:sz w:val="20"/>
                <w:szCs w:val="20"/>
                <w:color w:val="auto"/>
              </w:rPr>
            </w:pPr>
            <w:r>
              <w:rPr>
                <w:rFonts w:ascii="Arial" w:cs="Arial" w:eastAsia="Arial" w:hAnsi="Arial"/>
                <w:sz w:val="15"/>
                <w:szCs w:val="15"/>
                <w:color w:val="auto"/>
              </w:rPr>
              <w:t>37%-54%</w:t>
            </w:r>
          </w:p>
        </w:tc>
        <w:tc>
          <w:tcPr>
            <w:tcW w:w="1280" w:type="dxa"/>
            <w:vAlign w:val="bottom"/>
          </w:tcPr>
          <w:p>
            <w:pPr>
              <w:jc w:val="right"/>
              <w:ind w:right="183"/>
              <w:spacing w:after="0"/>
              <w:rPr>
                <w:sz w:val="20"/>
                <w:szCs w:val="20"/>
                <w:color w:val="auto"/>
              </w:rPr>
            </w:pPr>
            <w:r>
              <w:rPr>
                <w:rFonts w:ascii="Arial" w:cs="Arial" w:eastAsia="Arial" w:hAnsi="Arial"/>
                <w:sz w:val="15"/>
                <w:szCs w:val="15"/>
                <w:color w:val="auto"/>
              </w:rPr>
              <w:t>33%-42%</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42%-48%</w:t>
            </w:r>
          </w:p>
        </w:tc>
      </w:tr>
      <w:tr>
        <w:trPr>
          <w:trHeight w:val="185"/>
        </w:trPr>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volatility</w:t>
            </w:r>
          </w:p>
        </w:tc>
        <w:tc>
          <w:tcPr>
            <w:tcW w:w="12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47%</w:t>
            </w:r>
          </w:p>
        </w:tc>
        <w:tc>
          <w:tcPr>
            <w:tcW w:w="12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39%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w:t>
            </w:r>
          </w:p>
        </w:tc>
      </w:tr>
      <w:tr>
        <w:trPr>
          <w:trHeight w:val="175"/>
        </w:trPr>
        <w:tc>
          <w:tcPr>
            <w:tcW w:w="2420" w:type="dxa"/>
            <w:vAlign w:val="bottom"/>
          </w:tcPr>
          <w:p>
            <w:pPr>
              <w:spacing w:after="0"/>
              <w:rPr>
                <w:sz w:val="20"/>
                <w:szCs w:val="20"/>
                <w:color w:val="auto"/>
              </w:rPr>
            </w:pPr>
            <w:r>
              <w:rPr>
                <w:rFonts w:ascii="Arial" w:cs="Arial" w:eastAsia="Arial" w:hAnsi="Arial"/>
                <w:sz w:val="15"/>
                <w:szCs w:val="15"/>
                <w:color w:val="auto"/>
              </w:rPr>
              <w:t>Weighted-average risk-free interest</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2420" w:type="dxa"/>
            <w:vAlign w:val="bottom"/>
          </w:tcPr>
          <w:p>
            <w:pPr>
              <w:spacing w:after="0"/>
              <w:rPr>
                <w:sz w:val="20"/>
                <w:szCs w:val="20"/>
                <w:color w:val="auto"/>
              </w:rPr>
            </w:pPr>
            <w:r>
              <w:rPr>
                <w:rFonts w:ascii="Arial" w:cs="Arial" w:eastAsia="Arial" w:hAnsi="Arial"/>
                <w:sz w:val="15"/>
                <w:szCs w:val="15"/>
                <w:color w:val="auto"/>
              </w:rPr>
              <w:t>rate</w:t>
            </w:r>
          </w:p>
        </w:tc>
        <w:tc>
          <w:tcPr>
            <w:tcW w:w="1240" w:type="dxa"/>
            <w:vAlign w:val="bottom"/>
          </w:tcPr>
          <w:p>
            <w:pPr>
              <w:jc w:val="right"/>
              <w:ind w:right="163"/>
              <w:spacing w:after="0"/>
              <w:rPr>
                <w:sz w:val="20"/>
                <w:szCs w:val="20"/>
                <w:color w:val="auto"/>
              </w:rPr>
            </w:pPr>
            <w:r>
              <w:rPr>
                <w:rFonts w:ascii="Arial" w:cs="Arial" w:eastAsia="Arial" w:hAnsi="Arial"/>
                <w:sz w:val="15"/>
                <w:szCs w:val="15"/>
                <w:color w:val="auto"/>
              </w:rPr>
              <w:t>2.9%</w:t>
            </w:r>
          </w:p>
        </w:tc>
        <w:tc>
          <w:tcPr>
            <w:tcW w:w="1280" w:type="dxa"/>
            <w:vAlign w:val="bottom"/>
          </w:tcPr>
          <w:p>
            <w:pPr>
              <w:jc w:val="right"/>
              <w:ind w:right="183"/>
              <w:spacing w:after="0"/>
              <w:rPr>
                <w:sz w:val="20"/>
                <w:szCs w:val="20"/>
                <w:color w:val="auto"/>
              </w:rPr>
            </w:pPr>
            <w:r>
              <w:rPr>
                <w:rFonts w:ascii="Arial" w:cs="Arial" w:eastAsia="Arial" w:hAnsi="Arial"/>
                <w:sz w:val="15"/>
                <w:szCs w:val="15"/>
                <w:color w:val="auto"/>
              </w:rPr>
              <w:t>4.7%</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4.4%</w:t>
            </w:r>
          </w:p>
        </w:tc>
      </w:tr>
    </w:tbl>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b w:val="1"/>
          <w:bCs w:val="1"/>
          <w:i w:val="1"/>
          <w:iCs w:val="1"/>
          <w:color w:val="auto"/>
        </w:rPr>
        <w:t xml:space="preserve">Restricted Stock and Restricted Stock Units (“Restricted Stock Awards”): </w:t>
      </w:r>
      <w:r>
        <w:rPr>
          <w:rFonts w:ascii="Arial" w:cs="Arial" w:eastAsia="Arial" w:hAnsi="Arial"/>
          <w:sz w:val="15"/>
          <w:szCs w:val="15"/>
          <w:color w:val="auto"/>
        </w:rPr>
        <w:t>As of August 28, 2008, there were 9.2 million shares of restricted stock awards outstanding, of which 2.9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were performance-based restricted stock awards. For service-based restricted stock awards, restrictions generally lapse either in one-fourth or one-third increments during each year of employment after the grant date. For performance-based restricted stock awards, vesting is contingent upon meeting certain Company-wide performance goals. Restricted stock awards activity for 2008 is summarized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0"/>
              </w:rPr>
              <w:t>Weighted-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88"/>
              </w:rPr>
              <w:t>average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1"/>
              </w:rPr>
              <w:t>remaining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tcPr>
          <w:p>
            <w:pPr>
              <w:spacing w:after="0"/>
              <w:rPr>
                <w:sz w:val="16"/>
                <w:szCs w:val="16"/>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3"/>
              </w:rPr>
              <w:t>Number of</w:t>
            </w:r>
          </w:p>
        </w:tc>
        <w:tc>
          <w:tcPr>
            <w:tcW w:w="1320" w:type="dxa"/>
            <w:vAlign w:val="bottom"/>
          </w:tcPr>
          <w:p>
            <w:pPr>
              <w:jc w:val="center"/>
              <w:ind w:right="3"/>
              <w:spacing w:after="0"/>
              <w:rPr>
                <w:sz w:val="20"/>
                <w:szCs w:val="20"/>
                <w:color w:val="auto"/>
              </w:rPr>
            </w:pPr>
            <w:r>
              <w:rPr>
                <w:rFonts w:ascii="Arial" w:cs="Arial" w:eastAsia="Arial" w:hAnsi="Arial"/>
                <w:sz w:val="15"/>
                <w:szCs w:val="15"/>
                <w:b w:val="1"/>
                <w:bCs w:val="1"/>
                <w:color w:val="auto"/>
                <w:w w:val="93"/>
              </w:rPr>
              <w:t>contractual life</w:t>
            </w:r>
          </w:p>
        </w:tc>
        <w:tc>
          <w:tcPr>
            <w:tcW w:w="2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Aggregate</w:t>
            </w:r>
          </w:p>
        </w:tc>
      </w:tr>
      <w:tr>
        <w:trPr>
          <w:trHeight w:val="205"/>
        </w:trPr>
        <w:tc>
          <w:tcPr>
            <w:tcW w:w="7440" w:type="dxa"/>
            <w:vAlign w:val="bottom"/>
          </w:tcPr>
          <w:p>
            <w:pPr>
              <w:spacing w:after="0"/>
              <w:rPr>
                <w:sz w:val="17"/>
                <w:szCs w:val="17"/>
                <w:color w:val="auto"/>
              </w:rPr>
            </w:pPr>
          </w:p>
        </w:tc>
        <w:tc>
          <w:tcPr>
            <w:tcW w:w="840" w:type="dxa"/>
            <w:vAlign w:val="bottom"/>
          </w:tcPr>
          <w:p>
            <w:pPr>
              <w:jc w:val="center"/>
              <w:ind w:left="223"/>
              <w:spacing w:after="0"/>
              <w:rPr>
                <w:sz w:val="20"/>
                <w:szCs w:val="20"/>
                <w:color w:val="auto"/>
              </w:rPr>
            </w:pPr>
            <w:r>
              <w:rPr>
                <w:rFonts w:ascii="Arial" w:cs="Arial" w:eastAsia="Arial" w:hAnsi="Arial"/>
                <w:sz w:val="15"/>
                <w:szCs w:val="15"/>
                <w:b w:val="1"/>
                <w:bCs w:val="1"/>
                <w:color w:val="auto"/>
                <w:w w:val="86"/>
              </w:rPr>
              <w:t>shares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2"/>
              </w:rPr>
              <w:t>(in years)</w:t>
            </w:r>
          </w:p>
        </w:tc>
        <w:tc>
          <w:tcPr>
            <w:tcW w:w="20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intrinsic value</w:t>
            </w:r>
          </w:p>
        </w:tc>
      </w:tr>
      <w:tr>
        <w:trPr>
          <w:trHeight w:val="185"/>
        </w:trPr>
        <w:tc>
          <w:tcPr>
            <w:tcW w:w="7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Outstanding at August 30, 2007</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w:t>
            </w: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28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5.6</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Restrictions lapsed</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w:t>
            </w: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Cancelled</w:t>
            </w:r>
          </w:p>
        </w:tc>
        <w:tc>
          <w:tcPr>
            <w:tcW w:w="84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(0.4)</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Outstanding at August 28, 2008</w:t>
            </w: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line="166" w:lineRule="exact"/>
              <w:rPr>
                <w:sz w:val="20"/>
                <w:szCs w:val="20"/>
                <w:color w:val="auto"/>
              </w:rPr>
            </w:pPr>
            <w:r>
              <w:rPr>
                <w:rFonts w:ascii="Arial" w:cs="Arial" w:eastAsia="Arial" w:hAnsi="Arial"/>
                <w:sz w:val="15"/>
                <w:szCs w:val="15"/>
                <w:color w:val="auto"/>
              </w:rPr>
              <w:t>9.2</w:t>
            </w:r>
          </w:p>
        </w:tc>
        <w:tc>
          <w:tcPr>
            <w:tcW w:w="1320" w:type="dxa"/>
            <w:vAlign w:val="bottom"/>
            <w:shd w:val="clear" w:color="auto" w:fill="CCEEFF"/>
          </w:tcPr>
          <w:p>
            <w:pPr>
              <w:jc w:val="right"/>
              <w:ind w:right="43"/>
              <w:spacing w:after="0" w:line="166" w:lineRule="exact"/>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40</w:t>
            </w:r>
          </w:p>
        </w:tc>
      </w:tr>
      <w:tr>
        <w:trPr>
          <w:trHeight w:val="172"/>
        </w:trPr>
        <w:tc>
          <w:tcPr>
            <w:tcW w:w="744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85"/>
        </w:trPr>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Expected to vest after August 28, 2008</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7.5</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w:t>
            </w:r>
          </w:p>
        </w:tc>
      </w:tr>
    </w:tbl>
    <w:p>
      <w:pPr>
        <w:spacing w:after="0" w:line="198" w:lineRule="exact"/>
        <w:rPr>
          <w:sz w:val="20"/>
          <w:szCs w:val="20"/>
          <w:color w:val="auto"/>
        </w:rPr>
      </w:pPr>
    </w:p>
    <w:p>
      <w:pPr>
        <w:jc w:val="both"/>
        <w:ind w:right="140"/>
        <w:spacing w:after="0" w:line="268" w:lineRule="auto"/>
        <w:rPr>
          <w:sz w:val="20"/>
          <w:szCs w:val="20"/>
          <w:color w:val="auto"/>
        </w:rPr>
      </w:pPr>
      <w:r>
        <w:rPr>
          <w:rFonts w:ascii="Arial" w:cs="Arial" w:eastAsia="Arial" w:hAnsi="Arial"/>
          <w:sz w:val="15"/>
          <w:szCs w:val="15"/>
          <w:color w:val="auto"/>
        </w:rPr>
        <w:t>The weighted-average grant-date fair value for restricted stock awards granted during 2008, 2007 and 2006 was $8.41, $14.91 and $13.04 per share, respectively. The aggregate value at the lapse date of awards for which restrictions lapsed during 2008, 2007 and 2006 was $12 million, $11 million and $2 million, respectively. As of August 28, 2008, there was $56 million of total unrecognized compensation cost, net of estimated forfeitures, related to nonvested restricted stock awards, which is expected to be recognized over a weighted-average period of 1.3 years.</w:t>
      </w:r>
    </w:p>
    <w:p>
      <w:pPr>
        <w:spacing w:after="0" w:line="180"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b w:val="1"/>
          <w:bCs w:val="1"/>
          <w:i w:val="1"/>
          <w:iCs w:val="1"/>
          <w:color w:val="auto"/>
        </w:rPr>
        <w:t xml:space="preserve">Stock Purchase Plan: </w:t>
      </w:r>
      <w:r>
        <w:rPr>
          <w:rFonts w:ascii="Arial" w:cs="Arial" w:eastAsia="Arial" w:hAnsi="Arial"/>
          <w:sz w:val="15"/>
          <w:szCs w:val="15"/>
          <w:color w:val="auto"/>
        </w:rPr>
        <w:t>The Company’s 1989 Employee Stock Purchase Plan (“ESPP”) allowed eligible employees to purchase shares of the Company’s common stock through payroll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deductions. Shares could be purchased at 95% of the ending closing stock price of each offering quarterly period and could be resold when purchased. Purchases were limited to 20% of an employee’s eligible compensation. During 2008, the ESPP was suspended by the Company. As of August 28, 2008, 1.8 million shares were reserved for future issuance under this plan.</w:t>
      </w:r>
    </w:p>
    <w:p>
      <w:pPr>
        <w:spacing w:after="0" w:line="180" w:lineRule="exact"/>
        <w:rPr>
          <w:sz w:val="20"/>
          <w:szCs w:val="20"/>
          <w:color w:val="auto"/>
        </w:rPr>
      </w:pPr>
    </w:p>
    <w:p>
      <w:pPr>
        <w:ind w:right="80"/>
        <w:spacing w:after="0" w:line="328" w:lineRule="auto"/>
        <w:rPr>
          <w:sz w:val="20"/>
          <w:szCs w:val="20"/>
          <w:color w:val="auto"/>
        </w:rPr>
      </w:pPr>
      <w:r>
        <w:rPr>
          <w:rFonts w:ascii="Arial" w:cs="Arial" w:eastAsia="Arial" w:hAnsi="Arial"/>
          <w:sz w:val="14"/>
          <w:szCs w:val="14"/>
          <w:b w:val="1"/>
          <w:bCs w:val="1"/>
          <w:i w:val="1"/>
          <w:iCs w:val="1"/>
          <w:color w:val="auto"/>
        </w:rPr>
        <w:t xml:space="preserve">Non-Employee Director Stock Incentive Plan: </w:t>
      </w:r>
      <w:r>
        <w:rPr>
          <w:rFonts w:ascii="Arial" w:cs="Arial" w:eastAsia="Arial" w:hAnsi="Arial"/>
          <w:sz w:val="14"/>
          <w:szCs w:val="14"/>
          <w:color w:val="auto"/>
        </w:rPr>
        <w:t>Shares are issued under the Director Stock Incentive Plan (“DSIP”) as compensation to non-employee directors of the Company. As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August 28, 2008, 69,808 shares of the Company’s common stock had been issued under the DSIP and 430,192 shares were reserved for future issuance under the plan.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i w:val="1"/>
          <w:iCs w:val="1"/>
          <w:color w:val="auto"/>
        </w:rPr>
        <w:t xml:space="preserve">Stock-Based Compensation Expense: </w:t>
      </w:r>
      <w:r>
        <w:rPr>
          <w:rFonts w:ascii="Arial" w:cs="Arial" w:eastAsia="Arial" w:hAnsi="Arial"/>
          <w:sz w:val="15"/>
          <w:szCs w:val="15"/>
          <w:color w:val="auto"/>
        </w:rPr>
        <w:t>Total compensation costs for the Company’s equity plans were as follows:</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205"/>
        </w:trPr>
        <w:tc>
          <w:tcPr>
            <w:tcW w:w="2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2008</w:t>
            </w: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2007</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2006</w:t>
            </w:r>
          </w:p>
        </w:tc>
        <w:tc>
          <w:tcPr>
            <w:tcW w:w="120" w:type="dxa"/>
            <w:vAlign w:val="bottom"/>
          </w:tcPr>
          <w:p>
            <w:pPr>
              <w:spacing w:after="0"/>
              <w:rPr>
                <w:sz w:val="17"/>
                <w:szCs w:val="17"/>
                <w:color w:val="auto"/>
              </w:rPr>
            </w:pPr>
          </w:p>
        </w:tc>
      </w:tr>
      <w:tr>
        <w:trPr>
          <w:trHeight w:val="185"/>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w w:val="93"/>
              </w:rPr>
              <w:t>Stock-based compensation expense by</w:t>
            </w: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6"/>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caption:</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Cost of goods sold</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15</w:t>
            </w:r>
          </w:p>
        </w:tc>
        <w:tc>
          <w:tcPr>
            <w:tcW w:w="18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11</w:t>
            </w:r>
          </w:p>
        </w:tc>
        <w:tc>
          <w:tcPr>
            <w:tcW w:w="30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8</w:t>
            </w: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w:t>
            </w:r>
          </w:p>
        </w:tc>
      </w:tr>
      <w:tr>
        <w:trPr>
          <w:trHeight w:val="189"/>
        </w:trPr>
        <w:tc>
          <w:tcPr>
            <w:tcW w:w="248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7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7</w:t>
            </w:r>
          </w:p>
        </w:tc>
      </w:tr>
      <w:tr>
        <w:trPr>
          <w:trHeight w:val="225"/>
        </w:trPr>
        <w:tc>
          <w:tcPr>
            <w:tcW w:w="24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72"/>
        </w:trPr>
        <w:tc>
          <w:tcPr>
            <w:tcW w:w="2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w w:val="93"/>
              </w:rPr>
              <w:t>Stock-based compensation expense by</w:t>
            </w: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6"/>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type of award:</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5"/>
        </w:trPr>
        <w:tc>
          <w:tcPr>
            <w:tcW w:w="2480" w:type="dxa"/>
            <w:vAlign w:val="bottom"/>
          </w:tcPr>
          <w:p>
            <w:pPr>
              <w:spacing w:after="0"/>
              <w:rPr>
                <w:sz w:val="20"/>
                <w:szCs w:val="20"/>
                <w:color w:val="auto"/>
              </w:rPr>
            </w:pPr>
            <w:r>
              <w:rPr>
                <w:rFonts w:ascii="Arial" w:cs="Arial" w:eastAsia="Arial" w:hAnsi="Arial"/>
                <w:sz w:val="15"/>
                <w:szCs w:val="15"/>
                <w:color w:val="auto"/>
              </w:rPr>
              <w:t>Stock options</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26</w:t>
            </w:r>
          </w:p>
        </w:tc>
        <w:tc>
          <w:tcPr>
            <w:tcW w:w="18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26</w:t>
            </w:r>
          </w:p>
        </w:tc>
        <w:tc>
          <w:tcPr>
            <w:tcW w:w="30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6"/>
                <w:szCs w:val="16"/>
                <w:color w:val="auto"/>
              </w:rPr>
            </w:pPr>
          </w:p>
        </w:tc>
      </w:tr>
      <w:tr>
        <w:trPr>
          <w:trHeight w:val="189"/>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Restricted stock awards</w:t>
            </w: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w:t>
            </w:r>
          </w:p>
        </w:tc>
      </w:tr>
      <w:tr>
        <w:trPr>
          <w:trHeight w:val="185"/>
        </w:trPr>
        <w:tc>
          <w:tcPr>
            <w:tcW w:w="2480" w:type="dxa"/>
            <w:vAlign w:val="bottom"/>
            <w:tcBorders>
              <w:top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20" w:type="dxa"/>
            <w:vAlign w:val="bottom"/>
            <w:tcBorders>
              <w:top w:val="single" w:sz="8" w:color="CCEEFF"/>
            </w:tcBorders>
          </w:tcPr>
          <w:p>
            <w:pPr>
              <w:spacing w:after="0"/>
              <w:rPr>
                <w:sz w:val="16"/>
                <w:szCs w:val="16"/>
                <w:color w:val="auto"/>
              </w:rPr>
            </w:pPr>
          </w:p>
        </w:tc>
      </w:tr>
      <w:tr>
        <w:trPr>
          <w:trHeight w:val="20"/>
        </w:trPr>
        <w:tc>
          <w:tcPr>
            <w:tcW w:w="2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As of August 28, 2008 and August 30, 2007, $3 million of stock-based compensation expense was capitalized and remained in inventory, and $1 million was capitalized and remained in inventory as of August 31, 2006. As of August 28, 2008, $107 million of total unrecognized compensation costs, net of estimated forfeitures, related to non-vested awards was expected to be recognized through the fourth quarter of 2012, resulting in a weighted-average period of 1.2 years. Stock-based compensation expense in the above presentation does not reflect any significant income tax benefits, which is consistent with the Company’s treatment of income or loss from its U.S. operations. (See “Income Taxes” note.)</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Plans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employee retirement plans at its U.S. and international sites. Details of the more significant plans are discussed as follows:</w:t>
      </w:r>
    </w:p>
    <w:p>
      <w:pPr>
        <w:spacing w:after="0" w:line="222" w:lineRule="exact"/>
        <w:rPr>
          <w:sz w:val="20"/>
          <w:szCs w:val="20"/>
          <w:color w:val="auto"/>
        </w:rPr>
      </w:pPr>
    </w:p>
    <w:p>
      <w:pPr>
        <w:ind w:right="220"/>
        <w:spacing w:after="0" w:line="268" w:lineRule="auto"/>
        <w:rPr>
          <w:sz w:val="20"/>
          <w:szCs w:val="20"/>
          <w:color w:val="auto"/>
        </w:rPr>
      </w:pPr>
      <w:r>
        <w:rPr>
          <w:rFonts w:ascii="Arial" w:cs="Arial" w:eastAsia="Arial" w:hAnsi="Arial"/>
          <w:sz w:val="15"/>
          <w:szCs w:val="15"/>
          <w:b w:val="1"/>
          <w:bCs w:val="1"/>
          <w:i w:val="1"/>
          <w:iCs w:val="1"/>
          <w:color w:val="auto"/>
        </w:rPr>
        <w:t xml:space="preserve">Employee Savings Plan for U.S. Employees: </w:t>
      </w:r>
      <w:r>
        <w:rPr>
          <w:rFonts w:ascii="Arial" w:cs="Arial" w:eastAsia="Arial" w:hAnsi="Arial"/>
          <w:sz w:val="15"/>
          <w:szCs w:val="15"/>
          <w:color w:val="auto"/>
        </w:rPr>
        <w:t>The Company has a 401(k) retirement plan (“RAM Plan”) under which U.S. employees may contribute up to 45% of their eligible pay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(subject to IRS annual contribution limits) to various savings alternatives, none of which include direct investment in the Company’s common stock. Under the RAM plan, the Company matches in cash eligible contributions from employees up to 4% of the employee’s annual eligible earnings or $2,000, whichever is greater. Contribution expense for the Company’s RAM Plan was $32 million, $31 million and $26 million in 2008, 2007 and 2006, respectively.</w:t>
      </w:r>
    </w:p>
    <w:p>
      <w:pPr>
        <w:spacing w:after="0" w:line="174" w:lineRule="exact"/>
        <w:rPr>
          <w:sz w:val="20"/>
          <w:szCs w:val="20"/>
          <w:color w:val="auto"/>
        </w:rPr>
      </w:pPr>
    </w:p>
    <w:p>
      <w:pPr>
        <w:ind w:right="780"/>
        <w:spacing w:after="0" w:line="337" w:lineRule="auto"/>
        <w:rPr>
          <w:sz w:val="20"/>
          <w:szCs w:val="20"/>
          <w:color w:val="auto"/>
        </w:rPr>
      </w:pPr>
      <w:r>
        <w:rPr>
          <w:rFonts w:ascii="Arial" w:cs="Arial" w:eastAsia="Arial" w:hAnsi="Arial"/>
          <w:sz w:val="14"/>
          <w:szCs w:val="14"/>
          <w:b w:val="1"/>
          <w:bCs w:val="1"/>
          <w:i w:val="1"/>
          <w:iCs w:val="1"/>
          <w:color w:val="auto"/>
        </w:rPr>
        <w:t>Retirement Plans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has pension plans in various countries worldwide. The pension plans are only available to local employees and are generally government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mandated. Upon adoption of FAS 158 as of August 30, 2007, the Company increased its liability by $8 million related to the unfunded pension liabilities of the plans.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Restructure</w:t>
      </w:r>
    </w:p>
    <w:p>
      <w:pPr>
        <w:spacing w:after="0" w:line="218"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In an effort to increase its competitiveness and efficiency, in the fourth quarter of 2007, the Company began pursuing a number of initiatives to reduce costs across its operations. These initiatives included workforce reductions in certain areas of the Company as its business was realigned. Additional initiatives included establishing certain operations closer in location to the Company’s global customers and evaluating functions more efficiently performed through partnerships or other outside relationships. In 2008, the Company recorded charges of $33 million, primarily within its Memory segment, for employee severance and related costs, relocation and retention bonuses and a write-down of certain facilities to their fair values. Since the restructure initiatives were initiated in the fourth quarter of 2007, the Company has incurred $52 million of restructure costs. As of August 28, 2008 and August 30, 2007, $6 million and $5 million, respectively, of the restructure costs remained unpaid and were included in accounts payable and accrued expenses.</w:t>
      </w:r>
    </w:p>
    <w:p>
      <w:pPr>
        <w:spacing w:after="0" w:line="171"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On October 9, 2008 the Company announced a plan to restructure its memory operations. The Company’s IM Flash joint venture with Intel Corporation will discontinue production of 200mm wafer NAND flash memory at Micron’s Boise facility. The NAND Flash production shutdown will reduce IM Flash’s NAND flash production by approximately 35,000 200mm wafers per month. In addition, the Company and Intel agreed to suspend tooling and the ramp of production at IM Flash’s Singapore wafer fabrication plant. As part of the restructuring, the Company plans to reduce its global workforce by approximately 15 percent during 2009 and 2010. Cash costs for restructuring and other related expenses incurred in connection with this restructuring are anticipated to be approximately $60 million.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Other Operating (Income) Expense, Net</w:t>
      </w: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Other operating (income) for 2008 included gains of $66 million for disposals of semiconductor equipment and $38 million for receipts from the U.S. government in connection with anti-dumping tariffs. Other operating expenses for 2008 included losses of $25 million from changes in currency exchange rates. Other operating (income) for 2007 included gains of $43 million from disposals of semiconductor equipment, $30 million from the sale of certain intellectual property to Toshiba Corporation and $7 million in grants received in connection with the Company’s operations in China. Other operating expense for 2007 included losses of $14 million from changes in currency exchange rates. Other operating (income) for 2006 included $230 million of net proceeds for the sale of the Company’s existing NAND Flash memory designs and certain related technology to Intel, net of amounts paid by the Company for a perpetual, paid-up license to use and modify such designs. Other operating (income) for 2006 also included $23 million in additional amounts expected to be reimbursed resulting from the extension of an economic development agreement, which allows the Company to recover amounts relating to certain investments in IM Flash. (See “Joint Ventures – NAND Flash Joint Ventures with Intel.”)</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Income (loss) before taxes and noncontrolling interests in net income and the income tax (provision) benefit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7"/>
                <w:szCs w:val="17"/>
                <w:color w:val="auto"/>
              </w:rPr>
            </w:pPr>
          </w:p>
        </w:tc>
      </w:tr>
      <w:tr>
        <w:trPr>
          <w:trHeight w:val="185"/>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taxes and noncontrolling interests in net income: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U.S.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(1,713)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(571)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351</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Foreign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102</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403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82</w:t>
            </w:r>
          </w:p>
        </w:tc>
      </w:tr>
      <w:tr>
        <w:trPr>
          <w:trHeight w:val="23"/>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74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(1,611)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(168)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433</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7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Income tax (provision) benefit: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U.S. federal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(12)</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State</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Foreign</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(17)</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(39)</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(29)</w:t>
            </w:r>
          </w:p>
        </w:tc>
      </w:tr>
      <w:tr>
        <w:trPr>
          <w:trHeight w:val="23"/>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(44)</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(42)</w:t>
            </w:r>
          </w:p>
        </w:tc>
      </w:tr>
      <w:tr>
        <w:trPr>
          <w:trHeight w:val="185"/>
        </w:trPr>
        <w:tc>
          <w:tcPr>
            <w:tcW w:w="744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Deferred:</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U.S. federal</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State</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Foreign</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w:t>
            </w:r>
          </w:p>
        </w:tc>
      </w:tr>
      <w:tr>
        <w:trPr>
          <w:trHeight w:val="23"/>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6</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14</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24</w:t>
            </w:r>
          </w:p>
        </w:tc>
      </w:tr>
      <w:tr>
        <w:trPr>
          <w:trHeight w:val="23"/>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Income tax (provision)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Company’s income tax (provision) benefit computed using the U.S. federal statutory rate reconciled to the Company’s income tax (provision)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2008</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2007</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7"/>
                <w:szCs w:val="17"/>
                <w:color w:val="auto"/>
              </w:rPr>
            </w:pPr>
          </w:p>
        </w:tc>
      </w:tr>
      <w:tr>
        <w:trPr>
          <w:trHeight w:val="185"/>
        </w:trPr>
        <w:tc>
          <w:tcPr>
            <w:tcW w:w="7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U.S. federal income tax (provision) benefit at statutory rate</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564</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(152)</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State taxes, net of federal benefit</w:t>
            </w:r>
          </w:p>
        </w:tc>
        <w:tc>
          <w:tcPr>
            <w:tcW w:w="8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38</w:t>
            </w:r>
          </w:p>
        </w:tc>
        <w:tc>
          <w:tcPr>
            <w:tcW w:w="8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Tax credits</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25</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Change in valuation allowance</w:t>
            </w:r>
          </w:p>
        </w:tc>
        <w:tc>
          <w:tcPr>
            <w:tcW w:w="8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(446)</w:t>
            </w:r>
          </w:p>
        </w:tc>
        <w:tc>
          <w:tcPr>
            <w:tcW w:w="8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(219)</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103</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Goodwill impairment</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(155)</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Foreign operations</w:t>
            </w:r>
          </w:p>
        </w:tc>
        <w:tc>
          <w:tcPr>
            <w:tcW w:w="8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(21)</w:t>
            </w:r>
          </w:p>
        </w:tc>
        <w:tc>
          <w:tcPr>
            <w:tcW w:w="8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93</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Export sales benefit</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Other</w:t>
            </w:r>
          </w:p>
        </w:tc>
        <w:tc>
          <w:tcPr>
            <w:tcW w:w="8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(6)</w:t>
            </w:r>
          </w:p>
        </w:tc>
        <w:tc>
          <w:tcPr>
            <w:tcW w:w="8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r>
      <w:tr>
        <w:trPr>
          <w:trHeight w:val="23"/>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Income tax (provision)</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State taxes reflect investment tax credits of $12 million, $10 million and $23 million for 2008, 2007 and 2006, respectively.</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62" w:name="page63"/>
    <w:bookmarkEnd w:id="62"/>
    <w:p>
      <w:pPr>
        <w:ind w:right="260"/>
        <w:spacing w:after="0" w:line="290" w:lineRule="auto"/>
        <w:rPr>
          <w:sz w:val="20"/>
          <w:szCs w:val="20"/>
          <w:color w:val="auto"/>
        </w:rPr>
      </w:pPr>
      <w:r>
        <w:rPr>
          <w:rFonts w:ascii="Arial" w:cs="Arial" w:eastAsia="Arial" w:hAnsi="Arial"/>
          <w:sz w:val="15"/>
          <w:szCs w:val="15"/>
          <w:color w:val="auto"/>
        </w:rPr>
        <w:t>Deferred income taxes reflect the net tax effects of temporary differences between the bases of assets and liabilities for financial reporting and income tax purposes. The Company’s deferred tax assets and liabilities consist of the following as of the end of the periods shown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7"/>
                <w:szCs w:val="17"/>
                <w:color w:val="auto"/>
              </w:rPr>
            </w:pPr>
          </w:p>
        </w:tc>
      </w:tr>
      <w:tr>
        <w:trPr>
          <w:trHeight w:val="185"/>
        </w:trPr>
        <w:tc>
          <w:tcPr>
            <w:tcW w:w="8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Net operating loss and credit carryforwards</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1,358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1,136</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Inventories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235</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Basis differences in investments in joint ventures</w:t>
            </w:r>
          </w:p>
        </w:tc>
        <w:tc>
          <w:tcPr>
            <w:tcW w:w="7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200</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236</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155</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160</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Accrued salaries, wages and benefits</w:t>
            </w:r>
          </w:p>
        </w:tc>
        <w:tc>
          <w:tcPr>
            <w:tcW w:w="7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76</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64</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61</w:t>
            </w:r>
          </w:p>
        </w:tc>
      </w:tr>
      <w:tr>
        <w:trPr>
          <w:trHeight w:val="23"/>
        </w:trPr>
        <w:tc>
          <w:tcPr>
            <w:tcW w:w="88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Gross deferred tax assets</w:t>
            </w:r>
          </w:p>
        </w:tc>
        <w:tc>
          <w:tcPr>
            <w:tcW w:w="7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2,072</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1,692</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Less valuation allowance</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(1,569)</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(1,142)</w:t>
            </w:r>
          </w:p>
        </w:tc>
      </w:tr>
      <w:tr>
        <w:trPr>
          <w:trHeight w:val="23"/>
        </w:trPr>
        <w:tc>
          <w:tcPr>
            <w:tcW w:w="88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5"/>
                <w:szCs w:val="15"/>
                <w:color w:val="auto"/>
              </w:rPr>
              <w:t>Deferred tax assets, net of valuation allowance</w:t>
            </w:r>
          </w:p>
        </w:tc>
        <w:tc>
          <w:tcPr>
            <w:tcW w:w="7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503</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550</w:t>
            </w:r>
          </w:p>
        </w:tc>
      </w:tr>
      <w:tr>
        <w:trPr>
          <w:trHeight w:val="185"/>
        </w:trPr>
        <w:tc>
          <w:tcPr>
            <w:tcW w:w="88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Excess tax over book depreciation</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(141)</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(225)</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Unremitted earnings on certain subsidiaries</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(114)</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(68)</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(59)</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Product and process technology</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(48)</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(44)</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Receivables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(76)</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Other</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(16)</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(13)</w:t>
            </w:r>
          </w:p>
        </w:tc>
      </w:tr>
      <w:tr>
        <w:trPr>
          <w:trHeight w:val="23"/>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(485)</w:t>
            </w:r>
          </w:p>
        </w:tc>
      </w:tr>
      <w:tr>
        <w:trPr>
          <w:trHeight w:val="185"/>
        </w:trPr>
        <w:tc>
          <w:tcPr>
            <w:tcW w:w="882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2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w:t>
            </w:r>
          </w:p>
        </w:tc>
      </w:tr>
      <w:tr>
        <w:trPr>
          <w:trHeight w:val="172"/>
        </w:trPr>
        <w:tc>
          <w:tcPr>
            <w:tcW w:w="882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Reported as: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Current deferred tax assets (included in other current assets)</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25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25</w:t>
            </w:r>
          </w:p>
        </w:tc>
      </w:tr>
      <w:tr>
        <w:trPr>
          <w:trHeight w:val="18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Noncurrent deferred tax assets (included in other assets)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74</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w:t>
            </w:r>
          </w:p>
        </w:tc>
      </w:tr>
      <w:tr>
        <w:trPr>
          <w:trHeight w:val="185"/>
        </w:trPr>
        <w:tc>
          <w:tcPr>
            <w:tcW w:w="8820" w:type="dxa"/>
            <w:vAlign w:val="bottom"/>
          </w:tcPr>
          <w:p>
            <w:pPr>
              <w:spacing w:after="0"/>
              <w:rPr>
                <w:sz w:val="20"/>
                <w:szCs w:val="20"/>
                <w:color w:val="auto"/>
              </w:rPr>
            </w:pPr>
            <w:r>
              <w:rPr>
                <w:rFonts w:ascii="Arial" w:cs="Arial" w:eastAsia="Arial" w:hAnsi="Arial"/>
                <w:sz w:val="15"/>
                <w:szCs w:val="15"/>
                <w:color w:val="auto"/>
              </w:rPr>
              <w:t>Noncurrent deferred tax liabilities (included in other liabilities)</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(9)</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(25)</w:t>
            </w:r>
          </w:p>
        </w:tc>
      </w:tr>
      <w:tr>
        <w:trPr>
          <w:trHeight w:val="23"/>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auto"/>
        </w:rPr>
        <w:t>The Company has a valuation allowance against substantially all of its U.S. net deferred tax assets. As of August 28, 2008, the Company had aggregate U.S. tax net operating loss carryforwards of $2.7 billion and unused U.S. tax credit carryforwards of $205 million. The Company also has unused state tax net operating loss carryforwards of $1.8 billion and unused state tax credits of $189 million as of August 28, 2008. Substantially all of the net operating loss carryforwards expire in 2022 to 2028 and substantially all of the tax credit carryforwards expire in 2013 to 2028.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w:t>
      </w:r>
    </w:p>
    <w:p>
      <w:pPr>
        <w:spacing w:after="0" w:line="167" w:lineRule="exact"/>
        <w:rPr>
          <w:sz w:val="20"/>
          <w:szCs w:val="20"/>
          <w:color w:val="auto"/>
        </w:rPr>
      </w:pPr>
    </w:p>
    <w:p>
      <w:pPr>
        <w:ind w:right="40"/>
        <w:spacing w:after="0" w:line="328" w:lineRule="auto"/>
        <w:rPr>
          <w:sz w:val="20"/>
          <w:szCs w:val="20"/>
          <w:color w:val="auto"/>
        </w:rPr>
      </w:pPr>
      <w:r>
        <w:rPr>
          <w:rFonts w:ascii="Arial" w:cs="Arial" w:eastAsia="Arial" w:hAnsi="Arial"/>
          <w:sz w:val="14"/>
          <w:szCs w:val="14"/>
          <w:color w:val="auto"/>
        </w:rPr>
        <w:t>The changes in valuation allowance of $427 million and $227 million in 2008 and 2007, respectively, are primarily due to uncertainties of realizing certain U.S. net operating losses and certain tax credit carryforwards. The change in the valuation allowance in 2007 included $6 million for stock plan deductions, which will be credited to additional capital if realized.</w:t>
      </w:r>
    </w:p>
    <w:p>
      <w:pPr>
        <w:spacing w:after="0" w:line="14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Provision has been made for deferred taxes on undistributed earnings of non-U.S. subsidiaries to the extent that dividend payments from such companies are expected to result in additional tax liability. During 2008 a decision was made to not be indefinitely reinvested in certain foreign jurisdictions. For the year ended August 28, 2008, $322 million of earnings that in prior years had been considered indefinitely reinvested in foreign operations were determined to no longer be indefinitely reinvested. This decision resulted in no impact to the consolidated statement of operations as the Company has a full valuation allowance against its net U.S. deferred tax assets. Remaining undistributed earnings of $608 million as of August 28, 2008 have been indefinitely reinvested; therefore, no provision has been made for taxes due upon remittance of these earnings. Determination of the amount of unrecognized deferred tax liability on these unremitted earnings is not practicable.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63" w:name="page64"/>
    <w:bookmarkEnd w:id="63"/>
    <w:p>
      <w:pPr>
        <w:jc w:val="both"/>
        <w:ind w:right="460"/>
        <w:spacing w:after="0" w:line="328" w:lineRule="auto"/>
        <w:rPr>
          <w:sz w:val="20"/>
          <w:szCs w:val="20"/>
          <w:color w:val="auto"/>
        </w:rPr>
      </w:pPr>
      <w:r>
        <w:rPr>
          <w:rFonts w:ascii="Arial" w:cs="Arial" w:eastAsia="Arial" w:hAnsi="Arial"/>
          <w:sz w:val="14"/>
          <w:szCs w:val="14"/>
          <w:color w:val="auto"/>
        </w:rPr>
        <w:t>Effective at the beginning of 2008, the Company adopted the provisions of FIN 48. In connection with the adoption of FIN 48, the Company increased its liability and decreased retained earnings by $1 million for net unrecognized tax benefits at August 31, 2007. Below is a reconciliation of the beginning and ending amount of unrecognized tax benefits:</w:t>
      </w:r>
    </w:p>
    <w:p>
      <w:pPr>
        <w:sectPr>
          <w:pgSz w:w="11900" w:h="16838" w:orient="portrait"/>
          <w:cols w:equalWidth="0" w:num="1">
            <w:col w:w="11440"/>
          </w:cols>
          <w:pgMar w:left="240" w:top="465" w:right="21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Beginning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-102235</wp:posOffset>
            </wp:positionV>
            <wp:extent cx="3827780" cy="1174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27780" cy="11747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-234950</wp:posOffset>
            </wp:positionV>
            <wp:extent cx="376174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61740" cy="1460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Foreign exchange fluctuations</w:t>
      </w:r>
    </w:p>
    <w:p>
      <w:pPr>
        <w:spacing w:after="0" w:line="13"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-108585</wp:posOffset>
            </wp:positionV>
            <wp:extent cx="3827780" cy="1174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27780" cy="117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4"/>
          <w:szCs w:val="14"/>
          <w:color w:val="auto"/>
        </w:rPr>
        <w:t>Expiration of foreign statutes of limitations</w:t>
      </w:r>
    </w:p>
    <w:p>
      <w:pPr>
        <w:spacing w:after="0" w:line="37"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Ending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-102235</wp:posOffset>
            </wp:positionV>
            <wp:extent cx="3827780" cy="147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27780" cy="147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2008</w:t>
      </w:r>
    </w:p>
    <w:p>
      <w:pPr>
        <w:spacing w:after="0" w:line="228"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16</w:t>
      </w:r>
    </w:p>
    <w:p>
      <w:pPr>
        <w:spacing w:after="0" w:line="23" w:lineRule="exact"/>
        <w:rPr>
          <w:rFonts w:ascii="Arial" w:cs="Arial" w:eastAsia="Arial" w:hAnsi="Arial"/>
          <w:sz w:val="15"/>
          <w:szCs w:val="15"/>
          <w:color w:val="auto"/>
        </w:rPr>
      </w:pPr>
    </w:p>
    <w:p>
      <w:pPr>
        <w:ind w:left="960"/>
        <w:spacing w:after="0"/>
        <w:rPr>
          <w:rFonts w:ascii="Arial" w:cs="Arial" w:eastAsia="Arial" w:hAnsi="Arial"/>
          <w:sz w:val="15"/>
          <w:szCs w:val="15"/>
          <w:color w:val="auto"/>
        </w:rPr>
      </w:pPr>
      <w:r>
        <w:rPr>
          <w:rFonts w:ascii="Arial" w:cs="Arial" w:eastAsia="Arial" w:hAnsi="Arial"/>
          <w:sz w:val="15"/>
          <w:szCs w:val="15"/>
          <w:color w:val="auto"/>
        </w:rPr>
        <w:t>1</w:t>
      </w:r>
    </w:p>
    <w:p>
      <w:pPr>
        <w:spacing w:after="0" w:line="13" w:lineRule="exact"/>
        <w:rPr>
          <w:sz w:val="20"/>
          <w:szCs w:val="20"/>
          <w:color w:val="auto"/>
        </w:rPr>
      </w:pPr>
    </w:p>
    <w:p>
      <w:pPr>
        <w:jc w:val="right"/>
        <w:ind w:right="4080"/>
        <w:spacing w:after="0"/>
        <w:rPr>
          <w:sz w:val="20"/>
          <w:szCs w:val="20"/>
          <w:color w:val="auto"/>
        </w:rPr>
      </w:pPr>
      <w:r>
        <w:rPr>
          <w:rFonts w:ascii="Arial" w:cs="Arial" w:eastAsia="Arial" w:hAnsi="Arial"/>
          <w:sz w:val="15"/>
          <w:szCs w:val="15"/>
          <w:color w:val="auto"/>
        </w:rPr>
        <w:t>(1)</w:t>
      </w:r>
    </w:p>
    <w:p>
      <w:pPr>
        <w:spacing w:after="0" w:line="13" w:lineRule="exact"/>
        <w:rPr>
          <w:sz w:val="20"/>
          <w:szCs w:val="20"/>
          <w:color w:val="auto"/>
        </w:rPr>
      </w:pPr>
    </w:p>
    <w:p>
      <w:pPr>
        <w:jc w:val="right"/>
        <w:ind w:right="408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4770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7700" cy="14605"/>
                    </a:xfrm>
                    <a:prstGeom prst="rect">
                      <a:avLst/>
                    </a:prstGeom>
                    <a:noFill/>
                  </pic:spPr>
                </pic:pic>
              </a:graphicData>
            </a:graphic>
          </wp:anchor>
        </w:drawing>
      </w:r>
    </w:p>
    <w:p>
      <w:pPr>
        <w:spacing w:after="0" w:line="6" w:lineRule="exact"/>
        <w:rPr>
          <w:sz w:val="20"/>
          <w:szCs w:val="20"/>
          <w:color w:val="auto"/>
        </w:rPr>
      </w:pPr>
    </w:p>
    <w:p>
      <w:pPr>
        <w:ind w:left="960" w:hanging="952"/>
        <w:spacing w:after="0"/>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1</w:t>
      </w:r>
    </w:p>
    <w:p>
      <w:pPr>
        <w:spacing w:after="0" w:line="200" w:lineRule="exact"/>
        <w:rPr>
          <w:sz w:val="20"/>
          <w:szCs w:val="20"/>
          <w:color w:val="auto"/>
        </w:rPr>
      </w:pPr>
    </w:p>
    <w:p>
      <w:pPr>
        <w:sectPr>
          <w:pgSz w:w="11900" w:h="16838" w:orient="portrait"/>
          <w:cols w:equalWidth="0" w:num="2">
            <w:col w:w="5560" w:space="720"/>
            <w:col w:w="5160"/>
          </w:cols>
          <w:pgMar w:left="240" w:top="465" w:right="219" w:bottom="1440" w:gutter="0" w:footer="0" w:header="0"/>
          <w:type w:val="continuous"/>
        </w:sectPr>
      </w:pPr>
    </w:p>
    <w:p>
      <w:pPr>
        <w:spacing w:after="0" w:line="68"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balance at August 28, 2008 represents unrecognized income tax benefits, which if recognized, would affect the Company’s effective tax rate. As of August 28, 2008 and August 31, 2007, accrued interest and penalties related to uncertain tax positions were de minimis.</w:t>
      </w:r>
    </w:p>
    <w:p>
      <w:pPr>
        <w:spacing w:after="0" w:line="163" w:lineRule="exact"/>
        <w:rPr>
          <w:sz w:val="20"/>
          <w:szCs w:val="20"/>
          <w:color w:val="auto"/>
        </w:rPr>
      </w:pPr>
    </w:p>
    <w:p>
      <w:pPr>
        <w:jc w:val="both"/>
        <w:ind w:right="300"/>
        <w:spacing w:after="0" w:line="302" w:lineRule="auto"/>
        <w:rPr>
          <w:sz w:val="20"/>
          <w:szCs w:val="20"/>
          <w:color w:val="auto"/>
        </w:rPr>
      </w:pPr>
      <w:r>
        <w:rPr>
          <w:rFonts w:ascii="Arial" w:cs="Arial" w:eastAsia="Arial" w:hAnsi="Arial"/>
          <w:sz w:val="14"/>
          <w:szCs w:val="14"/>
          <w:color w:val="auto"/>
        </w:rPr>
        <w:t>The Company and its subsidiaries file income tax returns with the United States federal government, various U.S. states and various foreign jurisdictions throughout the world. The Company’s U.S. federal and state tax returns remain open to examination for 2005 through 2008 and 2004 through 2008, respectively. In addition, tax years open to examination in multiple foreign taxing jurisdictions range from 2001 to 2008. The Company is currently undergoing audits in the U.K. for years 2004 through 2007.</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2007</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7"/>
                <w:szCs w:val="17"/>
                <w:color w:val="auto"/>
              </w:rPr>
            </w:pPr>
          </w:p>
        </w:tc>
      </w:tr>
      <w:tr>
        <w:trPr>
          <w:trHeight w:val="185"/>
        </w:trPr>
        <w:tc>
          <w:tcPr>
            <w:tcW w:w="7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available to common shareholders – Basic</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(1,619)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408</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Net effect of assumed conversion of debt</w:t>
            </w:r>
          </w:p>
        </w:tc>
        <w:tc>
          <w:tcPr>
            <w:tcW w:w="7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6</w:t>
            </w:r>
          </w:p>
        </w:tc>
      </w:tr>
      <w:tr>
        <w:trPr>
          <w:trHeight w:val="23"/>
        </w:trPr>
        <w:tc>
          <w:tcPr>
            <w:tcW w:w="7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available to common shareholders – Diluted</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(1,619)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414</w:t>
            </w:r>
          </w:p>
        </w:tc>
      </w:tr>
      <w:tr>
        <w:trPr>
          <w:trHeight w:val="172"/>
        </w:trPr>
        <w:tc>
          <w:tcPr>
            <w:tcW w:w="744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 – Basic</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772.5</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769.1</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691.7</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Net effect of dilutive stock options and assumed conversionof debt</w:t>
            </w:r>
          </w:p>
        </w:tc>
        <w:tc>
          <w:tcPr>
            <w:tcW w:w="7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33.4</w:t>
            </w:r>
          </w:p>
        </w:tc>
      </w:tr>
      <w:tr>
        <w:trPr>
          <w:trHeight w:val="23"/>
        </w:trPr>
        <w:tc>
          <w:tcPr>
            <w:tcW w:w="7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 – Diluted</w:t>
            </w:r>
          </w:p>
        </w:tc>
        <w:tc>
          <w:tcPr>
            <w:tcW w:w="7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772.5</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769.1</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725.1</w:t>
            </w:r>
          </w:p>
        </w:tc>
      </w:tr>
      <w:tr>
        <w:trPr>
          <w:trHeight w:val="172"/>
        </w:trPr>
        <w:tc>
          <w:tcPr>
            <w:tcW w:w="744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Earnings (loss) per share:</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Basic</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(2.10)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(0.42)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0.59</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Diluted</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(2.10)</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(0.42)</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0.57</w:t>
            </w:r>
          </w:p>
        </w:tc>
      </w:tr>
    </w:tbl>
    <w:p>
      <w:pPr>
        <w:spacing w:after="0" w:line="198" w:lineRule="exact"/>
        <w:rPr>
          <w:sz w:val="20"/>
          <w:szCs w:val="20"/>
          <w:color w:val="auto"/>
        </w:rPr>
      </w:pPr>
    </w:p>
    <w:p>
      <w:pPr>
        <w:ind w:right="820"/>
        <w:spacing w:after="0" w:line="290" w:lineRule="auto"/>
        <w:rPr>
          <w:sz w:val="20"/>
          <w:szCs w:val="20"/>
          <w:color w:val="auto"/>
        </w:rPr>
      </w:pPr>
      <w:r>
        <w:rPr>
          <w:rFonts w:ascii="Arial" w:cs="Arial" w:eastAsia="Arial" w:hAnsi="Arial"/>
          <w:sz w:val="15"/>
          <w:szCs w:val="15"/>
          <w:color w:val="auto"/>
        </w:rPr>
        <w:t>Listed below are the potential common shares, as of the end of the periods shown below, that could dilute basic earnings per share in the future that were not included in the computation of diluted earnings per share because to do so would have been antidilutive: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2007</w:t>
            </w: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7"/>
                <w:szCs w:val="17"/>
                <w:color w:val="auto"/>
              </w:rPr>
            </w:pPr>
          </w:p>
        </w:tc>
      </w:tr>
      <w:tr>
        <w:trPr>
          <w:trHeight w:val="185"/>
        </w:trPr>
        <w:tc>
          <w:tcPr>
            <w:tcW w:w="8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8200" w:type="dxa"/>
            <w:vAlign w:val="bottom"/>
            <w:shd w:val="clear" w:color="auto" w:fill="CCEEFF"/>
          </w:tcPr>
          <w:p>
            <w:pPr>
              <w:spacing w:after="0"/>
              <w:rPr>
                <w:sz w:val="20"/>
                <w:szCs w:val="20"/>
                <w:color w:val="auto"/>
              </w:rPr>
            </w:pPr>
            <w:r>
              <w:rPr>
                <w:rFonts w:ascii="Arial" w:cs="Arial" w:eastAsia="Arial" w:hAnsi="Arial"/>
                <w:sz w:val="15"/>
                <w:szCs w:val="15"/>
                <w:color w:val="auto"/>
              </w:rPr>
              <w:t>Employee stock plans</w:t>
            </w:r>
          </w:p>
        </w:tc>
        <w:tc>
          <w:tcPr>
            <w:tcW w:w="7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122.1</w:t>
            </w:r>
          </w:p>
        </w:tc>
        <w:tc>
          <w:tcPr>
            <w:tcW w:w="138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124.8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68.7</w:t>
            </w:r>
          </w:p>
        </w:tc>
      </w:tr>
      <w:tr>
        <w:trPr>
          <w:trHeight w:val="185"/>
        </w:trPr>
        <w:tc>
          <w:tcPr>
            <w:tcW w:w="8200" w:type="dxa"/>
            <w:vAlign w:val="bottom"/>
          </w:tcPr>
          <w:p>
            <w:pPr>
              <w:spacing w:after="0"/>
              <w:rPr>
                <w:sz w:val="20"/>
                <w:szCs w:val="20"/>
                <w:color w:val="auto"/>
              </w:rPr>
            </w:pPr>
            <w:r>
              <w:rPr>
                <w:rFonts w:ascii="Arial" w:cs="Arial" w:eastAsia="Arial" w:hAnsi="Arial"/>
                <w:sz w:val="15"/>
                <w:szCs w:val="15"/>
                <w:color w:val="auto"/>
              </w:rPr>
              <w:t>Convertible notes</w:t>
            </w:r>
          </w:p>
        </w:tc>
        <w:tc>
          <w:tcPr>
            <w:tcW w:w="700" w:type="dxa"/>
            <w:vAlign w:val="bottom"/>
          </w:tcPr>
          <w:p>
            <w:pPr>
              <w:jc w:val="right"/>
              <w:ind w:right="243"/>
              <w:spacing w:after="0"/>
              <w:rPr>
                <w:sz w:val="20"/>
                <w:szCs w:val="20"/>
                <w:color w:val="auto"/>
              </w:rPr>
            </w:pPr>
            <w:r>
              <w:rPr>
                <w:rFonts w:ascii="Arial" w:cs="Arial" w:eastAsia="Arial" w:hAnsi="Arial"/>
                <w:sz w:val="15"/>
                <w:szCs w:val="15"/>
                <w:color w:val="auto"/>
              </w:rPr>
              <w:t>97.6</w:t>
            </w:r>
          </w:p>
        </w:tc>
        <w:tc>
          <w:tcPr>
            <w:tcW w:w="1380" w:type="dxa"/>
            <w:vAlign w:val="bottom"/>
          </w:tcPr>
          <w:p>
            <w:pPr>
              <w:jc w:val="right"/>
              <w:ind w:right="243"/>
              <w:spacing w:after="0"/>
              <w:rPr>
                <w:sz w:val="20"/>
                <w:szCs w:val="20"/>
                <w:color w:val="auto"/>
              </w:rPr>
            </w:pPr>
            <w:r>
              <w:rPr>
                <w:rFonts w:ascii="Arial" w:cs="Arial" w:eastAsia="Arial" w:hAnsi="Arial"/>
                <w:sz w:val="15"/>
                <w:szCs w:val="15"/>
                <w:color w:val="auto"/>
              </w:rPr>
              <w:t>97.6</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6.2</w:t>
            </w:r>
          </w:p>
        </w:tc>
      </w:tr>
      <w:tr>
        <w:trPr>
          <w:trHeight w:val="185"/>
        </w:trPr>
        <w:tc>
          <w:tcPr>
            <w:tcW w:w="8200" w:type="dxa"/>
            <w:vAlign w:val="bottom"/>
            <w:shd w:val="clear" w:color="auto" w:fill="CCEEFF"/>
          </w:tcPr>
          <w:p>
            <w:pPr>
              <w:spacing w:after="0"/>
              <w:rPr>
                <w:sz w:val="20"/>
                <w:szCs w:val="20"/>
                <w:color w:val="auto"/>
              </w:rPr>
            </w:pPr>
            <w:r>
              <w:rPr>
                <w:rFonts w:ascii="Arial" w:cs="Arial" w:eastAsia="Arial" w:hAnsi="Arial"/>
                <w:sz w:val="15"/>
                <w:szCs w:val="15"/>
                <w:color w:val="auto"/>
              </w:rPr>
              <w:t>Common stock warrants</w:t>
            </w:r>
          </w:p>
        </w:tc>
        <w:tc>
          <w:tcPr>
            <w:tcW w:w="7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29.1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29.1</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Acquisitions</w:t>
      </w:r>
    </w:p>
    <w:p>
      <w:pPr>
        <w:spacing w:after="0" w:line="218"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b w:val="1"/>
          <w:bCs w:val="1"/>
          <w:i w:val="1"/>
          <w:iCs w:val="1"/>
          <w:color w:val="auto"/>
        </w:rPr>
        <w:t xml:space="preserve">Lexar Media, Inc. (“Lexar”): </w:t>
      </w:r>
      <w:r>
        <w:rPr>
          <w:rFonts w:ascii="Arial" w:cs="Arial" w:eastAsia="Arial" w:hAnsi="Arial"/>
          <w:sz w:val="14"/>
          <w:szCs w:val="14"/>
          <w:color w:val="auto"/>
        </w:rPr>
        <w:t>On June 21, 2006, the Company acquired Lexar, a designer, developer, manufacturer and marketer of Flash memory products, in a stock-for-stock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merger to broaden the Company’s NAND Flash memory product offering, enhance its retail presence and strengthen its portfolio of intellectual property. Pursuant to the terms of the merger agreement, the Company issued 50.7 million shares of common stock, issued 6.6 million stock options and incurred other acquisition costs resulting in an aggregate purchase price of $886 million. In the final allocation of the $886 million purchase price, the Company recorded total assets of $1,344 million (including cash and short-term investments of $101 million, receivables of $317 million, intangible assets of $183 million, deferred tax assets of $180 million and goodwill of $458 million) and total liabilities of $458 million (including accounts payable and accrued expenses of $169 million, deferred tax liabilities of $176 million and debt of $113 million).</w:t>
      </w:r>
    </w:p>
    <w:p>
      <w:pPr>
        <w:spacing w:after="0" w:line="171" w:lineRule="exact"/>
        <w:rPr>
          <w:sz w:val="20"/>
          <w:szCs w:val="20"/>
          <w:color w:val="auto"/>
        </w:rPr>
      </w:pPr>
    </w:p>
    <w:p>
      <w:pPr>
        <w:ind w:right="540"/>
        <w:spacing w:after="0" w:line="328" w:lineRule="auto"/>
        <w:rPr>
          <w:sz w:val="20"/>
          <w:szCs w:val="20"/>
          <w:color w:val="auto"/>
        </w:rPr>
      </w:pPr>
      <w:r>
        <w:rPr>
          <w:rFonts w:ascii="Arial" w:cs="Arial" w:eastAsia="Arial" w:hAnsi="Arial"/>
          <w:sz w:val="14"/>
          <w:szCs w:val="14"/>
          <w:color w:val="auto"/>
        </w:rPr>
        <w:t>The following unaudited pro forma information presents the consolidated results of operations of the Company as if the acquisition of Lexar had taken place at the beginning of 2006. The pro forma information does not necessarily reflect the actual results that would have occurred nor is it necessarily indicative of future results of operations.</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205"/>
        </w:trPr>
        <w:tc>
          <w:tcPr>
            <w:tcW w:w="3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2006</w:t>
            </w:r>
          </w:p>
        </w:tc>
        <w:tc>
          <w:tcPr>
            <w:tcW w:w="120" w:type="dxa"/>
            <w:vAlign w:val="bottom"/>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60" w:type="dxa"/>
            <w:vAlign w:val="bottom"/>
          </w:tcPr>
          <w:p>
            <w:pPr>
              <w:jc w:val="center"/>
              <w:ind w:right="43"/>
              <w:spacing w:after="0"/>
              <w:rPr>
                <w:sz w:val="20"/>
                <w:szCs w:val="20"/>
                <w:color w:val="auto"/>
              </w:rPr>
            </w:pPr>
            <w:r>
              <w:rPr>
                <w:rFonts w:ascii="Arial" w:cs="Arial" w:eastAsia="Arial" w:hAnsi="Arial"/>
                <w:sz w:val="15"/>
                <w:szCs w:val="15"/>
                <w:color w:val="auto"/>
                <w:w w:val="94"/>
              </w:rPr>
              <w:t>(unaudited)</w:t>
            </w:r>
          </w:p>
        </w:tc>
        <w:tc>
          <w:tcPr>
            <w:tcW w:w="120" w:type="dxa"/>
            <w:vAlign w:val="bottom"/>
          </w:tcPr>
          <w:p>
            <w:pPr>
              <w:spacing w:after="0"/>
              <w:rPr>
                <w:sz w:val="17"/>
                <w:szCs w:val="17"/>
                <w:color w:val="auto"/>
              </w:rPr>
            </w:pPr>
          </w:p>
        </w:tc>
      </w:tr>
      <w:tr>
        <w:trPr>
          <w:trHeight w:val="175"/>
        </w:trPr>
        <w:tc>
          <w:tcPr>
            <w:tcW w:w="3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5"/>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5,746</w:t>
            </w:r>
          </w:p>
        </w:tc>
      </w:tr>
      <w:tr>
        <w:trPr>
          <w:trHeight w:val="185"/>
        </w:trPr>
        <w:tc>
          <w:tcPr>
            <w:tcW w:w="3280" w:type="dxa"/>
            <w:vAlign w:val="bottom"/>
          </w:tcPr>
          <w:p>
            <w:pPr>
              <w:spacing w:after="0"/>
              <w:rPr>
                <w:sz w:val="20"/>
                <w:szCs w:val="20"/>
                <w:color w:val="auto"/>
              </w:rPr>
            </w:pPr>
            <w:r>
              <w:rPr>
                <w:rFonts w:ascii="Arial" w:cs="Arial" w:eastAsia="Arial" w:hAnsi="Arial"/>
                <w:sz w:val="15"/>
                <w:szCs w:val="15"/>
                <w:color w:val="auto"/>
              </w:rPr>
              <w:t>Net income</w:t>
            </w:r>
          </w:p>
        </w:tc>
        <w:tc>
          <w:tcPr>
            <w:tcW w:w="16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266</w:t>
            </w:r>
          </w:p>
        </w:tc>
      </w:tr>
      <w:tr>
        <w:trPr>
          <w:trHeight w:val="185"/>
        </w:trPr>
        <w:tc>
          <w:tcPr>
            <w:tcW w:w="32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6"/>
        </w:trPr>
        <w:tc>
          <w:tcPr>
            <w:tcW w:w="3280" w:type="dxa"/>
            <w:vAlign w:val="bottom"/>
          </w:tcPr>
          <w:p>
            <w:pPr>
              <w:spacing w:after="0"/>
              <w:rPr>
                <w:sz w:val="20"/>
                <w:szCs w:val="20"/>
                <w:color w:val="auto"/>
              </w:rPr>
            </w:pPr>
            <w:r>
              <w:rPr>
                <w:rFonts w:ascii="Arial" w:cs="Arial" w:eastAsia="Arial" w:hAnsi="Arial"/>
                <w:sz w:val="15"/>
                <w:szCs w:val="15"/>
                <w:color w:val="auto"/>
              </w:rPr>
              <w:t>Earnings per share – diluted</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0.35</w:t>
            </w:r>
          </w:p>
        </w:tc>
      </w:tr>
    </w:tbl>
    <w:p>
      <w:pPr>
        <w:spacing w:after="0" w:line="188"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Effective September 15, 2006, the Company and Toshiba Corporation entered into agreements settling all outstanding NAND Flash memory-related litigation between the companies. Toshiba purchased certain of the Company’s semiconductor technology patents and licensed certain patents previously owned by Lexar in exchange for payments totaling $288 million over three years, a substantial portion of which was included in the allocation of the purchase price for Lexar as a receivable at an imputed interest rate of 5.9%. As of August 28, 2008 and August 30, 2007, $116 and $193 million of the settlement proceeds remained in current and noncurrent receivables.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5"/>
          <w:szCs w:val="15"/>
          <w:b w:val="1"/>
          <w:bCs w:val="1"/>
          <w:i w:val="1"/>
          <w:iCs w:val="1"/>
          <w:color w:val="auto"/>
        </w:rPr>
        <w:t xml:space="preserve">Avago Technologies Limited Image Sensor Business (“Avago”): </w:t>
      </w:r>
      <w:r>
        <w:rPr>
          <w:rFonts w:ascii="Arial" w:cs="Arial" w:eastAsia="Arial" w:hAnsi="Arial"/>
          <w:sz w:val="15"/>
          <w:szCs w:val="15"/>
          <w:color w:val="auto"/>
        </w:rPr>
        <w:t>On December 11, 2006, the Company acquired the CMOS image sensor business of Avago for an initial cash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 of $53 million and additional contingent consideration at the date of acquisition of up to $17 million if certain milestones were met through calendar 2008. Through August 28, 2008, the Company has paid a total of $10 million of additional contingent consideration, which has been recorded as an increase in goodwill subsequent to the acquisition date. The Company recorded total assets of $64 million (including intangible assets of $17 million and goodwill of $46 million) and total liabilities of $1 million. The Company’s results of operations subsequent to the acquisition date include the CMOS image sensor business acquired from Avago as part of the Company’s Imaging segment. Mercedes Johnson, a member of the Company’s Board of Directors, was the Senior Vice President, Finance and Chief Financial Officer of Avago at the time of the transaction. Ms. Johnson recused herself from all deliberations of the Company’s Board of Directors concerning this transaction.</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NAND Flash Joint Ventures with Intel (“IM Flash”): </w:t>
      </w:r>
      <w:r>
        <w:rPr>
          <w:rFonts w:ascii="Arial" w:cs="Arial" w:eastAsia="Arial" w:hAnsi="Arial"/>
          <w:sz w:val="14"/>
          <w:szCs w:val="14"/>
          <w:color w:val="auto"/>
        </w:rPr>
        <w:t>The Company has formed two joint ventures with Intel to manufacture NAND Flash memory products for the exclusive benefit</w:t>
      </w:r>
    </w:p>
    <w:p>
      <w:pPr>
        <w:spacing w:after="0" w:line="35" w:lineRule="exact"/>
        <w:rPr>
          <w:sz w:val="20"/>
          <w:szCs w:val="20"/>
          <w:color w:val="auto"/>
        </w:rPr>
      </w:pPr>
    </w:p>
    <w:p>
      <w:pPr>
        <w:ind w:right="240"/>
        <w:spacing w:after="0" w:line="264" w:lineRule="auto"/>
        <w:rPr>
          <w:sz w:val="20"/>
          <w:szCs w:val="20"/>
          <w:color w:val="auto"/>
        </w:rPr>
      </w:pPr>
      <w:r>
        <w:rPr>
          <w:rFonts w:ascii="Arial" w:cs="Arial" w:eastAsia="Arial" w:hAnsi="Arial"/>
          <w:sz w:val="15"/>
          <w:szCs w:val="15"/>
          <w:color w:val="auto"/>
        </w:rPr>
        <w:t>of the partners: IM Flash Technologies, LLC and IM Flash Singapore LLP. As of August 28, 2008, the Company owned 51% and Intel owned 49% of IM Flash. The Company has determined that both of the IM Flash joint ventures are variable interest entities as defined in FIN 46 (R), “Consolidation of Variable Interest Entities – an interpretation of ARB No. 51,” (“FIN 46(R)”) and that the Company is the primary beneficiary of both. Accordingly, IM Flash financial results are included in the consolidated financial statements of the Company and all amounts pertaining to Intel’s interests in IM Flash are reported as noncontrolling interest.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5" w:name="page66"/>
    <w:bookmarkEnd w:id="65"/>
    <w:p>
      <w:pPr>
        <w:ind w:right="80"/>
        <w:spacing w:after="0" w:line="263" w:lineRule="auto"/>
        <w:rPr>
          <w:sz w:val="20"/>
          <w:szCs w:val="20"/>
          <w:color w:val="auto"/>
        </w:rPr>
      </w:pPr>
      <w:r>
        <w:rPr>
          <w:rFonts w:ascii="Arial" w:cs="Arial" w:eastAsia="Arial" w:hAnsi="Arial"/>
          <w:sz w:val="15"/>
          <w:szCs w:val="15"/>
          <w:color w:val="auto"/>
        </w:rPr>
        <w:t>IM Flash sells products to the joint venture partners generally in proportion to their ownership at long-term negotiated prices approximating cost. IM Flash sales to Intel were $1,037 million, $497 million and $114 million for 2008, 2007 and 2006, respectively. As of August 28, 2008 and August 30, 2007, IM Flash had receivables from Intel for sales of NAND Flash products of $144 million and $121 million, respectively. Under the terms of a lease agreement, IM Flash has the use of approximately 50% of the Company’s manufacturing facility in Manassas, Virginia through January 2016. IM Flash purchases and installs manufacturing equipment into the leased facility, which is operated and maintained by the Company. The cost of operating and maintaining the equipment is charged to IM Flash. The Company and Intel entered into various service contracts with IM Flash under which they provide operational and administrative support services, and generally charge IM Flash for the costs of providing such services. As of August 28, 2008 and August 30, 2007, IM Flash had payables to Intel of $4 million and $1 million, respectively.</w:t>
      </w:r>
    </w:p>
    <w:p>
      <w:pPr>
        <w:spacing w:after="0" w:line="184" w:lineRule="exact"/>
        <w:rPr>
          <w:sz w:val="20"/>
          <w:szCs w:val="20"/>
          <w:color w:val="auto"/>
        </w:rPr>
      </w:pPr>
    </w:p>
    <w:p>
      <w:pPr>
        <w:jc w:val="both"/>
        <w:ind w:right="280"/>
        <w:spacing w:after="0" w:line="302" w:lineRule="auto"/>
        <w:rPr>
          <w:sz w:val="20"/>
          <w:szCs w:val="20"/>
          <w:color w:val="auto"/>
        </w:rPr>
      </w:pPr>
      <w:r>
        <w:rPr>
          <w:rFonts w:ascii="Arial" w:cs="Arial" w:eastAsia="Arial" w:hAnsi="Arial"/>
          <w:sz w:val="14"/>
          <w:szCs w:val="14"/>
          <w:color w:val="auto"/>
        </w:rPr>
        <w:t>IM Flash manufactures NAND Flash memory products based on NAND Flash designs developed by the Company and Intel and licensed to the Company. Product design and other research and development (“R&amp;D”) costs for NAND Flash are generally shared equally between the Company and Intel. As a result of reimbursements received from Intel under a NAND Flash R&amp;D cost-sharing arrangement, the Company’s R&amp;D expenses were reduced by $148 million, $240 million and $86 million in 2008, 2007 and 2006, respectively.</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Under the terms of a wafer supply agreement, the Company manufactured wafers for IM Flash in its Boise, Idaho facility. On October 9, 2008, the Company announced that it had agreed with Intel to discontinue production of 200mm wafer NAND flash memory at Micron’s Boise facility. In the first quarter of 2009, IM Flash substantially completed construction of a new 300mm wafer fabrication facility in Singapore, which has not been equipped. Additionally, the Company and Intel agreed to suspend tooling and the ramp of production at IM Flash’s Singapore facility.</w:t>
      </w:r>
    </w:p>
    <w:p>
      <w:pPr>
        <w:spacing w:after="0" w:line="180" w:lineRule="exact"/>
        <w:rPr>
          <w:sz w:val="20"/>
          <w:szCs w:val="20"/>
          <w:color w:val="auto"/>
        </w:rPr>
      </w:pPr>
    </w:p>
    <w:p>
      <w:pPr>
        <w:ind w:right="300"/>
        <w:spacing w:after="0" w:line="293" w:lineRule="auto"/>
        <w:rPr>
          <w:sz w:val="20"/>
          <w:szCs w:val="20"/>
          <w:color w:val="auto"/>
        </w:rPr>
      </w:pPr>
      <w:r>
        <w:rPr>
          <w:rFonts w:ascii="Arial" w:cs="Arial" w:eastAsia="Arial" w:hAnsi="Arial"/>
          <w:sz w:val="14"/>
          <w:szCs w:val="14"/>
          <w:color w:val="auto"/>
        </w:rPr>
        <w:t>Intel contributed to IM Flash $261 million and $1,238 million (net of $132 million of distributions to Intel in 2008) in 2008 and 2007, respectively. Company’s ability to access IM Flash’s cash and marketable investment securities ($393 million as of August 28, 2008) to finance the Company’s other operations is subject to agreement by the joint venture partners. IM Flash’s cash and marketable investment securities ($393 million as of August 28, 2008) are not anticipated to be made available to finance the Company’s other operations. The creditors of IM Flash have recourse only to the assets of IM Flash and do not have recourse to any other assets of the Company.</w:t>
      </w:r>
    </w:p>
    <w:p>
      <w:pPr>
        <w:spacing w:after="0" w:line="16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i w:val="1"/>
          <w:iCs w:val="1"/>
          <w:color w:val="auto"/>
        </w:rPr>
        <w:t xml:space="preserve">TECH Semiconductor Singapore Pte. Ltd. (“TECH”): </w:t>
      </w:r>
      <w:r>
        <w:rPr>
          <w:rFonts w:ascii="Arial" w:cs="Arial" w:eastAsia="Arial" w:hAnsi="Arial"/>
          <w:sz w:val="14"/>
          <w:szCs w:val="14"/>
          <w:color w:val="auto"/>
        </w:rPr>
        <w:t>Since 1998, the Company has participated in TECH, a semiconductor memory manufacturing joint venture in Singapore among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Canon Inc. and Hewlett-Packard Company (“HP”). As of August 28, 2008, the Company owned an approximate 73% interest in TECH. The shareholders’ agreement for the TECH joint venture expires in 2011. The Company began consolidating TECH’s financial results as of the beginning of the third quarter of 2006.</w:t>
      </w:r>
    </w:p>
    <w:p>
      <w:pPr>
        <w:spacing w:after="0" w:line="157" w:lineRule="exact"/>
        <w:rPr>
          <w:sz w:val="20"/>
          <w:szCs w:val="20"/>
          <w:color w:val="auto"/>
        </w:rPr>
      </w:pPr>
    </w:p>
    <w:p>
      <w:pPr>
        <w:ind w:right="280"/>
        <w:spacing w:after="0" w:line="290" w:lineRule="auto"/>
        <w:rPr>
          <w:sz w:val="20"/>
          <w:szCs w:val="20"/>
          <w:color w:val="auto"/>
        </w:rPr>
      </w:pPr>
      <w:r>
        <w:rPr>
          <w:rFonts w:ascii="Arial" w:cs="Arial" w:eastAsia="Arial" w:hAnsi="Arial"/>
          <w:sz w:val="15"/>
          <w:szCs w:val="15"/>
          <w:color w:val="auto"/>
        </w:rPr>
        <w:t>In March, 2007, the Company acquired all of the shares of TECH common stock held by the Singapore Economic Development Board for approximately $290 million, (including a note payable that was fully paid in 2008) increasing the Company’s ownership interest in TECH from 43% to 73%.</w:t>
      </w:r>
    </w:p>
    <w:p>
      <w:pPr>
        <w:spacing w:after="0" w:line="163"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TECH uses the Company’s product and process technology to manufacture its memory semiconductor products. The Company generally purchases all the semiconductor memory products manufactured by TECH, subject to specific terms and conditions,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 TECH. Through the second quarter of 2006, prior to the consolidation of TECH, all of these transactions with TECH were recognized as part of the net cost of products purchased from TECH. The net cost of products purchased from TECH amounted to $287 million for the first six months of 2006.</w:t>
      </w:r>
    </w:p>
    <w:p>
      <w:pPr>
        <w:spacing w:after="0" w:line="167" w:lineRule="exact"/>
        <w:rPr>
          <w:sz w:val="20"/>
          <w:szCs w:val="20"/>
          <w:color w:val="auto"/>
        </w:rPr>
      </w:pPr>
    </w:p>
    <w:p>
      <w:pPr>
        <w:ind w:right="460"/>
        <w:spacing w:after="0" w:line="328" w:lineRule="auto"/>
        <w:rPr>
          <w:sz w:val="20"/>
          <w:szCs w:val="20"/>
          <w:color w:val="auto"/>
        </w:rPr>
      </w:pPr>
      <w:r>
        <w:rPr>
          <w:rFonts w:ascii="Arial" w:cs="Arial" w:eastAsia="Arial" w:hAnsi="Arial"/>
          <w:sz w:val="14"/>
          <w:szCs w:val="14"/>
          <w:color w:val="auto"/>
        </w:rPr>
        <w:t>The Company’s ability to access TECH’s cash and marketable investment securities ($115 million as of August 28, 2008) to finance the Company’s other operations is subject to agreement by the joint venture partners. In March, 2008, TECH entered into a $600 million credit facility, which is guaranteed, in part, by the Company. (See “Debt” note.)</w:t>
      </w:r>
    </w:p>
    <w:p>
      <w:pPr>
        <w:spacing w:after="0" w:line="140" w:lineRule="exact"/>
        <w:rPr>
          <w:sz w:val="20"/>
          <w:szCs w:val="20"/>
          <w:color w:val="auto"/>
        </w:rPr>
      </w:pPr>
    </w:p>
    <w:p>
      <w:pPr>
        <w:spacing w:after="0" w:line="266" w:lineRule="auto"/>
        <w:rPr>
          <w:sz w:val="20"/>
          <w:szCs w:val="20"/>
          <w:color w:val="auto"/>
        </w:rPr>
      </w:pPr>
      <w:r>
        <w:rPr>
          <w:rFonts w:ascii="Arial" w:cs="Arial" w:eastAsia="Arial" w:hAnsi="Arial"/>
          <w:sz w:val="15"/>
          <w:szCs w:val="15"/>
          <w:b w:val="1"/>
          <w:bCs w:val="1"/>
          <w:i w:val="1"/>
          <w:iCs w:val="1"/>
          <w:color w:val="auto"/>
        </w:rPr>
        <w:t xml:space="preserve">DRAM Joint Ventures with Nanya Technology Corporation (“Nanya”): </w:t>
      </w:r>
      <w:r>
        <w:rPr>
          <w:rFonts w:ascii="Arial" w:cs="Arial" w:eastAsia="Arial" w:hAnsi="Arial"/>
          <w:sz w:val="15"/>
          <w:szCs w:val="15"/>
          <w:color w:val="auto"/>
        </w:rPr>
        <w:t>On June 8, 2008, the Company and Nanya formed a joint venture corporation ("MeiYa") to manufacture stack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DRAM products and sell such products exclusively to the Company and Nanya. The Company and Nanya each contributed approximately $84 million in cash to MeiYa in 2008 and each owns 50% of MeiYa. The Company has determined that MeiYa is a variable interest entity as defined in FIN 46(R) and that the Company is not the primary beneficiary of MeiYa. The Company's maximum loss in MeiYa is equal to it’s investment as of August 28, 2008 of $84 million. The Company accounts for its interest in MeiYa under the equity method because of the Company’s ability to exercise significant influence over the operating and financial policies of MeiYa.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66" w:name="page67"/>
    <w:bookmarkEnd w:id="66"/>
    <w:p>
      <w:pPr>
        <w:ind w:right="200" w:firstLine="278"/>
        <w:spacing w:after="0" w:line="286" w:lineRule="auto"/>
        <w:rPr>
          <w:sz w:val="20"/>
          <w:szCs w:val="20"/>
          <w:color w:val="auto"/>
        </w:rPr>
      </w:pPr>
      <w:r>
        <w:rPr>
          <w:rFonts w:ascii="Arial" w:cs="Arial" w:eastAsia="Arial" w:hAnsi="Arial"/>
          <w:sz w:val="14"/>
          <w:szCs w:val="14"/>
          <w:color w:val="auto"/>
        </w:rPr>
        <w:t>In the third quarter of 2008, the Company transferred and licensed certain intellectual property related to the manufacture of stack DRAM products to Nanya and licensed certain intellectual property from Nanya. The Company and Nanya also agreed to jointly develop process technology and designs to manufacture stack DRAM products with each party bearing its own development costs until such time that the development costs exceed a specified amount, following which such costs would be shared. The Company’s development costs are expected to exceed Nanya’s development costs by a significant amount. Under this arrangement, the Company is to receive an aggregate of $232 million from Nanya and MeiYa through 2010 for licensing and technology transfer fees, of which the Company realized $40 million of revenue in 2008. As of August 28, 2008, receivables from Nanya were $40 million related to licensing of intellectual property. The Company will also receive royalties from Nanya for stack DRAM products manufactured by or for Nanya.</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On October 12, 2008, the Company announced that it had entered into an agreement to acquire Qimonda AG’s 35.6% ownership stake in Inotera Memories, Inc. (“Inotera”), a Taiwanese DRAM memory manufacturer, for $400 million in cash. The Company received commitments for $285 million of term loans to fund this acquisition in part. Inotera is expected to implement the Company’s stack DRAM process technology and it is anticipated that the Company will receive royalties on the sale of Inotera’s production that is delivered to Nanya, a 35.6% stakeholder in Inotera. The Company will eventually gain access to approximately 60,000 300mm DRAM wafers per month, 50% of Inotera’s output. In connection with this acquisition, the Company expects to enter into a series of agreements with Nanya to restructure MeiYa. It is anticipated that both parties will cease future resource commitments to MeiYa and redirect those resources to Inotera.</w:t>
      </w:r>
    </w:p>
    <w:p>
      <w:pPr>
        <w:spacing w:after="0" w:line="183"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b w:val="1"/>
          <w:bCs w:val="1"/>
          <w:i w:val="1"/>
          <w:iCs w:val="1"/>
          <w:color w:val="auto"/>
        </w:rPr>
        <w:t xml:space="preserve">MP Mask Technology Center, LLC (“MP Mask”): </w:t>
      </w:r>
      <w:r>
        <w:rPr>
          <w:rFonts w:ascii="Arial" w:cs="Arial" w:eastAsia="Arial" w:hAnsi="Arial"/>
          <w:sz w:val="15"/>
          <w:szCs w:val="15"/>
          <w:color w:val="auto"/>
        </w:rPr>
        <w:t>In 2006, the Company formed a joint venture, MP Mask, with Photronics, Inc. (“Photronics”) to produce photomasks for leading-edge and advanced next generation semiconductors. As of August 28, 2008, the Company owned 50.01% and Photronics owned 49.99% of MP Mask. The Company purchases a substantial majority of the reticles produced by MP Mask pursuant to a supply arrangement. The financial results of MP Mask are included in the accompanying consolidated financial statements of the Company. In connection with the joint venture, the Company received $72 million in 2006 in exchange for entering into a license agreement with Photronics, which is being recognized over the term of the 10-year agreement.</w:t>
      </w:r>
    </w:p>
    <w:p>
      <w:pPr>
        <w:spacing w:after="0" w:line="180"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In 2008 the Company completed the construction of a facility to produce photomasks and leased such facility to Photronics under a build to suit lease agreement. Under the terms of the lease agreement, the Company will receive future minimum lease payments in approximately equal quarterly installments through January 2013. As of August 28, 2008, other receivables included $12 million and other noncurrent assets included $46 million of these minimum lease payments.</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218"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The Company’s reportable segments are Memory and Imaging. The Memory segment’s primary products are DRAM and NAND Flash and the Imaging segment’s primary product is CMOS image sensors.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7"/>
                <w:szCs w:val="17"/>
                <w:color w:val="auto"/>
              </w:rPr>
            </w:pPr>
          </w:p>
        </w:tc>
      </w:tr>
      <w:tr>
        <w:trPr>
          <w:trHeight w:val="185"/>
        </w:trPr>
        <w:tc>
          <w:tcPr>
            <w:tcW w:w="7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Memory</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5,188</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5,001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4,523</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Imaging</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653</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687</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749</w:t>
            </w:r>
          </w:p>
        </w:tc>
      </w:tr>
      <w:tr>
        <w:trPr>
          <w:trHeight w:val="23"/>
        </w:trPr>
        <w:tc>
          <w:tcPr>
            <w:tcW w:w="74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Total consolidated net sales</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5,841</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5,688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5,272</w:t>
            </w:r>
          </w:p>
        </w:tc>
      </w:tr>
      <w:tr>
        <w:trPr>
          <w:trHeight w:val="20"/>
        </w:trPr>
        <w:tc>
          <w:tcPr>
            <w:tcW w:w="7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7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Operating income (loss):</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Memory</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(1,564)</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197</w:t>
            </w: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Imaging</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(31)</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8</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153</w:t>
            </w:r>
          </w:p>
        </w:tc>
      </w:tr>
      <w:tr>
        <w:trPr>
          <w:trHeight w:val="23"/>
        </w:trPr>
        <w:tc>
          <w:tcPr>
            <w:tcW w:w="7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Total consolidated operating income (loss)</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(1,595)</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8" w:right="21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Certain Concentrations</w:t>
      </w:r>
    </w:p>
    <w:p>
      <w:pPr>
        <w:spacing w:after="0" w:line="218" w:lineRule="exact"/>
        <w:rPr>
          <w:sz w:val="20"/>
          <w:szCs w:val="20"/>
          <w:color w:val="auto"/>
        </w:rPr>
      </w:pPr>
    </w:p>
    <w:p>
      <w:pPr>
        <w:ind w:right="260"/>
        <w:spacing w:after="0" w:line="268" w:lineRule="auto"/>
        <w:rPr>
          <w:sz w:val="20"/>
          <w:szCs w:val="20"/>
          <w:color w:val="auto"/>
        </w:rPr>
      </w:pPr>
      <w:r>
        <w:rPr>
          <w:rFonts w:ascii="Arial" w:cs="Arial" w:eastAsia="Arial" w:hAnsi="Arial"/>
          <w:sz w:val="15"/>
          <w:szCs w:val="15"/>
          <w:color w:val="auto"/>
        </w:rPr>
        <w:t>Approximately 50% of the Company’s net sales for 2008 were to the computing market, including desktop PCs, servers, notebooks and workstations. Sales to Intel were 19% of the Company’s net sales in 2008 and were included in the Memory segment. Sales of DRAM, NAND Flash and CMOS image sensor products constituted 54%, 35% and 11%, respectively, of the Company’s net sales for 2008. Certain components used by the Company in manufacturing semiconductor products are available from a limited number of suppliers.</w:t>
      </w:r>
    </w:p>
    <w:p>
      <w:pPr>
        <w:spacing w:after="0" w:line="180"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Financial instruments that potentially subject the Company to concentrations of credit risk consist principally of cash, investment securities and trade receivables. The Company invests through high-credit-quality financial institutions and, by policy, generally limits the concentration of credit exposure by restricting investments with any single obligor. A concentration of credit risk may exist with respect to trade receivables as a substantial portion of the Company’s customers are affiliated with the computing industry. The Company performs ongoing credit evaluations of customers worldwide and generally does not require collateral from its customers. Historically, the Company has not experienced significant losses on receivables.</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Geographic net sales based on customer location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2008</w:t>
            </w: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Asia Pacific (excluding China and Japan)</w:t>
            </w:r>
          </w:p>
        </w:tc>
        <w:tc>
          <w:tcPr>
            <w:tcW w:w="322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1,696</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1,496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1,068</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20"/>
                <w:szCs w:val="20"/>
                <w:color w:val="auto"/>
              </w:rPr>
            </w:pPr>
            <w:r>
              <w:rPr>
                <w:rFonts w:ascii="Arial" w:cs="Arial" w:eastAsia="Arial" w:hAnsi="Arial"/>
                <w:sz w:val="15"/>
                <w:szCs w:val="15"/>
                <w:color w:val="auto"/>
              </w:rPr>
              <w:t>United States</w:t>
            </w:r>
          </w:p>
        </w:tc>
        <w:tc>
          <w:tcPr>
            <w:tcW w:w="2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1,486</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1,719</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1,721</w:t>
            </w:r>
          </w:p>
        </w:tc>
        <w:tc>
          <w:tcPr>
            <w:tcW w:w="0" w:type="dxa"/>
            <w:vAlign w:val="bottom"/>
          </w:tcPr>
          <w:p>
            <w:pPr>
              <w:spacing w:after="0"/>
              <w:rPr>
                <w:sz w:val="1"/>
                <w:szCs w:val="1"/>
                <w:color w:val="auto"/>
              </w:rPr>
            </w:pPr>
          </w:p>
        </w:tc>
      </w:tr>
      <w:tr>
        <w:trPr>
          <w:trHeight w:val="185"/>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China</w:t>
            </w:r>
          </w:p>
        </w:tc>
        <w:tc>
          <w:tcPr>
            <w:tcW w:w="2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1,372</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1,064</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1,049</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20"/>
                <w:szCs w:val="20"/>
                <w:color w:val="auto"/>
              </w:rPr>
            </w:pPr>
            <w:r>
              <w:rPr>
                <w:rFonts w:ascii="Arial" w:cs="Arial" w:eastAsia="Arial" w:hAnsi="Arial"/>
                <w:sz w:val="15"/>
                <w:szCs w:val="15"/>
                <w:color w:val="auto"/>
              </w:rPr>
              <w:t>Europe</w:t>
            </w:r>
          </w:p>
        </w:tc>
        <w:tc>
          <w:tcPr>
            <w:tcW w:w="2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559</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666</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719</w:t>
            </w:r>
          </w:p>
        </w:tc>
        <w:tc>
          <w:tcPr>
            <w:tcW w:w="0" w:type="dxa"/>
            <w:vAlign w:val="bottom"/>
          </w:tcPr>
          <w:p>
            <w:pPr>
              <w:spacing w:after="0"/>
              <w:rPr>
                <w:sz w:val="1"/>
                <w:szCs w:val="1"/>
                <w:color w:val="auto"/>
              </w:rPr>
            </w:pPr>
          </w:p>
        </w:tc>
      </w:tr>
      <w:tr>
        <w:trPr>
          <w:trHeight w:val="185"/>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Japan</w:t>
            </w:r>
          </w:p>
        </w:tc>
        <w:tc>
          <w:tcPr>
            <w:tcW w:w="2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441</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477</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20"/>
                <w:szCs w:val="20"/>
                <w:color w:val="auto"/>
              </w:rPr>
            </w:pPr>
            <w:r>
              <w:rPr>
                <w:rFonts w:ascii="Arial" w:cs="Arial" w:eastAsia="Arial" w:hAnsi="Arial"/>
                <w:sz w:val="15"/>
                <w:szCs w:val="15"/>
                <w:color w:val="auto"/>
              </w:rPr>
              <w:t>Other</w:t>
            </w:r>
          </w:p>
        </w:tc>
        <w:tc>
          <w:tcPr>
            <w:tcW w:w="2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287</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266</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98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5,841</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5,688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5,272</w:t>
            </w:r>
          </w:p>
        </w:tc>
        <w:tc>
          <w:tcPr>
            <w:tcW w:w="0" w:type="dxa"/>
            <w:vAlign w:val="bottom"/>
          </w:tcPr>
          <w:p>
            <w:pPr>
              <w:spacing w:after="0"/>
              <w:rPr>
                <w:sz w:val="1"/>
                <w:szCs w:val="1"/>
                <w:color w:val="auto"/>
              </w:rPr>
            </w:pPr>
          </w:p>
        </w:tc>
      </w:tr>
      <w:tr>
        <w:trPr>
          <w:trHeight w:val="380"/>
        </w:trPr>
        <w:tc>
          <w:tcPr>
            <w:tcW w:w="498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Net property, plant and equipment by geographic area was as follows:</w:t>
            </w:r>
          </w:p>
        </w:tc>
        <w:tc>
          <w:tcPr>
            <w:tcW w:w="24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9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2008</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322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6,004</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6,545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4,422</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20"/>
                <w:szCs w:val="20"/>
                <w:color w:val="auto"/>
              </w:rPr>
            </w:pPr>
            <w:r>
              <w:rPr>
                <w:rFonts w:ascii="Arial" w:cs="Arial" w:eastAsia="Arial" w:hAnsi="Arial"/>
                <w:sz w:val="15"/>
                <w:szCs w:val="15"/>
                <w:color w:val="auto"/>
              </w:rPr>
              <w:t>Singapore</w:t>
            </w:r>
          </w:p>
        </w:tc>
        <w:tc>
          <w:tcPr>
            <w:tcW w:w="2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2,345</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1,212</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867</w:t>
            </w:r>
          </w:p>
        </w:tc>
        <w:tc>
          <w:tcPr>
            <w:tcW w:w="0" w:type="dxa"/>
            <w:vAlign w:val="bottom"/>
          </w:tcPr>
          <w:p>
            <w:pPr>
              <w:spacing w:after="0"/>
              <w:rPr>
                <w:sz w:val="1"/>
                <w:szCs w:val="1"/>
                <w:color w:val="auto"/>
              </w:rPr>
            </w:pPr>
          </w:p>
        </w:tc>
      </w:tr>
      <w:tr>
        <w:trPr>
          <w:trHeight w:val="185"/>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Italy</w:t>
            </w:r>
          </w:p>
        </w:tc>
        <w:tc>
          <w:tcPr>
            <w:tcW w:w="2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259</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268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20"/>
                <w:szCs w:val="20"/>
                <w:color w:val="auto"/>
              </w:rPr>
            </w:pPr>
            <w:r>
              <w:rPr>
                <w:rFonts w:ascii="Arial" w:cs="Arial" w:eastAsia="Arial" w:hAnsi="Arial"/>
                <w:sz w:val="15"/>
                <w:szCs w:val="15"/>
                <w:color w:val="auto"/>
              </w:rPr>
              <w:t>Japan</w:t>
            </w:r>
          </w:p>
        </w:tc>
        <w:tc>
          <w:tcPr>
            <w:tcW w:w="2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171</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226</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185"/>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32</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3"/>
        </w:trPr>
        <w:tc>
          <w:tcPr>
            <w:tcW w:w="498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980" w:type="dxa"/>
            <w:vAlign w:val="bottom"/>
          </w:tcPr>
          <w:p>
            <w:pPr>
              <w:spacing w:after="0"/>
              <w:rPr>
                <w:sz w:val="16"/>
                <w:szCs w:val="16"/>
                <w:color w:val="auto"/>
              </w:rPr>
            </w:pPr>
          </w:p>
        </w:tc>
        <w:tc>
          <w:tcPr>
            <w:tcW w:w="3220" w:type="dxa"/>
            <w:vAlign w:val="bottom"/>
            <w:gridSpan w:val="2"/>
          </w:tcPr>
          <w:p>
            <w:pPr>
              <w:jc w:val="right"/>
              <w:ind w:right="6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8,811</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8,279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5,888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60" w:type="dxa"/>
            <w:vAlign w:val="bottom"/>
            <w:vMerge w:val="restart"/>
          </w:tcPr>
          <w:p>
            <w:pPr>
              <w:jc w:val="right"/>
              <w:ind w:right="1563"/>
              <w:spacing w:after="0"/>
              <w:rPr>
                <w:sz w:val="20"/>
                <w:szCs w:val="20"/>
                <w:color w:val="auto"/>
              </w:rPr>
            </w:pPr>
            <w:r>
              <w:rPr>
                <w:rFonts w:ascii="Arial" w:cs="Arial" w:eastAsia="Arial" w:hAnsi="Arial"/>
                <w:sz w:val="15"/>
                <w:szCs w:val="15"/>
                <w:color w:val="auto"/>
              </w:rPr>
              <w:t>67</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9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8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68" w:name="page69"/>
    <w:bookmarkEnd w:id="68"/>
    <w:p>
      <w:pPr>
        <w:jc w:val="center"/>
        <w:spacing w:after="0"/>
        <w:rPr>
          <w:sz w:val="20"/>
          <w:szCs w:val="20"/>
          <w:color w:val="auto"/>
        </w:rPr>
      </w:pPr>
      <w:r>
        <w:rPr>
          <w:rFonts w:ascii="Arial" w:cs="Arial" w:eastAsia="Arial" w:hAnsi="Arial"/>
          <w:sz w:val="15"/>
          <w:szCs w:val="15"/>
          <w:b w:val="1"/>
          <w:bCs w:val="1"/>
          <w:color w:val="auto"/>
        </w:rPr>
        <w:t>Quarterly Financial Information (Unaudited)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First</w:t>
            </w:r>
          </w:p>
        </w:tc>
        <w:tc>
          <w:tcPr>
            <w:tcW w:w="20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Second</w:t>
            </w:r>
          </w:p>
        </w:tc>
        <w:tc>
          <w:tcPr>
            <w:tcW w:w="2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Third</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Fourth</w:t>
            </w:r>
          </w:p>
        </w:tc>
      </w:tr>
      <w:tr>
        <w:trPr>
          <w:trHeight w:val="205"/>
        </w:trPr>
        <w:tc>
          <w:tcPr>
            <w:tcW w:w="6060" w:type="dxa"/>
            <w:vAlign w:val="bottom"/>
          </w:tcPr>
          <w:p>
            <w:pPr>
              <w:spacing w:after="0"/>
              <w:rPr>
                <w:sz w:val="20"/>
                <w:szCs w:val="20"/>
                <w:color w:val="auto"/>
              </w:rPr>
            </w:pPr>
            <w:r>
              <w:rPr>
                <w:rFonts w:ascii="Arial" w:cs="Arial" w:eastAsia="Arial" w:hAnsi="Arial"/>
                <w:sz w:val="15"/>
                <w:szCs w:val="15"/>
                <w:b w:val="1"/>
                <w:bCs w:val="1"/>
                <w:color w:val="auto"/>
              </w:rPr>
              <w:t>2008</w:t>
            </w:r>
          </w:p>
        </w:tc>
        <w:tc>
          <w:tcPr>
            <w:tcW w:w="20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Quarter</w:t>
            </w:r>
          </w:p>
        </w:tc>
        <w:tc>
          <w:tcPr>
            <w:tcW w:w="20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Quarter</w:t>
            </w:r>
          </w:p>
        </w:tc>
        <w:tc>
          <w:tcPr>
            <w:tcW w:w="20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Quarter</w:t>
            </w:r>
          </w:p>
        </w:tc>
        <w:tc>
          <w:tcPr>
            <w:tcW w:w="20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Quarter</w:t>
            </w:r>
          </w:p>
        </w:tc>
      </w:tr>
      <w:tr>
        <w:trPr>
          <w:trHeight w:val="185"/>
        </w:trPr>
        <w:tc>
          <w:tcPr>
            <w:tcW w:w="60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1,535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1,359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1,498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1,449</w:t>
            </w:r>
          </w:p>
        </w:tc>
      </w:tr>
      <w:tr>
        <w:trPr>
          <w:trHeight w:val="185"/>
        </w:trPr>
        <w:tc>
          <w:tcPr>
            <w:tcW w:w="6060" w:type="dxa"/>
            <w:vAlign w:val="bottom"/>
          </w:tcPr>
          <w:p>
            <w:pPr>
              <w:spacing w:after="0"/>
              <w:rPr>
                <w:sz w:val="20"/>
                <w:szCs w:val="20"/>
                <w:color w:val="auto"/>
              </w:rPr>
            </w:pPr>
            <w:r>
              <w:rPr>
                <w:rFonts w:ascii="Arial" w:cs="Arial" w:eastAsia="Arial" w:hAnsi="Arial"/>
                <w:sz w:val="15"/>
                <w:szCs w:val="15"/>
                <w:color w:val="auto"/>
              </w:rPr>
              <w:t>Gross margin</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(43)</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48</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(65)</w:t>
            </w:r>
          </w:p>
        </w:tc>
      </w:tr>
      <w:tr>
        <w:trPr>
          <w:trHeight w:val="185"/>
        </w:trPr>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(260)</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(772)</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(225)</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(338)</w:t>
            </w:r>
          </w:p>
        </w:tc>
      </w:tr>
      <w:tr>
        <w:trPr>
          <w:trHeight w:val="185"/>
        </w:trPr>
        <w:tc>
          <w:tcPr>
            <w:tcW w:w="6060" w:type="dxa"/>
            <w:vAlign w:val="bottom"/>
          </w:tcPr>
          <w:p>
            <w:pPr>
              <w:spacing w:after="0"/>
              <w:rPr>
                <w:sz w:val="20"/>
                <w:szCs w:val="20"/>
                <w:color w:val="auto"/>
              </w:rPr>
            </w:pPr>
            <w:r>
              <w:rPr>
                <w:rFonts w:ascii="Arial" w:cs="Arial" w:eastAsia="Arial" w:hAnsi="Arial"/>
                <w:sz w:val="15"/>
                <w:szCs w:val="15"/>
                <w:color w:val="auto"/>
              </w:rPr>
              <w:t>Net loss</w:t>
            </w: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(262)</w:t>
            </w: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(777)</w:t>
            </w: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(236)</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(344)</w:t>
            </w:r>
          </w:p>
        </w:tc>
      </w:tr>
      <w:tr>
        <w:trPr>
          <w:trHeight w:val="185"/>
        </w:trPr>
        <w:tc>
          <w:tcPr>
            <w:tcW w:w="6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5"/>
                <w:szCs w:val="15"/>
                <w:color w:val="auto"/>
              </w:rPr>
              <w:t>Diluted loss per share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(0.34)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(1.01)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(0.30)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(0.45)</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8"/>
              </w:rPr>
              <w:t>First</w:t>
            </w:r>
          </w:p>
        </w:tc>
        <w:tc>
          <w:tcPr>
            <w:tcW w:w="20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Second</w:t>
            </w:r>
          </w:p>
        </w:tc>
        <w:tc>
          <w:tcPr>
            <w:tcW w:w="2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Third</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Fourth</w:t>
            </w:r>
          </w:p>
        </w:tc>
      </w:tr>
      <w:tr>
        <w:trPr>
          <w:trHeight w:val="205"/>
        </w:trPr>
        <w:tc>
          <w:tcPr>
            <w:tcW w:w="6060" w:type="dxa"/>
            <w:vAlign w:val="bottom"/>
          </w:tcPr>
          <w:p>
            <w:pPr>
              <w:spacing w:after="0"/>
              <w:rPr>
                <w:sz w:val="20"/>
                <w:szCs w:val="20"/>
                <w:color w:val="auto"/>
              </w:rPr>
            </w:pPr>
            <w:r>
              <w:rPr>
                <w:rFonts w:ascii="Arial" w:cs="Arial" w:eastAsia="Arial" w:hAnsi="Arial"/>
                <w:sz w:val="15"/>
                <w:szCs w:val="15"/>
                <w:b w:val="1"/>
                <w:bCs w:val="1"/>
                <w:color w:val="auto"/>
              </w:rPr>
              <w:t>2007</w:t>
            </w:r>
          </w:p>
        </w:tc>
        <w:tc>
          <w:tcPr>
            <w:tcW w:w="20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9"/>
              </w:rPr>
              <w:t>Quarter</w:t>
            </w:r>
          </w:p>
        </w:tc>
        <w:tc>
          <w:tcPr>
            <w:tcW w:w="20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Quarter</w:t>
            </w:r>
          </w:p>
        </w:tc>
        <w:tc>
          <w:tcPr>
            <w:tcW w:w="20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Quarter</w:t>
            </w:r>
          </w:p>
        </w:tc>
        <w:tc>
          <w:tcPr>
            <w:tcW w:w="20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Quarter</w:t>
            </w:r>
          </w:p>
        </w:tc>
      </w:tr>
      <w:tr>
        <w:trPr>
          <w:trHeight w:val="185"/>
        </w:trPr>
        <w:tc>
          <w:tcPr>
            <w:tcW w:w="60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1,530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1,427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1,294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1,437</w:t>
            </w:r>
          </w:p>
        </w:tc>
      </w:tr>
      <w:tr>
        <w:trPr>
          <w:trHeight w:val="185"/>
        </w:trPr>
        <w:tc>
          <w:tcPr>
            <w:tcW w:w="6060" w:type="dxa"/>
            <w:vAlign w:val="bottom"/>
          </w:tcPr>
          <w:p>
            <w:pPr>
              <w:spacing w:after="0"/>
              <w:rPr>
                <w:sz w:val="20"/>
                <w:szCs w:val="20"/>
                <w:color w:val="auto"/>
              </w:rPr>
            </w:pPr>
            <w:r>
              <w:rPr>
                <w:rFonts w:ascii="Arial" w:cs="Arial" w:eastAsia="Arial" w:hAnsi="Arial"/>
                <w:sz w:val="15"/>
                <w:szCs w:val="15"/>
                <w:color w:val="auto"/>
              </w:rPr>
              <w:t>Gross margin</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442</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357</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106</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173</w:t>
            </w:r>
          </w:p>
        </w:tc>
      </w:tr>
      <w:tr>
        <w:trPr>
          <w:trHeight w:val="185"/>
        </w:trPr>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110</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(34)</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(195)</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(161)</w:t>
            </w:r>
          </w:p>
        </w:tc>
      </w:tr>
      <w:tr>
        <w:trPr>
          <w:trHeight w:val="185"/>
        </w:trPr>
        <w:tc>
          <w:tcPr>
            <w:tcW w:w="6060" w:type="dxa"/>
            <w:vAlign w:val="bottom"/>
          </w:tcPr>
          <w:p>
            <w:pPr>
              <w:spacing w:after="0"/>
              <w:rPr>
                <w:sz w:val="20"/>
                <w:szCs w:val="20"/>
                <w:color w:val="auto"/>
              </w:rPr>
            </w:pPr>
            <w:r>
              <w:rPr>
                <w:rFonts w:ascii="Arial" w:cs="Arial" w:eastAsia="Arial" w:hAnsi="Arial"/>
                <w:sz w:val="15"/>
                <w:szCs w:val="15"/>
                <w:color w:val="auto"/>
              </w:rPr>
              <w:t>Net income (loss)</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115</w:t>
            </w: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(52)</w:t>
            </w: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(225)</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(158)</w:t>
            </w:r>
          </w:p>
        </w:tc>
      </w:tr>
      <w:tr>
        <w:trPr>
          <w:trHeight w:val="185"/>
        </w:trPr>
        <w:tc>
          <w:tcPr>
            <w:tcW w:w="6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5"/>
                <w:szCs w:val="15"/>
                <w:color w:val="auto"/>
              </w:rPr>
              <w:t>Diluted earnings (loss) per share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0.15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(0.07)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(0.29)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(0.21)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results of operations for the second quarter of 2008 included a charge of $463 million to write off all the goodwill associated with the Company’s Memory segment.</w:t>
      </w:r>
    </w:p>
    <w:p>
      <w:pPr>
        <w:spacing w:after="0" w:line="222" w:lineRule="exact"/>
        <w:rPr>
          <w:sz w:val="20"/>
          <w:szCs w:val="20"/>
          <w:color w:val="auto"/>
        </w:rPr>
      </w:pPr>
    </w:p>
    <w:p>
      <w:pPr>
        <w:ind w:right="80"/>
        <w:spacing w:after="0" w:line="274" w:lineRule="auto"/>
        <w:rPr>
          <w:sz w:val="20"/>
          <w:szCs w:val="20"/>
          <w:color w:val="auto"/>
        </w:rPr>
      </w:pPr>
      <w:r>
        <w:rPr>
          <w:rFonts w:ascii="Arial" w:cs="Arial" w:eastAsia="Arial" w:hAnsi="Arial"/>
          <w:sz w:val="15"/>
          <w:szCs w:val="15"/>
          <w:color w:val="auto"/>
        </w:rPr>
        <w:t>The Company’s results of operations for the fourth, second and first quarters of 2008 and fourth quarter of 2007 included charges of $205 million, $15 million, $62 million and $20 million, respectively, to write down the carrying value of work in process and finished goods inventories of memory products (both DRAM and NAND Flash) to their estimated market values.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In the fourth quarter of 2008, costs of goods sold benefited by $70 million due to settlements of pricing adjustments with certain suppliers.</w:t>
      </w:r>
    </w:p>
    <w:p>
      <w:pPr>
        <w:spacing w:after="0" w:line="222"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As a result of a settlement agreement with a class of direct purchasers of certain DRAM products, the Company recorded a $50 million charge to revenue and $31 million net charge to selling, general and administrative expenses in the first quarter of 2007. The aggregate net charge including the impact on the Company’s compensation programs was a $77 million reduction in net income.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of Micron Technology, Inc.</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 xml:space="preserve">In our opinion, the consolidated financial statements listed in the accompanying index appearing under Item 8 present fairly, in all material respects, the financial position of Micron Technology, Inc. and its subsidiaries at August 28, 2008 and August 30, 2007, and the results of their operations and their cash flows for each of the three years in the period ended August 28, 2008 in conformity with accounting principles generally accepted in the United States of America. In addition, in our opinion, the financial statement schedule listed in the accompanying index appearing under Item 8 presents fairly, in all material respects, the information set forth therein when read in conjunction with the related consolidated financial statements. Also in our opinion, the Company maintained, in all material respects, effective internal control over financial reporting as of August 28, 2008,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ind w:right="40"/>
        <w:spacing w:after="0" w:line="31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ind w:right="80"/>
        <w:spacing w:after="0" w:line="37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San Jose, California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October 27, 2008</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70" w:name="page71"/>
    <w:bookmarkEnd w:id="70"/>
    <w:p>
      <w:pPr>
        <w:spacing w:after="0"/>
        <w:rPr>
          <w:sz w:val="20"/>
          <w:szCs w:val="20"/>
          <w:color w:val="auto"/>
        </w:rPr>
      </w:pPr>
      <w:r>
        <w:rPr>
          <w:rFonts w:ascii="Arial" w:cs="Arial" w:eastAsia="Arial" w:hAnsi="Arial"/>
          <w:sz w:val="15"/>
          <w:szCs w:val="15"/>
          <w:b w:val="1"/>
          <w:bCs w:val="1"/>
          <w:color w:val="auto"/>
        </w:rPr>
        <w:t xml:space="preserve">Item 9. </w:t>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9A. </w:t>
      </w:r>
      <w:r>
        <w:rPr>
          <w:rFonts w:ascii="Arial" w:cs="Arial" w:eastAsia="Arial" w:hAnsi="Arial"/>
          <w:sz w:val="15"/>
          <w:szCs w:val="15"/>
          <w:b w:val="1"/>
          <w:bCs w:val="1"/>
          <w:i w:val="1"/>
          <w:iCs w:val="1"/>
          <w:color w:val="auto"/>
        </w:rPr>
        <w:t>Controls and Procedures</w:t>
      </w:r>
    </w:p>
    <w:p>
      <w:pPr>
        <w:spacing w:after="0" w:line="228"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(i) recorded, processed, summarized and reported, within the time periods specified in the Commission’s rules and forms and (ii) accumulated and communicated to the Company’s management, including the Company’s principal executive officer and principal financial officer, as appropriate to allow timely decisions regarding required disclosure.</w:t>
      </w:r>
    </w:p>
    <w:p>
      <w:pPr>
        <w:spacing w:after="0" w:line="171" w:lineRule="exact"/>
        <w:rPr>
          <w:sz w:val="20"/>
          <w:szCs w:val="20"/>
          <w:color w:val="auto"/>
        </w:rPr>
      </w:pPr>
    </w:p>
    <w:p>
      <w:pPr>
        <w:ind w:right="420"/>
        <w:spacing w:after="0" w:line="290" w:lineRule="auto"/>
        <w:rPr>
          <w:sz w:val="20"/>
          <w:szCs w:val="20"/>
          <w:color w:val="auto"/>
        </w:rPr>
      </w:pPr>
      <w:r>
        <w:rPr>
          <w:rFonts w:ascii="Arial" w:cs="Arial" w:eastAsia="Arial" w:hAnsi="Arial"/>
          <w:sz w:val="15"/>
          <w:szCs w:val="15"/>
          <w:color w:val="auto"/>
        </w:rPr>
        <w:t>During the fourth quarter of fiscal 2008, there were no changes in the Company’s internal control over financial reporting that have materially affected, or are reasonably likely to materially affect, the Company’s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228"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The Company’s management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policies and procedures that i) pertain to the maintenance of records that in reasonable detail accurately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spacing w:after="0" w:line="169" w:lineRule="exact"/>
        <w:rPr>
          <w:sz w:val="20"/>
          <w:szCs w:val="20"/>
          <w:color w:val="auto"/>
        </w:rPr>
      </w:pPr>
    </w:p>
    <w:p>
      <w:pPr>
        <w:ind w:right="440"/>
        <w:spacing w:after="0" w:line="328" w:lineRule="auto"/>
        <w:rPr>
          <w:sz w:val="20"/>
          <w:szCs w:val="20"/>
          <w:color w:val="auto"/>
        </w:rPr>
      </w:pPr>
      <w:r>
        <w:rPr>
          <w:rFonts w:ascii="Arial" w:cs="Arial" w:eastAsia="Arial" w:hAnsi="Arial"/>
          <w:sz w:val="14"/>
          <w:szCs w:val="14"/>
          <w:color w:val="auto"/>
        </w:rPr>
        <w:t>Internal control over financial reporting cannot provide absolute assurance regarding the prevention or detection of misstatements because of inherent limitations. These inherent limitations are known by management and considered in the design of the Company’s internal control over financial reporting which reduce, though not eliminate, this risk.</w:t>
      </w:r>
    </w:p>
    <w:p>
      <w:pPr>
        <w:spacing w:after="0" w:line="140"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Management conducted an evaluation of the effectiveness of the Company’s internal control over financial reporting based on the framework in “Internal Control – Integrated Framework” issued by the Committee of Sponsoring Organizations of the Treadway Commission. Based on this evaluation, management concluded that the Company’s internal control over financial reporting was effective as of August 28, 2008. The effectiveness of the Company’s internal control over financial reporting as of August 28, 2008 has been audited by PricewaterhouseCoopers LLP, an independent registered public accounting firm, as stated in their report, which is included in Part II, Item 8, of this Form 10-K.</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9B. </w:t>
      </w:r>
      <w:r>
        <w:rPr>
          <w:rFonts w:ascii="Arial" w:cs="Arial" w:eastAsia="Arial" w:hAnsi="Arial"/>
          <w:sz w:val="15"/>
          <w:szCs w:val="15"/>
          <w:b w:val="1"/>
          <w:bCs w:val="1"/>
          <w:i w:val="1"/>
          <w:iCs w:val="1"/>
          <w:color w:val="auto"/>
        </w:rPr>
        <w:t>Other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7138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5"/>
          <w:szCs w:val="15"/>
          <w:b w:val="1"/>
          <w:bCs w:val="1"/>
          <w:color w:val="auto"/>
        </w:rPr>
        <w:t>PART III</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10. </w:t>
      </w:r>
      <w:r>
        <w:rPr>
          <w:rFonts w:ascii="Arial" w:cs="Arial" w:eastAsia="Arial" w:hAnsi="Arial"/>
          <w:sz w:val="15"/>
          <w:szCs w:val="15"/>
          <w:b w:val="1"/>
          <w:bCs w:val="1"/>
          <w:i w:val="1"/>
          <w:iCs w:val="1"/>
          <w:color w:val="auto"/>
        </w:rPr>
        <w:t>Directors, Executive Officers and Corporate Governance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11. </w:t>
      </w:r>
      <w:r>
        <w:rPr>
          <w:rFonts w:ascii="Arial" w:cs="Arial" w:eastAsia="Arial" w:hAnsi="Arial"/>
          <w:sz w:val="15"/>
          <w:szCs w:val="15"/>
          <w:b w:val="1"/>
          <w:bCs w:val="1"/>
          <w:i w:val="1"/>
          <w:iCs w:val="1"/>
          <w:color w:val="auto"/>
        </w:rPr>
        <w:t>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12. </w:t>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13. </w:t>
      </w:r>
      <w:r>
        <w:rPr>
          <w:rFonts w:ascii="Arial" w:cs="Arial" w:eastAsia="Arial" w:hAnsi="Arial"/>
          <w:sz w:val="15"/>
          <w:szCs w:val="15"/>
          <w:b w:val="1"/>
          <w:bCs w:val="1"/>
          <w:i w:val="1"/>
          <w:iCs w:val="1"/>
          <w:color w:val="auto"/>
        </w:rPr>
        <w:t>Certain Relationships and Related Transactions, and Director Independence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14. </w:t>
      </w:r>
      <w:r>
        <w:rPr>
          <w:rFonts w:ascii="Arial" w:cs="Arial" w:eastAsia="Arial" w:hAnsi="Arial"/>
          <w:sz w:val="15"/>
          <w:szCs w:val="15"/>
          <w:b w:val="1"/>
          <w:bCs w:val="1"/>
          <w:i w:val="1"/>
          <w:iCs w:val="1"/>
          <w:color w:val="auto"/>
        </w:rPr>
        <w:t>Principal Accounting Fees and Services</w:t>
      </w:r>
    </w:p>
    <w:p>
      <w:pPr>
        <w:spacing w:after="0" w:line="200" w:lineRule="exact"/>
        <w:rPr>
          <w:sz w:val="20"/>
          <w:szCs w:val="20"/>
          <w:color w:val="auto"/>
        </w:rPr>
      </w:pPr>
    </w:p>
    <w:p>
      <w:pPr>
        <w:spacing w:after="0" w:line="236" w:lineRule="exact"/>
        <w:rPr>
          <w:sz w:val="20"/>
          <w:szCs w:val="20"/>
          <w:color w:val="auto"/>
        </w:rPr>
      </w:pPr>
    </w:p>
    <w:p>
      <w:pPr>
        <w:jc w:val="both"/>
        <w:ind w:right="780"/>
        <w:spacing w:after="0" w:line="274" w:lineRule="auto"/>
        <w:rPr>
          <w:sz w:val="20"/>
          <w:szCs w:val="20"/>
          <w:color w:val="auto"/>
        </w:rPr>
      </w:pPr>
      <w:r>
        <w:rPr>
          <w:rFonts w:ascii="Arial" w:cs="Arial" w:eastAsia="Arial" w:hAnsi="Arial"/>
          <w:sz w:val="15"/>
          <w:szCs w:val="15"/>
          <w:color w:val="auto"/>
        </w:rPr>
        <w:t>Certain information concerning the registrant’s executive officers is included under the caption, “Directors and Executive Officers of the Registrant,” in Part I, Item 1 of this report. Other information required by Items 10, 11, 12, 13 and 14 will be contained in the registrant’s Proxy Statement which will be filed with the Securities and Exchange Commission within 120 days after August 28, 2008 and is incorporated herein by reference.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IV</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15. </w:t>
      </w:r>
      <w:r>
        <w:rPr>
          <w:rFonts w:ascii="Arial" w:cs="Arial" w:eastAsia="Arial" w:hAnsi="Arial"/>
          <w:sz w:val="15"/>
          <w:szCs w:val="15"/>
          <w:b w:val="1"/>
          <w:bCs w:val="1"/>
          <w:i w:val="1"/>
          <w:iCs w:val="1"/>
          <w:color w:val="auto"/>
        </w:rPr>
        <w:t>Exhibits, Financial Statement Schedules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documents are filed as part of this report:</w:t>
      </w:r>
    </w:p>
    <w:p>
      <w:pPr>
        <w:spacing w:after="0" w:line="222" w:lineRule="exact"/>
        <w:rPr>
          <w:sz w:val="20"/>
          <w:szCs w:val="20"/>
          <w:color w:val="auto"/>
        </w:rPr>
      </w:pPr>
    </w:p>
    <w:p>
      <w:pPr>
        <w:ind w:left="820" w:hanging="186"/>
        <w:spacing w:after="0"/>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Financial Statement: See Index to Consolidated Financial Statements under Item 8.</w:t>
      </w:r>
    </w:p>
    <w:p>
      <w:pPr>
        <w:spacing w:after="0" w:line="23" w:lineRule="exact"/>
        <w:rPr>
          <w:rFonts w:ascii="Arial" w:cs="Arial" w:eastAsia="Arial" w:hAnsi="Arial"/>
          <w:sz w:val="15"/>
          <w:szCs w:val="15"/>
          <w:color w:val="auto"/>
        </w:rPr>
      </w:pPr>
    </w:p>
    <w:p>
      <w:pPr>
        <w:ind w:left="820" w:hanging="186"/>
        <w:spacing w:after="0"/>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Certain Financial Statement Schedules have been omitted since they are either not required, not applicable or the information is otherwise included.</w:t>
      </w:r>
    </w:p>
    <w:p>
      <w:pPr>
        <w:spacing w:after="0" w:line="13" w:lineRule="exact"/>
        <w:rPr>
          <w:rFonts w:ascii="Arial" w:cs="Arial" w:eastAsia="Arial" w:hAnsi="Arial"/>
          <w:sz w:val="15"/>
          <w:szCs w:val="15"/>
          <w:color w:val="auto"/>
        </w:rPr>
      </w:pPr>
    </w:p>
    <w:p>
      <w:pPr>
        <w:ind w:left="820" w:hanging="186"/>
        <w:spacing w:after="0"/>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Exhibits.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ExhibitNumber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 w:type="dxa"/>
            <w:vAlign w:val="bottom"/>
            <w:tcBorders>
              <w:bottom w:val="single" w:sz="8" w:color="auto"/>
            </w:tcBorders>
          </w:tcPr>
          <w:p>
            <w:pPr>
              <w:spacing w:after="0"/>
              <w:rPr>
                <w:sz w:val="17"/>
                <w:szCs w:val="17"/>
                <w:color w:val="auto"/>
              </w:rPr>
            </w:pPr>
          </w:p>
        </w:tc>
        <w:tc>
          <w:tcPr>
            <w:tcW w:w="10700" w:type="dxa"/>
            <w:vAlign w:val="bottom"/>
            <w:tcBorders>
              <w:bottom w:val="single" w:sz="8" w:color="auto"/>
            </w:tcBorders>
            <w:gridSpan w:val="2"/>
          </w:tcPr>
          <w:p>
            <w:pPr>
              <w:ind w:left="480"/>
              <w:spacing w:after="0"/>
              <w:rPr>
                <w:sz w:val="20"/>
                <w:szCs w:val="20"/>
                <w:color w:val="auto"/>
              </w:rPr>
            </w:pPr>
            <w:r>
              <w:rPr>
                <w:rFonts w:ascii="Arial" w:cs="Arial" w:eastAsia="Arial" w:hAnsi="Arial"/>
                <w:sz w:val="15"/>
                <w:szCs w:val="15"/>
                <w:b w:val="1"/>
                <w:bCs w:val="1"/>
                <w:color w:val="auto"/>
              </w:rPr>
              <w:t>Description of Exhibits</w:t>
            </w:r>
          </w:p>
        </w:tc>
      </w:tr>
      <w:tr>
        <w:trPr>
          <w:trHeight w:val="185"/>
        </w:trPr>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900" w:type="dxa"/>
            <w:vAlign w:val="bottom"/>
          </w:tcPr>
          <w:p>
            <w:pPr>
              <w:spacing w:after="0"/>
              <w:rPr>
                <w:sz w:val="16"/>
                <w:szCs w:val="16"/>
                <w:color w:val="auto"/>
              </w:rPr>
            </w:pPr>
          </w:p>
        </w:tc>
      </w:tr>
      <w:tr>
        <w:trPr>
          <w:trHeight w:val="175"/>
        </w:trPr>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107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97"/>
              </w:rPr>
              <w:t>Underwriting Agreement dated as of May 17, 2007, by and between Micron Technology, Inc. and Morgan Stanley &amp; Co. Incorporated, as representative of the</w:t>
            </w:r>
          </w:p>
        </w:tc>
      </w:tr>
      <w:tr>
        <w:trPr>
          <w:trHeight w:val="196"/>
        </w:trPr>
        <w:tc>
          <w:tcPr>
            <w:tcW w:w="740" w:type="dxa"/>
            <w:vAlign w:val="bottom"/>
            <w:shd w:val="clear" w:color="auto" w:fill="CCEEFF"/>
          </w:tcPr>
          <w:p>
            <w:pPr>
              <w:spacing w:after="0"/>
              <w:rPr>
                <w:sz w:val="17"/>
                <w:szCs w:val="17"/>
                <w:color w:val="auto"/>
              </w:rPr>
            </w:pPr>
          </w:p>
        </w:tc>
        <w:tc>
          <w:tcPr>
            <w:tcW w:w="107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underwriters (1)</w:t>
            </w:r>
          </w:p>
        </w:tc>
      </w:tr>
      <w:tr>
        <w:trPr>
          <w:trHeight w:val="185"/>
        </w:trPr>
        <w:tc>
          <w:tcPr>
            <w:tcW w:w="740" w:type="dxa"/>
            <w:vAlign w:val="bottom"/>
          </w:tcPr>
          <w:p>
            <w:pPr>
              <w:spacing w:after="0"/>
              <w:rPr>
                <w:sz w:val="20"/>
                <w:szCs w:val="20"/>
                <w:color w:val="auto"/>
              </w:rPr>
            </w:pPr>
            <w:r>
              <w:rPr>
                <w:rFonts w:ascii="Arial" w:cs="Arial" w:eastAsia="Arial" w:hAnsi="Arial"/>
                <w:sz w:val="15"/>
                <w:szCs w:val="15"/>
                <w:color w:val="auto"/>
              </w:rPr>
              <w:t>2.1</w:t>
            </w:r>
          </w:p>
        </w:tc>
        <w:tc>
          <w:tcPr>
            <w:tcW w:w="10700" w:type="dxa"/>
            <w:vAlign w:val="bottom"/>
            <w:gridSpan w:val="2"/>
          </w:tcPr>
          <w:p>
            <w:pPr>
              <w:ind w:left="480"/>
              <w:spacing w:after="0"/>
              <w:rPr>
                <w:sz w:val="20"/>
                <w:szCs w:val="20"/>
                <w:color w:val="auto"/>
              </w:rPr>
            </w:pPr>
            <w:r>
              <w:rPr>
                <w:rFonts w:ascii="Arial" w:cs="Arial" w:eastAsia="Arial" w:hAnsi="Arial"/>
                <w:sz w:val="15"/>
                <w:szCs w:val="15"/>
                <w:color w:val="auto"/>
              </w:rPr>
              <w:t>Agreement and Plan of Merger by and among Micron Technology, Inc., March 2006 Merger Corp. and Lexar Media, Inc., dated as of March 8, 2006 (2)</w:t>
            </w:r>
          </w:p>
        </w:tc>
      </w:tr>
      <w:tr>
        <w:trPr>
          <w:trHeight w:val="175"/>
        </w:trPr>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2.2</w:t>
            </w:r>
          </w:p>
        </w:tc>
        <w:tc>
          <w:tcPr>
            <w:tcW w:w="107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94"/>
              </w:rPr>
              <w:t>First Amendment to Agreement and Plan of Merger dated as of May 30, 2006, by and among Micron Technology, Inc., March 2006 Merger Corp. and Lexar Media,</w:t>
            </w:r>
          </w:p>
        </w:tc>
      </w:tr>
      <w:tr>
        <w:trPr>
          <w:trHeight w:val="196"/>
        </w:trPr>
        <w:tc>
          <w:tcPr>
            <w:tcW w:w="740" w:type="dxa"/>
            <w:vAlign w:val="bottom"/>
            <w:shd w:val="clear" w:color="auto" w:fill="CCEEFF"/>
          </w:tcPr>
          <w:p>
            <w:pPr>
              <w:spacing w:after="0"/>
              <w:rPr>
                <w:sz w:val="17"/>
                <w:szCs w:val="17"/>
                <w:color w:val="auto"/>
              </w:rPr>
            </w:pPr>
          </w:p>
        </w:tc>
        <w:tc>
          <w:tcPr>
            <w:tcW w:w="107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Inc. (3)</w:t>
            </w:r>
          </w:p>
        </w:tc>
      </w:tr>
      <w:tr>
        <w:trPr>
          <w:trHeight w:val="175"/>
        </w:trPr>
        <w:tc>
          <w:tcPr>
            <w:tcW w:w="740" w:type="dxa"/>
            <w:vAlign w:val="bottom"/>
          </w:tcPr>
          <w:p>
            <w:pPr>
              <w:spacing w:after="0"/>
              <w:rPr>
                <w:sz w:val="20"/>
                <w:szCs w:val="20"/>
                <w:color w:val="auto"/>
              </w:rPr>
            </w:pPr>
            <w:r>
              <w:rPr>
                <w:rFonts w:ascii="Arial" w:cs="Arial" w:eastAsia="Arial" w:hAnsi="Arial"/>
                <w:sz w:val="15"/>
                <w:szCs w:val="15"/>
                <w:color w:val="auto"/>
              </w:rPr>
              <w:t>2.3</w:t>
            </w:r>
          </w:p>
        </w:tc>
        <w:tc>
          <w:tcPr>
            <w:tcW w:w="10700" w:type="dxa"/>
            <w:vAlign w:val="bottom"/>
            <w:gridSpan w:val="2"/>
          </w:tcPr>
          <w:p>
            <w:pPr>
              <w:ind w:left="480"/>
              <w:spacing w:after="0"/>
              <w:rPr>
                <w:sz w:val="20"/>
                <w:szCs w:val="20"/>
                <w:color w:val="auto"/>
              </w:rPr>
            </w:pPr>
            <w:r>
              <w:rPr>
                <w:rFonts w:ascii="Arial" w:cs="Arial" w:eastAsia="Arial" w:hAnsi="Arial"/>
                <w:sz w:val="15"/>
                <w:szCs w:val="15"/>
                <w:color w:val="auto"/>
                <w:w w:val="97"/>
              </w:rPr>
              <w:t>Second Amendment to Agreement and Plan of Merger dated as of June 4, 2006, by and among Micron Technology, Inc., March 2006 Merger Corp. and Lexar</w:t>
            </w:r>
          </w:p>
        </w:tc>
      </w:tr>
      <w:tr>
        <w:trPr>
          <w:trHeight w:val="196"/>
        </w:trPr>
        <w:tc>
          <w:tcPr>
            <w:tcW w:w="740" w:type="dxa"/>
            <w:vAlign w:val="bottom"/>
          </w:tcPr>
          <w:p>
            <w:pPr>
              <w:spacing w:after="0"/>
              <w:rPr>
                <w:sz w:val="17"/>
                <w:szCs w:val="17"/>
                <w:color w:val="auto"/>
              </w:rPr>
            </w:pPr>
          </w:p>
        </w:tc>
        <w:tc>
          <w:tcPr>
            <w:tcW w:w="10700" w:type="dxa"/>
            <w:vAlign w:val="bottom"/>
            <w:gridSpan w:val="2"/>
          </w:tcPr>
          <w:p>
            <w:pPr>
              <w:ind w:left="480"/>
              <w:spacing w:after="0"/>
              <w:rPr>
                <w:sz w:val="20"/>
                <w:szCs w:val="20"/>
                <w:color w:val="auto"/>
              </w:rPr>
            </w:pPr>
            <w:r>
              <w:rPr>
                <w:rFonts w:ascii="Arial" w:cs="Arial" w:eastAsia="Arial" w:hAnsi="Arial"/>
                <w:sz w:val="15"/>
                <w:szCs w:val="15"/>
                <w:color w:val="auto"/>
              </w:rPr>
              <w:t>Media, Inc. (4)</w:t>
            </w:r>
          </w:p>
        </w:tc>
      </w:tr>
      <w:tr>
        <w:trPr>
          <w:trHeight w:val="186"/>
        </w:trPr>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3.1</w:t>
            </w:r>
          </w:p>
        </w:tc>
        <w:tc>
          <w:tcPr>
            <w:tcW w:w="107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Restated Certificate of Incorporation of the Registrant (5)</w:t>
            </w:r>
          </w:p>
        </w:tc>
      </w:tr>
      <w:tr>
        <w:trPr>
          <w:trHeight w:val="185"/>
        </w:trPr>
        <w:tc>
          <w:tcPr>
            <w:tcW w:w="740" w:type="dxa"/>
            <w:vAlign w:val="bottom"/>
          </w:tcPr>
          <w:p>
            <w:pPr>
              <w:spacing w:after="0"/>
              <w:rPr>
                <w:sz w:val="20"/>
                <w:szCs w:val="20"/>
                <w:color w:val="auto"/>
              </w:rPr>
            </w:pPr>
            <w:r>
              <w:rPr>
                <w:rFonts w:ascii="Arial" w:cs="Arial" w:eastAsia="Arial" w:hAnsi="Arial"/>
                <w:sz w:val="15"/>
                <w:szCs w:val="15"/>
                <w:color w:val="auto"/>
              </w:rPr>
              <w:t>3.2</w:t>
            </w:r>
          </w:p>
        </w:tc>
        <w:tc>
          <w:tcPr>
            <w:tcW w:w="10700" w:type="dxa"/>
            <w:vAlign w:val="bottom"/>
            <w:gridSpan w:val="2"/>
          </w:tcPr>
          <w:p>
            <w:pPr>
              <w:ind w:left="480"/>
              <w:spacing w:after="0"/>
              <w:rPr>
                <w:sz w:val="20"/>
                <w:szCs w:val="20"/>
                <w:color w:val="auto"/>
              </w:rPr>
            </w:pPr>
            <w:r>
              <w:rPr>
                <w:rFonts w:ascii="Arial" w:cs="Arial" w:eastAsia="Arial" w:hAnsi="Arial"/>
                <w:sz w:val="15"/>
                <w:szCs w:val="15"/>
                <w:color w:val="auto"/>
              </w:rPr>
              <w:t>Bylaws of the Registrant, as amended (6)</w:t>
            </w:r>
          </w:p>
        </w:tc>
      </w:tr>
      <w:tr>
        <w:trPr>
          <w:trHeight w:val="185"/>
        </w:trPr>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4.2</w:t>
            </w:r>
          </w:p>
        </w:tc>
        <w:tc>
          <w:tcPr>
            <w:tcW w:w="107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Securities Purchase Agreement dated September 24, 2003, between the Registrant and Intel Capital Corporation (7)</w:t>
            </w:r>
          </w:p>
        </w:tc>
      </w:tr>
      <w:tr>
        <w:trPr>
          <w:trHeight w:val="185"/>
        </w:trPr>
        <w:tc>
          <w:tcPr>
            <w:tcW w:w="740" w:type="dxa"/>
            <w:vAlign w:val="bottom"/>
          </w:tcPr>
          <w:p>
            <w:pPr>
              <w:spacing w:after="0"/>
              <w:rPr>
                <w:sz w:val="20"/>
                <w:szCs w:val="20"/>
                <w:color w:val="auto"/>
              </w:rPr>
            </w:pPr>
            <w:r>
              <w:rPr>
                <w:rFonts w:ascii="Arial" w:cs="Arial" w:eastAsia="Arial" w:hAnsi="Arial"/>
                <w:sz w:val="15"/>
                <w:szCs w:val="15"/>
                <w:color w:val="auto"/>
              </w:rPr>
              <w:t>4.3</w:t>
            </w:r>
          </w:p>
        </w:tc>
        <w:tc>
          <w:tcPr>
            <w:tcW w:w="10700" w:type="dxa"/>
            <w:vAlign w:val="bottom"/>
            <w:gridSpan w:val="2"/>
          </w:tcPr>
          <w:p>
            <w:pPr>
              <w:ind w:left="480"/>
              <w:spacing w:after="0"/>
              <w:rPr>
                <w:sz w:val="20"/>
                <w:szCs w:val="20"/>
                <w:color w:val="auto"/>
              </w:rPr>
            </w:pPr>
            <w:r>
              <w:rPr>
                <w:rFonts w:ascii="Arial" w:cs="Arial" w:eastAsia="Arial" w:hAnsi="Arial"/>
                <w:sz w:val="15"/>
                <w:szCs w:val="15"/>
                <w:color w:val="auto"/>
              </w:rPr>
              <w:t>Stock Rights Agreement dated September 24, 2003, between the Registrant and Intel Capital Corporation (7)</w:t>
            </w:r>
          </w:p>
        </w:tc>
      </w:tr>
      <w:tr>
        <w:trPr>
          <w:trHeight w:val="185"/>
        </w:trPr>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4.4</w:t>
            </w:r>
          </w:p>
        </w:tc>
        <w:tc>
          <w:tcPr>
            <w:tcW w:w="107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Indenture dated March 30, 2005, by and between Lexar Media, Inc. and U.S. Bank National Association (8)</w:t>
            </w:r>
          </w:p>
        </w:tc>
      </w:tr>
      <w:tr>
        <w:trPr>
          <w:trHeight w:val="185"/>
        </w:trPr>
        <w:tc>
          <w:tcPr>
            <w:tcW w:w="740" w:type="dxa"/>
            <w:vAlign w:val="bottom"/>
          </w:tcPr>
          <w:p>
            <w:pPr>
              <w:spacing w:after="0"/>
              <w:rPr>
                <w:sz w:val="20"/>
                <w:szCs w:val="20"/>
                <w:color w:val="auto"/>
              </w:rPr>
            </w:pPr>
            <w:r>
              <w:rPr>
                <w:rFonts w:ascii="Arial" w:cs="Arial" w:eastAsia="Arial" w:hAnsi="Arial"/>
                <w:sz w:val="15"/>
                <w:szCs w:val="15"/>
                <w:color w:val="auto"/>
              </w:rPr>
              <w:t>4.5</w:t>
            </w:r>
          </w:p>
        </w:tc>
        <w:tc>
          <w:tcPr>
            <w:tcW w:w="10700" w:type="dxa"/>
            <w:vAlign w:val="bottom"/>
            <w:gridSpan w:val="2"/>
          </w:tcPr>
          <w:p>
            <w:pPr>
              <w:ind w:left="480"/>
              <w:spacing w:after="0"/>
              <w:rPr>
                <w:sz w:val="20"/>
                <w:szCs w:val="20"/>
                <w:color w:val="auto"/>
              </w:rPr>
            </w:pPr>
            <w:r>
              <w:rPr>
                <w:rFonts w:ascii="Arial" w:cs="Arial" w:eastAsia="Arial" w:hAnsi="Arial"/>
                <w:sz w:val="15"/>
                <w:szCs w:val="15"/>
                <w:color w:val="auto"/>
              </w:rPr>
              <w:t>First Supplemental Indenture to the Lexar Indenture dated as of June 21, 2006, between Lexar and U.S. Bank National Association (9)</w:t>
            </w:r>
          </w:p>
        </w:tc>
      </w:tr>
      <w:tr>
        <w:trPr>
          <w:trHeight w:val="185"/>
        </w:trPr>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4.6</w:t>
            </w:r>
          </w:p>
        </w:tc>
        <w:tc>
          <w:tcPr>
            <w:tcW w:w="1070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Indenture dated as of May 23, 2007 by and between Micron Technology, Inc. and Wells Fargo Bank, National Association, as trustee (1)</w:t>
            </w:r>
          </w:p>
        </w:tc>
      </w:tr>
      <w:tr>
        <w:trPr>
          <w:trHeight w:val="185"/>
        </w:trPr>
        <w:tc>
          <w:tcPr>
            <w:tcW w:w="740" w:type="dxa"/>
            <w:vAlign w:val="bottom"/>
          </w:tcPr>
          <w:p>
            <w:pPr>
              <w:spacing w:after="0"/>
              <w:rPr>
                <w:sz w:val="20"/>
                <w:szCs w:val="20"/>
                <w:color w:val="auto"/>
              </w:rPr>
            </w:pPr>
            <w:r>
              <w:rPr>
                <w:rFonts w:ascii="Arial" w:cs="Arial" w:eastAsia="Arial" w:hAnsi="Arial"/>
                <w:sz w:val="15"/>
                <w:szCs w:val="15"/>
                <w:color w:val="auto"/>
              </w:rPr>
              <w:t>10.1</w:t>
            </w:r>
          </w:p>
        </w:tc>
        <w:tc>
          <w:tcPr>
            <w:tcW w:w="10700" w:type="dxa"/>
            <w:vAlign w:val="bottom"/>
            <w:gridSpan w:val="2"/>
          </w:tcPr>
          <w:p>
            <w:pPr>
              <w:ind w:left="480"/>
              <w:spacing w:after="0"/>
              <w:rPr>
                <w:sz w:val="20"/>
                <w:szCs w:val="20"/>
                <w:color w:val="auto"/>
              </w:rPr>
            </w:pPr>
            <w:r>
              <w:rPr>
                <w:rFonts w:ascii="Arial" w:cs="Arial" w:eastAsia="Arial" w:hAnsi="Arial"/>
                <w:sz w:val="15"/>
                <w:szCs w:val="15"/>
                <w:color w:val="auto"/>
              </w:rPr>
              <w:t>Executive Officer Performance Incentive Plan (10)</w:t>
            </w:r>
          </w:p>
        </w:tc>
      </w:tr>
      <w:tr>
        <w:trPr>
          <w:trHeight w:val="185"/>
        </w:trPr>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10.2</w:t>
            </w:r>
          </w:p>
        </w:tc>
        <w:tc>
          <w:tcPr>
            <w:tcW w:w="800" w:type="dxa"/>
            <w:vAlign w:val="bottom"/>
            <w:shd w:val="clear" w:color="auto" w:fill="CCEEFF"/>
          </w:tcPr>
          <w:p>
            <w:pPr>
              <w:ind w:left="480"/>
              <w:spacing w:after="0"/>
              <w:rPr>
                <w:sz w:val="20"/>
                <w:szCs w:val="20"/>
                <w:color w:val="auto"/>
              </w:rPr>
            </w:pPr>
            <w:r>
              <w:rPr>
                <w:rFonts w:ascii="Arial" w:cs="Arial" w:eastAsia="Arial" w:hAnsi="Arial"/>
                <w:sz w:val="15"/>
                <w:szCs w:val="15"/>
                <w:color w:val="auto"/>
                <w:w w:val="89"/>
              </w:rPr>
              <w:t>1989</w:t>
            </w:r>
          </w:p>
        </w:tc>
        <w:tc>
          <w:tcPr>
            <w:tcW w:w="9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Employee Stock Purchase Plan (11)</w:t>
            </w:r>
          </w:p>
        </w:tc>
      </w:tr>
      <w:tr>
        <w:trPr>
          <w:trHeight w:val="185"/>
        </w:trPr>
        <w:tc>
          <w:tcPr>
            <w:tcW w:w="740" w:type="dxa"/>
            <w:vAlign w:val="bottom"/>
          </w:tcPr>
          <w:p>
            <w:pPr>
              <w:spacing w:after="0"/>
              <w:rPr>
                <w:sz w:val="20"/>
                <w:szCs w:val="20"/>
                <w:color w:val="auto"/>
              </w:rPr>
            </w:pPr>
            <w:r>
              <w:rPr>
                <w:rFonts w:ascii="Arial" w:cs="Arial" w:eastAsia="Arial" w:hAnsi="Arial"/>
                <w:sz w:val="15"/>
                <w:szCs w:val="15"/>
                <w:color w:val="auto"/>
              </w:rPr>
              <w:t>10.3</w:t>
            </w:r>
          </w:p>
        </w:tc>
        <w:tc>
          <w:tcPr>
            <w:tcW w:w="800" w:type="dxa"/>
            <w:vAlign w:val="bottom"/>
          </w:tcPr>
          <w:p>
            <w:pPr>
              <w:ind w:left="480"/>
              <w:spacing w:after="0"/>
              <w:rPr>
                <w:sz w:val="20"/>
                <w:szCs w:val="20"/>
                <w:color w:val="auto"/>
              </w:rPr>
            </w:pPr>
            <w:r>
              <w:rPr>
                <w:rFonts w:ascii="Arial" w:cs="Arial" w:eastAsia="Arial" w:hAnsi="Arial"/>
                <w:sz w:val="15"/>
                <w:szCs w:val="15"/>
                <w:color w:val="auto"/>
                <w:w w:val="89"/>
              </w:rPr>
              <w:t>1994</w:t>
            </w:r>
          </w:p>
        </w:tc>
        <w:tc>
          <w:tcPr>
            <w:tcW w:w="9900" w:type="dxa"/>
            <w:vAlign w:val="bottom"/>
          </w:tcPr>
          <w:p>
            <w:pPr>
              <w:ind w:left="20"/>
              <w:spacing w:after="0"/>
              <w:rPr>
                <w:sz w:val="20"/>
                <w:szCs w:val="20"/>
                <w:color w:val="auto"/>
              </w:rPr>
            </w:pPr>
            <w:r>
              <w:rPr>
                <w:rFonts w:ascii="Arial" w:cs="Arial" w:eastAsia="Arial" w:hAnsi="Arial"/>
                <w:sz w:val="15"/>
                <w:szCs w:val="15"/>
                <w:color w:val="auto"/>
              </w:rPr>
              <w:t>Stock Option Plan (12)</w:t>
            </w:r>
          </w:p>
        </w:tc>
      </w:tr>
      <w:tr>
        <w:trPr>
          <w:trHeight w:val="185"/>
        </w:trPr>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10.4</w:t>
            </w:r>
          </w:p>
        </w:tc>
        <w:tc>
          <w:tcPr>
            <w:tcW w:w="800" w:type="dxa"/>
            <w:vAlign w:val="bottom"/>
            <w:shd w:val="clear" w:color="auto" w:fill="CCEEFF"/>
          </w:tcPr>
          <w:p>
            <w:pPr>
              <w:ind w:left="480"/>
              <w:spacing w:after="0"/>
              <w:rPr>
                <w:sz w:val="20"/>
                <w:szCs w:val="20"/>
                <w:color w:val="auto"/>
              </w:rPr>
            </w:pPr>
            <w:r>
              <w:rPr>
                <w:rFonts w:ascii="Arial" w:cs="Arial" w:eastAsia="Arial" w:hAnsi="Arial"/>
                <w:sz w:val="15"/>
                <w:szCs w:val="15"/>
                <w:color w:val="auto"/>
                <w:w w:val="89"/>
              </w:rPr>
              <w:t>1994</w:t>
            </w:r>
          </w:p>
        </w:tc>
        <w:tc>
          <w:tcPr>
            <w:tcW w:w="9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 Plan Form of Agreement and Terms and Conditions (11)</w:t>
            </w:r>
          </w:p>
        </w:tc>
      </w:tr>
      <w:tr>
        <w:trPr>
          <w:trHeight w:val="185"/>
        </w:trPr>
        <w:tc>
          <w:tcPr>
            <w:tcW w:w="740" w:type="dxa"/>
            <w:vAlign w:val="bottom"/>
          </w:tcPr>
          <w:p>
            <w:pPr>
              <w:spacing w:after="0"/>
              <w:rPr>
                <w:sz w:val="20"/>
                <w:szCs w:val="20"/>
                <w:color w:val="auto"/>
              </w:rPr>
            </w:pPr>
            <w:r>
              <w:rPr>
                <w:rFonts w:ascii="Arial" w:cs="Arial" w:eastAsia="Arial" w:hAnsi="Arial"/>
                <w:sz w:val="15"/>
                <w:szCs w:val="15"/>
                <w:color w:val="auto"/>
              </w:rPr>
              <w:t>10.5</w:t>
            </w:r>
          </w:p>
        </w:tc>
        <w:tc>
          <w:tcPr>
            <w:tcW w:w="800" w:type="dxa"/>
            <w:vAlign w:val="bottom"/>
          </w:tcPr>
          <w:p>
            <w:pPr>
              <w:ind w:left="480"/>
              <w:spacing w:after="0"/>
              <w:rPr>
                <w:sz w:val="20"/>
                <w:szCs w:val="20"/>
                <w:color w:val="auto"/>
              </w:rPr>
            </w:pPr>
            <w:r>
              <w:rPr>
                <w:rFonts w:ascii="Arial" w:cs="Arial" w:eastAsia="Arial" w:hAnsi="Arial"/>
                <w:sz w:val="15"/>
                <w:szCs w:val="15"/>
                <w:color w:val="auto"/>
                <w:w w:val="89"/>
              </w:rPr>
              <w:t>1997</w:t>
            </w:r>
          </w:p>
        </w:tc>
        <w:tc>
          <w:tcPr>
            <w:tcW w:w="9900" w:type="dxa"/>
            <w:vAlign w:val="bottom"/>
          </w:tcPr>
          <w:p>
            <w:pPr>
              <w:ind w:left="20"/>
              <w:spacing w:after="0"/>
              <w:rPr>
                <w:sz w:val="20"/>
                <w:szCs w:val="20"/>
                <w:color w:val="auto"/>
              </w:rPr>
            </w:pPr>
            <w:r>
              <w:rPr>
                <w:rFonts w:ascii="Arial" w:cs="Arial" w:eastAsia="Arial" w:hAnsi="Arial"/>
                <w:sz w:val="15"/>
                <w:szCs w:val="15"/>
                <w:color w:val="auto"/>
              </w:rPr>
              <w:t>Nonstatutory Stock Option Plan (13)</w:t>
            </w:r>
          </w:p>
        </w:tc>
      </w:tr>
      <w:tr>
        <w:trPr>
          <w:trHeight w:val="185"/>
        </w:trPr>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10.6</w:t>
            </w:r>
          </w:p>
        </w:tc>
        <w:tc>
          <w:tcPr>
            <w:tcW w:w="800" w:type="dxa"/>
            <w:vAlign w:val="bottom"/>
            <w:shd w:val="clear" w:color="auto" w:fill="CCEEFF"/>
          </w:tcPr>
          <w:p>
            <w:pPr>
              <w:ind w:left="480"/>
              <w:spacing w:after="0"/>
              <w:rPr>
                <w:sz w:val="20"/>
                <w:szCs w:val="20"/>
                <w:color w:val="auto"/>
              </w:rPr>
            </w:pPr>
            <w:r>
              <w:rPr>
                <w:rFonts w:ascii="Arial" w:cs="Arial" w:eastAsia="Arial" w:hAnsi="Arial"/>
                <w:sz w:val="15"/>
                <w:szCs w:val="15"/>
                <w:color w:val="auto"/>
                <w:w w:val="89"/>
              </w:rPr>
              <w:t>1998</w:t>
            </w:r>
          </w:p>
        </w:tc>
        <w:tc>
          <w:tcPr>
            <w:tcW w:w="9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Non-Employee Director Stock Incentive Plan (14)</w:t>
            </w:r>
          </w:p>
        </w:tc>
      </w:tr>
      <w:tr>
        <w:trPr>
          <w:trHeight w:val="394"/>
        </w:trPr>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900" w:type="dxa"/>
            <w:vAlign w:val="bottom"/>
          </w:tcPr>
          <w:p>
            <w:pPr>
              <w:ind w:left="4100"/>
              <w:spacing w:after="0"/>
              <w:rPr>
                <w:sz w:val="20"/>
                <w:szCs w:val="20"/>
                <w:color w:val="auto"/>
              </w:rPr>
            </w:pPr>
            <w:r>
              <w:rPr>
                <w:rFonts w:ascii="Arial" w:cs="Arial" w:eastAsia="Arial" w:hAnsi="Arial"/>
                <w:sz w:val="15"/>
                <w:szCs w:val="15"/>
                <w:color w:val="auto"/>
              </w:rPr>
              <w:t>71</w:t>
            </w:r>
          </w:p>
        </w:tc>
      </w:tr>
      <w:tr>
        <w:trPr>
          <w:trHeight w:val="101"/>
        </w:trPr>
        <w:tc>
          <w:tcPr>
            <w:tcW w:w="7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9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68"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10.7</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1998 Nonstatutory Stock Option Plan (13)</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10.8</w:t>
            </w:r>
          </w:p>
        </w:tc>
        <w:tc>
          <w:tcPr>
            <w:tcW w:w="10680" w:type="dxa"/>
            <w:vAlign w:val="bottom"/>
          </w:tcPr>
          <w:p>
            <w:pPr>
              <w:ind w:left="340"/>
              <w:spacing w:after="0"/>
              <w:rPr>
                <w:sz w:val="20"/>
                <w:szCs w:val="20"/>
                <w:color w:val="auto"/>
              </w:rPr>
            </w:pPr>
            <w:r>
              <w:rPr>
                <w:rFonts w:ascii="Arial" w:cs="Arial" w:eastAsia="Arial" w:hAnsi="Arial"/>
                <w:sz w:val="15"/>
                <w:szCs w:val="15"/>
                <w:color w:val="auto"/>
              </w:rPr>
              <w:t>2001 Stock Option Plan (15)</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10.9</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2001 Stock Option Plan Form of Agreement (16)</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10.10</w:t>
            </w:r>
          </w:p>
        </w:tc>
        <w:tc>
          <w:tcPr>
            <w:tcW w:w="10680" w:type="dxa"/>
            <w:vAlign w:val="bottom"/>
          </w:tcPr>
          <w:p>
            <w:pPr>
              <w:ind w:left="340"/>
              <w:spacing w:after="0"/>
              <w:rPr>
                <w:sz w:val="20"/>
                <w:szCs w:val="20"/>
                <w:color w:val="auto"/>
              </w:rPr>
            </w:pPr>
            <w:r>
              <w:rPr>
                <w:rFonts w:ascii="Arial" w:cs="Arial" w:eastAsia="Arial" w:hAnsi="Arial"/>
                <w:sz w:val="15"/>
                <w:szCs w:val="15"/>
                <w:color w:val="auto"/>
              </w:rPr>
              <w:t>2002 Employment Inducement Stock Option Plan (15)</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10.11</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2004 Equity Incentive Plan (25)</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10.12</w:t>
            </w:r>
          </w:p>
        </w:tc>
        <w:tc>
          <w:tcPr>
            <w:tcW w:w="10680" w:type="dxa"/>
            <w:vAlign w:val="bottom"/>
          </w:tcPr>
          <w:p>
            <w:pPr>
              <w:ind w:left="340"/>
              <w:spacing w:after="0"/>
              <w:rPr>
                <w:sz w:val="20"/>
                <w:szCs w:val="20"/>
                <w:color w:val="auto"/>
              </w:rPr>
            </w:pPr>
            <w:r>
              <w:rPr>
                <w:rFonts w:ascii="Arial" w:cs="Arial" w:eastAsia="Arial" w:hAnsi="Arial"/>
                <w:sz w:val="15"/>
                <w:szCs w:val="15"/>
                <w:color w:val="auto"/>
              </w:rPr>
              <w:t>2004 Equity Incentive Plan Forms of Agreement and Terms and Conditions (11)</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10.13</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Nonstatutory Stock Option Plan (17)</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10.14</w:t>
            </w:r>
          </w:p>
        </w:tc>
        <w:tc>
          <w:tcPr>
            <w:tcW w:w="10680" w:type="dxa"/>
            <w:vAlign w:val="bottom"/>
          </w:tcPr>
          <w:p>
            <w:pPr>
              <w:ind w:left="340"/>
              <w:spacing w:after="0"/>
              <w:rPr>
                <w:sz w:val="20"/>
                <w:szCs w:val="20"/>
                <w:color w:val="auto"/>
              </w:rPr>
            </w:pPr>
            <w:r>
              <w:rPr>
                <w:rFonts w:ascii="Arial" w:cs="Arial" w:eastAsia="Arial" w:hAnsi="Arial"/>
                <w:sz w:val="15"/>
                <w:szCs w:val="15"/>
                <w:color w:val="auto"/>
              </w:rPr>
              <w:t>Nonstatutory Stock Option Plan Form of Agreement and Terms and Conditions (11)</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10.15</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Lexar Media, Inc. 2000 Equity Incentive Plan (18)</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10.16</w:t>
            </w:r>
          </w:p>
        </w:tc>
        <w:tc>
          <w:tcPr>
            <w:tcW w:w="10680" w:type="dxa"/>
            <w:vAlign w:val="bottom"/>
          </w:tcPr>
          <w:p>
            <w:pPr>
              <w:ind w:left="340"/>
              <w:spacing w:after="0"/>
              <w:rPr>
                <w:sz w:val="20"/>
                <w:szCs w:val="20"/>
                <w:color w:val="auto"/>
              </w:rPr>
            </w:pPr>
            <w:r>
              <w:rPr>
                <w:rFonts w:ascii="Arial" w:cs="Arial" w:eastAsia="Arial" w:hAnsi="Arial"/>
                <w:sz w:val="15"/>
                <w:szCs w:val="15"/>
                <w:color w:val="auto"/>
              </w:rPr>
              <w:t>Micron Quantum Devices, Inc. 1996 Stock Option Plan (12)</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10.17</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Micron Quantum Devices, Inc. 1996 Stock Option Plan Sample Stock Option Assumption Letter (12)</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10.18</w:t>
            </w:r>
          </w:p>
        </w:tc>
        <w:tc>
          <w:tcPr>
            <w:tcW w:w="10680" w:type="dxa"/>
            <w:vAlign w:val="bottom"/>
          </w:tcPr>
          <w:p>
            <w:pPr>
              <w:ind w:left="340"/>
              <w:spacing w:after="0"/>
              <w:rPr>
                <w:sz w:val="20"/>
                <w:szCs w:val="20"/>
                <w:color w:val="auto"/>
              </w:rPr>
            </w:pPr>
            <w:r>
              <w:rPr>
                <w:rFonts w:ascii="Arial" w:cs="Arial" w:eastAsia="Arial" w:hAnsi="Arial"/>
                <w:sz w:val="15"/>
                <w:szCs w:val="15"/>
                <w:color w:val="auto"/>
              </w:rPr>
              <w:t>Rendition, Inc. 1994 Equity Incentive Plan (19)</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10.19</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Rendition, Inc. 1994 Equity Incentive Plan Sample Stock Option Assumption Letter (19)</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10.20*</w:t>
            </w:r>
          </w:p>
        </w:tc>
        <w:tc>
          <w:tcPr>
            <w:tcW w:w="10680" w:type="dxa"/>
            <w:vAlign w:val="bottom"/>
          </w:tcPr>
          <w:p>
            <w:pPr>
              <w:ind w:left="340"/>
              <w:spacing w:after="0"/>
              <w:rPr>
                <w:sz w:val="20"/>
                <w:szCs w:val="20"/>
                <w:color w:val="auto"/>
              </w:rPr>
            </w:pPr>
            <w:r>
              <w:rPr>
                <w:rFonts w:ascii="Arial" w:cs="Arial" w:eastAsia="Arial" w:hAnsi="Arial"/>
                <w:sz w:val="15"/>
                <w:szCs w:val="15"/>
                <w:color w:val="auto"/>
                <w:w w:val="97"/>
              </w:rPr>
              <w:t>Settlement and Release Agreement dated September 15, 2006, by and among Toshiba Corporation, Micron Technology, Inc. and Acclaim Innovations, LLC (20)</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10.21*</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Patent License Agreement dated September 15, 2006, by and among Toshiba Corporation, Acclaim Innovations, LLC and Micron Technology, Inc. (20)</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10.22*</w:t>
            </w:r>
          </w:p>
        </w:tc>
        <w:tc>
          <w:tcPr>
            <w:tcW w:w="10680" w:type="dxa"/>
            <w:vAlign w:val="bottom"/>
          </w:tcPr>
          <w:p>
            <w:pPr>
              <w:ind w:left="340"/>
              <w:spacing w:after="0"/>
              <w:rPr>
                <w:sz w:val="20"/>
                <w:szCs w:val="20"/>
                <w:color w:val="auto"/>
              </w:rPr>
            </w:pPr>
            <w:r>
              <w:rPr>
                <w:rFonts w:ascii="Arial" w:cs="Arial" w:eastAsia="Arial" w:hAnsi="Arial"/>
                <w:sz w:val="15"/>
                <w:szCs w:val="15"/>
                <w:color w:val="auto"/>
              </w:rPr>
              <w:t>Omnibus Agreement dated as of February 27, 2007, between Micron Technology, Inc. and Intel Corporation (9)</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10.23*</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9"/>
              </w:rPr>
              <w:t>Limited Liability Partnership Agreement dated as of February 27, 2007, between Micron Semiconductor Asia Pte. Ltd. and Intel Technology Asia Pte. Ltd. (9)</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10.24*</w:t>
            </w:r>
          </w:p>
        </w:tc>
        <w:tc>
          <w:tcPr>
            <w:tcW w:w="10680" w:type="dxa"/>
            <w:vAlign w:val="bottom"/>
          </w:tcPr>
          <w:p>
            <w:pPr>
              <w:ind w:left="340"/>
              <w:spacing w:after="0"/>
              <w:rPr>
                <w:sz w:val="20"/>
                <w:szCs w:val="20"/>
                <w:color w:val="auto"/>
              </w:rPr>
            </w:pPr>
            <w:r>
              <w:rPr>
                <w:rFonts w:ascii="Arial" w:cs="Arial" w:eastAsia="Arial" w:hAnsi="Arial"/>
                <w:sz w:val="15"/>
                <w:szCs w:val="15"/>
                <w:color w:val="auto"/>
              </w:rPr>
              <w:t>Supply Agreement dated as of February 27, 2007, between Micron Semiconductor Asia Pte. Ltd. and IM Flash Singapore, LLP (9)</w:t>
            </w:r>
          </w:p>
        </w:tc>
      </w:tr>
      <w:tr>
        <w:trPr>
          <w:trHeight w:val="17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10.25*</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4"/>
              </w:rPr>
              <w:t>Amended and Restated Limited Liability Company Operating Agreement of IM Flash Technologies, LLC dated as of February 27, 2007, between Micron Technology,</w:t>
            </w:r>
          </w:p>
        </w:tc>
      </w:tr>
      <w:tr>
        <w:trPr>
          <w:trHeight w:val="196"/>
        </w:trPr>
        <w:tc>
          <w:tcPr>
            <w:tcW w:w="760" w:type="dxa"/>
            <w:vAlign w:val="bottom"/>
            <w:shd w:val="clear" w:color="auto" w:fill="CCEEFF"/>
          </w:tcPr>
          <w:p>
            <w:pPr>
              <w:spacing w:after="0"/>
              <w:rPr>
                <w:sz w:val="17"/>
                <w:szCs w:val="17"/>
                <w:color w:val="auto"/>
              </w:rPr>
            </w:pP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Inc. and Intel Corporation (9)</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10.26*</w:t>
            </w:r>
          </w:p>
        </w:tc>
        <w:tc>
          <w:tcPr>
            <w:tcW w:w="10680" w:type="dxa"/>
            <w:vAlign w:val="bottom"/>
          </w:tcPr>
          <w:p>
            <w:pPr>
              <w:ind w:left="340"/>
              <w:spacing w:after="0"/>
              <w:rPr>
                <w:sz w:val="20"/>
                <w:szCs w:val="20"/>
                <w:color w:val="auto"/>
              </w:rPr>
            </w:pPr>
            <w:r>
              <w:rPr>
                <w:rFonts w:ascii="Arial" w:cs="Arial" w:eastAsia="Arial" w:hAnsi="Arial"/>
                <w:sz w:val="15"/>
                <w:szCs w:val="15"/>
                <w:color w:val="auto"/>
              </w:rPr>
              <w:t>Supply Agreement dated as of February 27, 2007, between Intel Technology Asia Pte. Ltd. and IM Flash Singapore, LLP (9)</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10.27</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Form of Indemnification Agreement between the Registrant and its officers and directors (21)</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10.28</w:t>
            </w:r>
          </w:p>
        </w:tc>
        <w:tc>
          <w:tcPr>
            <w:tcW w:w="10680" w:type="dxa"/>
            <w:vAlign w:val="bottom"/>
          </w:tcPr>
          <w:p>
            <w:pPr>
              <w:ind w:left="340"/>
              <w:spacing w:after="0"/>
              <w:rPr>
                <w:sz w:val="20"/>
                <w:szCs w:val="20"/>
                <w:color w:val="auto"/>
              </w:rPr>
            </w:pPr>
            <w:r>
              <w:rPr>
                <w:rFonts w:ascii="Arial" w:cs="Arial" w:eastAsia="Arial" w:hAnsi="Arial"/>
                <w:sz w:val="15"/>
                <w:szCs w:val="15"/>
                <w:color w:val="auto"/>
              </w:rPr>
              <w:t>Form of Severance Agreement between the Company and its officers (22)</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10.29</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Form of Agreement and Amendment to Severance Agreement between the Company and its officers (23)</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10.30</w:t>
            </w:r>
          </w:p>
        </w:tc>
        <w:tc>
          <w:tcPr>
            <w:tcW w:w="10680" w:type="dxa"/>
            <w:vAlign w:val="bottom"/>
          </w:tcPr>
          <w:p>
            <w:pPr>
              <w:ind w:left="340"/>
              <w:spacing w:after="0"/>
              <w:rPr>
                <w:sz w:val="20"/>
                <w:szCs w:val="20"/>
                <w:color w:val="auto"/>
              </w:rPr>
            </w:pPr>
            <w:r>
              <w:rPr>
                <w:rFonts w:ascii="Arial" w:cs="Arial" w:eastAsia="Arial" w:hAnsi="Arial"/>
                <w:sz w:val="15"/>
                <w:szCs w:val="15"/>
                <w:color w:val="auto"/>
              </w:rPr>
              <w:t>Purchase Agreement dated October 1, 1998, between the Registrant and TECH Semiconductor Singapore Pte. Ltd. (24)</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10.34*</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Business Agreement dated September 24, 2003, between the Registrant and Intel Corporation (7)</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10.35</w:t>
            </w:r>
          </w:p>
        </w:tc>
        <w:tc>
          <w:tcPr>
            <w:tcW w:w="10680" w:type="dxa"/>
            <w:vAlign w:val="bottom"/>
          </w:tcPr>
          <w:p>
            <w:pPr>
              <w:ind w:left="340"/>
              <w:spacing w:after="0"/>
              <w:rPr>
                <w:sz w:val="20"/>
                <w:szCs w:val="20"/>
                <w:color w:val="auto"/>
              </w:rPr>
            </w:pPr>
            <w:r>
              <w:rPr>
                <w:rFonts w:ascii="Arial" w:cs="Arial" w:eastAsia="Arial" w:hAnsi="Arial"/>
                <w:sz w:val="15"/>
                <w:szCs w:val="15"/>
                <w:color w:val="auto"/>
              </w:rPr>
              <w:t>Securities Rights and Restrictions Agreement dated September 24, 2003, between the Registrant and Intel Capital (7)</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10.36*</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Master Agreement dated as of November 18, 2005, between Micron Technology, Inc. and Intel Corporation (25)</w:t>
            </w:r>
          </w:p>
        </w:tc>
      </w:tr>
      <w:tr>
        <w:trPr>
          <w:trHeight w:val="175"/>
        </w:trPr>
        <w:tc>
          <w:tcPr>
            <w:tcW w:w="760" w:type="dxa"/>
            <w:vAlign w:val="bottom"/>
          </w:tcPr>
          <w:p>
            <w:pPr>
              <w:spacing w:after="0"/>
              <w:rPr>
                <w:sz w:val="20"/>
                <w:szCs w:val="20"/>
                <w:color w:val="auto"/>
              </w:rPr>
            </w:pPr>
            <w:r>
              <w:rPr>
                <w:rFonts w:ascii="Arial" w:cs="Arial" w:eastAsia="Arial" w:hAnsi="Arial"/>
                <w:sz w:val="15"/>
                <w:szCs w:val="15"/>
                <w:color w:val="auto"/>
              </w:rPr>
              <w:t>10.37*</w:t>
            </w:r>
          </w:p>
        </w:tc>
        <w:tc>
          <w:tcPr>
            <w:tcW w:w="10680" w:type="dxa"/>
            <w:vAlign w:val="bottom"/>
          </w:tcPr>
          <w:p>
            <w:pPr>
              <w:ind w:left="340"/>
              <w:spacing w:after="0"/>
              <w:rPr>
                <w:sz w:val="20"/>
                <w:szCs w:val="20"/>
                <w:color w:val="auto"/>
              </w:rPr>
            </w:pPr>
            <w:r>
              <w:rPr>
                <w:rFonts w:ascii="Arial" w:cs="Arial" w:eastAsia="Arial" w:hAnsi="Arial"/>
                <w:sz w:val="15"/>
                <w:szCs w:val="15"/>
                <w:color w:val="auto"/>
                <w:w w:val="94"/>
              </w:rPr>
              <w:t>Limited Liability Company Operating Agreement of IM Flash Technologies, LLC dated as of January 6, 2006, between Micron Technology, Inc. and Intel Corporation</w:t>
            </w:r>
          </w:p>
        </w:tc>
      </w:tr>
      <w:tr>
        <w:trPr>
          <w:trHeight w:val="196"/>
        </w:trPr>
        <w:tc>
          <w:tcPr>
            <w:tcW w:w="760" w:type="dxa"/>
            <w:vAlign w:val="bottom"/>
          </w:tcPr>
          <w:p>
            <w:pPr>
              <w:spacing w:after="0"/>
              <w:rPr>
                <w:sz w:val="17"/>
                <w:szCs w:val="17"/>
                <w:color w:val="auto"/>
              </w:rPr>
            </w:pPr>
          </w:p>
        </w:tc>
        <w:tc>
          <w:tcPr>
            <w:tcW w:w="10680" w:type="dxa"/>
            <w:vAlign w:val="bottom"/>
          </w:tcPr>
          <w:p>
            <w:pPr>
              <w:ind w:left="340"/>
              <w:spacing w:after="0"/>
              <w:rPr>
                <w:sz w:val="20"/>
                <w:szCs w:val="20"/>
                <w:color w:val="auto"/>
              </w:rPr>
            </w:pPr>
            <w:r>
              <w:rPr>
                <w:rFonts w:ascii="Arial" w:cs="Arial" w:eastAsia="Arial" w:hAnsi="Arial"/>
                <w:sz w:val="15"/>
                <w:szCs w:val="15"/>
                <w:color w:val="auto"/>
              </w:rPr>
              <w:t>(25)</w:t>
            </w:r>
          </w:p>
        </w:tc>
      </w:tr>
      <w:tr>
        <w:trPr>
          <w:trHeight w:val="186"/>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10.38*</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Manufacturing Services Agreement dated as of January 6, 2006, between Micron Technology, Inc. and IM Flash Technologies, LLC (25)</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10.39*</w:t>
            </w:r>
          </w:p>
        </w:tc>
        <w:tc>
          <w:tcPr>
            <w:tcW w:w="10680" w:type="dxa"/>
            <w:vAlign w:val="bottom"/>
          </w:tcPr>
          <w:p>
            <w:pPr>
              <w:ind w:left="340"/>
              <w:spacing w:after="0"/>
              <w:rPr>
                <w:sz w:val="20"/>
                <w:szCs w:val="20"/>
                <w:color w:val="auto"/>
              </w:rPr>
            </w:pPr>
            <w:r>
              <w:rPr>
                <w:rFonts w:ascii="Arial" w:cs="Arial" w:eastAsia="Arial" w:hAnsi="Arial"/>
                <w:sz w:val="15"/>
                <w:szCs w:val="15"/>
                <w:color w:val="auto"/>
              </w:rPr>
              <w:t>Boise Supply Agreement dated as of January 6, 2006, between IM Flash Technologies, LLC and Micron Technology, Inc. (25)</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10.40*</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MTV Lease Agreement dated as of January 6, 2006, between Micron Technology, Inc. and IM Flash Technologies, LLC (25)</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10.41*</w:t>
            </w:r>
          </w:p>
        </w:tc>
        <w:tc>
          <w:tcPr>
            <w:tcW w:w="10680" w:type="dxa"/>
            <w:vAlign w:val="bottom"/>
          </w:tcPr>
          <w:p>
            <w:pPr>
              <w:ind w:left="340"/>
              <w:spacing w:after="0"/>
              <w:rPr>
                <w:sz w:val="20"/>
                <w:szCs w:val="20"/>
                <w:color w:val="auto"/>
              </w:rPr>
            </w:pPr>
            <w:r>
              <w:rPr>
                <w:rFonts w:ascii="Arial" w:cs="Arial" w:eastAsia="Arial" w:hAnsi="Arial"/>
                <w:sz w:val="15"/>
                <w:szCs w:val="15"/>
                <w:color w:val="auto"/>
              </w:rPr>
              <w:t>Product Designs Assignment Agreement dated January 6, 2006, between Intel Corporation and Micron Technology, Inc. (25)</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10.42*</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NAND Flash Supply Agreement, effective as of January 6, 2006, between Apple Computer, Inc. and Micron Technology, Inc. (25)</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10.43*</w:t>
            </w:r>
          </w:p>
        </w:tc>
        <w:tc>
          <w:tcPr>
            <w:tcW w:w="10680" w:type="dxa"/>
            <w:vAlign w:val="bottom"/>
          </w:tcPr>
          <w:p>
            <w:pPr>
              <w:ind w:left="340"/>
              <w:spacing w:after="0"/>
              <w:rPr>
                <w:sz w:val="20"/>
                <w:szCs w:val="20"/>
                <w:color w:val="auto"/>
              </w:rPr>
            </w:pPr>
            <w:r>
              <w:rPr>
                <w:rFonts w:ascii="Arial" w:cs="Arial" w:eastAsia="Arial" w:hAnsi="Arial"/>
                <w:sz w:val="15"/>
                <w:szCs w:val="15"/>
                <w:color w:val="auto"/>
              </w:rPr>
              <w:t>Supply Agreement dated as of January 6, 2006, between Micron Technology, Inc. and IM Flash Technologies, LLC (25)</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10.44*</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Supply Agreement dated as of January 6, 2006, between Intel Corporation and IM Flash Technologies, LLC (25)</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10.45</w:t>
            </w:r>
          </w:p>
        </w:tc>
        <w:tc>
          <w:tcPr>
            <w:tcW w:w="10680" w:type="dxa"/>
            <w:vAlign w:val="bottom"/>
          </w:tcPr>
          <w:p>
            <w:pPr>
              <w:ind w:left="340"/>
              <w:spacing w:after="0"/>
              <w:rPr>
                <w:sz w:val="20"/>
                <w:szCs w:val="20"/>
                <w:color w:val="auto"/>
              </w:rPr>
            </w:pPr>
            <w:r>
              <w:rPr>
                <w:rFonts w:ascii="Arial" w:cs="Arial" w:eastAsia="Arial" w:hAnsi="Arial"/>
                <w:sz w:val="15"/>
                <w:szCs w:val="15"/>
                <w:color w:val="auto"/>
              </w:rPr>
              <w:t>Capped Call Confirmation (Reference No.CEODL6) by and between Micron Technology, Inc. and Morgan Stanley &amp; Co. International plc (1)</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10.46</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Capped Call Confirmation (Reference No. 53228800) by and between Micron Technology, Inc. and Credit Suisse International (1)</w:t>
            </w: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10.47</w:t>
            </w:r>
          </w:p>
        </w:tc>
        <w:tc>
          <w:tcPr>
            <w:tcW w:w="10680" w:type="dxa"/>
            <w:vAlign w:val="bottom"/>
          </w:tcPr>
          <w:p>
            <w:pPr>
              <w:ind w:left="340"/>
              <w:spacing w:after="0"/>
              <w:rPr>
                <w:sz w:val="20"/>
                <w:szCs w:val="20"/>
                <w:color w:val="auto"/>
              </w:rPr>
            </w:pPr>
            <w:r>
              <w:rPr>
                <w:rFonts w:ascii="Arial" w:cs="Arial" w:eastAsia="Arial" w:hAnsi="Arial"/>
                <w:sz w:val="15"/>
                <w:szCs w:val="15"/>
                <w:color w:val="auto"/>
              </w:rPr>
              <w:t>Capped Call confirmation (Reference No. 53228855) by and between Micron Technology, Inc. and Credit Suisse International (1)</w:t>
            </w:r>
          </w:p>
        </w:tc>
      </w:tr>
      <w:tr>
        <w:trPr>
          <w:trHeight w:val="384"/>
        </w:trPr>
        <w:tc>
          <w:tcPr>
            <w:tcW w:w="760" w:type="dxa"/>
            <w:vAlign w:val="bottom"/>
          </w:tcPr>
          <w:p>
            <w:pPr>
              <w:spacing w:after="0"/>
              <w:rPr>
                <w:sz w:val="24"/>
                <w:szCs w:val="24"/>
                <w:color w:val="auto"/>
              </w:rPr>
            </w:pPr>
          </w:p>
        </w:tc>
        <w:tc>
          <w:tcPr>
            <w:tcW w:w="10680" w:type="dxa"/>
            <w:vAlign w:val="bottom"/>
          </w:tcPr>
          <w:p>
            <w:pPr>
              <w:ind w:left="4880"/>
              <w:spacing w:after="0"/>
              <w:rPr>
                <w:sz w:val="20"/>
                <w:szCs w:val="20"/>
                <w:color w:val="auto"/>
              </w:rPr>
            </w:pPr>
            <w:r>
              <w:rPr>
                <w:rFonts w:ascii="Arial" w:cs="Arial" w:eastAsia="Arial" w:hAnsi="Arial"/>
                <w:sz w:val="15"/>
                <w:szCs w:val="15"/>
                <w:color w:val="auto"/>
              </w:rPr>
              <w:t>72</w:t>
            </w:r>
          </w:p>
        </w:tc>
      </w:tr>
      <w:tr>
        <w:trPr>
          <w:trHeight w:val="101"/>
        </w:trPr>
        <w:tc>
          <w:tcPr>
            <w:tcW w:w="760" w:type="dxa"/>
            <w:vAlign w:val="bottom"/>
            <w:tcBorders>
              <w:bottom w:val="single" w:sz="8" w:color="808080"/>
            </w:tcBorders>
          </w:tcPr>
          <w:p>
            <w:pPr>
              <w:spacing w:after="0"/>
              <w:rPr>
                <w:sz w:val="8"/>
                <w:szCs w:val="8"/>
                <w:color w:val="auto"/>
              </w:rPr>
            </w:pPr>
          </w:p>
        </w:tc>
        <w:tc>
          <w:tcPr>
            <w:tcW w:w="106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3" w:name="page74"/>
    <w:bookmarkEnd w:id="73"/>
    <w:tbl>
      <w:tblPr>
        <w:tblLayout w:type="fixed"/>
        <w:tblInd w:w="7" w:type="dxa"/>
        <w:tblCellMar>
          <w:top w:w="0" w:type="dxa"/>
          <w:left w:w="0" w:type="dxa"/>
          <w:bottom w:w="0" w:type="dxa"/>
          <w:right w:w="0" w:type="dxa"/>
        </w:tblCellMar>
      </w:tblP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10.48</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2007 Equity Incentive Plan (27)</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10.49</w:t>
            </w:r>
          </w:p>
        </w:tc>
        <w:tc>
          <w:tcPr>
            <w:tcW w:w="10680" w:type="dxa"/>
            <w:vAlign w:val="bottom"/>
          </w:tcPr>
          <w:p>
            <w:pPr>
              <w:ind w:left="340"/>
              <w:spacing w:after="0"/>
              <w:rPr>
                <w:sz w:val="20"/>
                <w:szCs w:val="20"/>
                <w:color w:val="auto"/>
              </w:rPr>
            </w:pPr>
            <w:r>
              <w:rPr>
                <w:rFonts w:ascii="Arial" w:cs="Arial" w:eastAsia="Arial" w:hAnsi="Arial"/>
                <w:sz w:val="15"/>
                <w:szCs w:val="15"/>
                <w:color w:val="auto"/>
              </w:rPr>
              <w:t>2007 Equity Incentive Plan Forms of Agreements (27)</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10.50</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Severance Agreement dated April 9, 2008, between Micron Technology, Inc. and Ronald C. Foster (28)</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10.51*</w:t>
            </w:r>
          </w:p>
        </w:tc>
        <w:tc>
          <w:tcPr>
            <w:tcW w:w="10680" w:type="dxa"/>
            <w:vAlign w:val="bottom"/>
          </w:tcPr>
          <w:p>
            <w:pPr>
              <w:ind w:left="340"/>
              <w:spacing w:after="0"/>
              <w:rPr>
                <w:sz w:val="20"/>
                <w:szCs w:val="20"/>
                <w:color w:val="auto"/>
              </w:rPr>
            </w:pPr>
            <w:r>
              <w:rPr>
                <w:rFonts w:ascii="Arial" w:cs="Arial" w:eastAsia="Arial" w:hAnsi="Arial"/>
                <w:sz w:val="15"/>
                <w:szCs w:val="15"/>
                <w:color w:val="auto"/>
              </w:rPr>
              <w:t>Master Agreement, dated as of April 21, 2008, by and between Nanya Technology Corporation and Micron Technology, Inc. (26)</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10.52*</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Joint Venture Agreement, dated as of April 21, 2008, by and between Micron Semiconductor B.V. and Nanya Technology Corporation (26)</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10.53*</w:t>
            </w:r>
          </w:p>
        </w:tc>
        <w:tc>
          <w:tcPr>
            <w:tcW w:w="10680" w:type="dxa"/>
            <w:vAlign w:val="bottom"/>
          </w:tcPr>
          <w:p>
            <w:pPr>
              <w:ind w:left="340"/>
              <w:spacing w:after="0"/>
              <w:rPr>
                <w:sz w:val="20"/>
                <w:szCs w:val="20"/>
                <w:color w:val="auto"/>
              </w:rPr>
            </w:pPr>
            <w:r>
              <w:rPr>
                <w:rFonts w:ascii="Arial" w:cs="Arial" w:eastAsia="Arial" w:hAnsi="Arial"/>
                <w:sz w:val="15"/>
                <w:szCs w:val="15"/>
                <w:color w:val="auto"/>
                <w:w w:val="98"/>
              </w:rPr>
              <w:t>Supply Agreement, dated as of June 6, 2008, by and among Micron Technology, Inc., Nanya Technology Corporation and MeiYa Technology Corporation (26)</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10.54*</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Joint Development Program Agreement, dated as of April 21, 2008, by and between Nanya Technology Corporation and Micron Technology, Inc. (26)</w:t>
            </w:r>
          </w:p>
        </w:tc>
      </w:tr>
      <w:tr>
        <w:trPr>
          <w:trHeight w:val="175"/>
        </w:trPr>
        <w:tc>
          <w:tcPr>
            <w:tcW w:w="760" w:type="dxa"/>
            <w:vAlign w:val="bottom"/>
          </w:tcPr>
          <w:p>
            <w:pPr>
              <w:spacing w:after="0"/>
              <w:rPr>
                <w:sz w:val="20"/>
                <w:szCs w:val="20"/>
                <w:color w:val="auto"/>
              </w:rPr>
            </w:pPr>
            <w:r>
              <w:rPr>
                <w:rFonts w:ascii="Arial" w:cs="Arial" w:eastAsia="Arial" w:hAnsi="Arial"/>
                <w:sz w:val="15"/>
                <w:szCs w:val="15"/>
                <w:color w:val="auto"/>
              </w:rPr>
              <w:t>10.55*</w:t>
            </w:r>
          </w:p>
        </w:tc>
        <w:tc>
          <w:tcPr>
            <w:tcW w:w="10680" w:type="dxa"/>
            <w:vAlign w:val="bottom"/>
          </w:tcPr>
          <w:p>
            <w:pPr>
              <w:ind w:left="340"/>
              <w:spacing w:after="0"/>
              <w:rPr>
                <w:sz w:val="20"/>
                <w:szCs w:val="20"/>
                <w:color w:val="auto"/>
              </w:rPr>
            </w:pPr>
            <w:r>
              <w:rPr>
                <w:rFonts w:ascii="Arial" w:cs="Arial" w:eastAsia="Arial" w:hAnsi="Arial"/>
                <w:sz w:val="15"/>
                <w:szCs w:val="15"/>
                <w:color w:val="auto"/>
                <w:w w:val="93"/>
              </w:rPr>
              <w:t>Technology Transfer and License Agreement for 68-50nm Process Nodes, dated as of April 21, 2008, by and between Micron Technology, Inc. and Nanya Technology</w:t>
            </w:r>
          </w:p>
        </w:tc>
      </w:tr>
      <w:tr>
        <w:trPr>
          <w:trHeight w:val="196"/>
        </w:trPr>
        <w:tc>
          <w:tcPr>
            <w:tcW w:w="760" w:type="dxa"/>
            <w:vAlign w:val="bottom"/>
          </w:tcPr>
          <w:p>
            <w:pPr>
              <w:spacing w:after="0"/>
              <w:rPr>
                <w:sz w:val="17"/>
                <w:szCs w:val="17"/>
                <w:color w:val="auto"/>
              </w:rPr>
            </w:pPr>
          </w:p>
        </w:tc>
        <w:tc>
          <w:tcPr>
            <w:tcW w:w="10680" w:type="dxa"/>
            <w:vAlign w:val="bottom"/>
          </w:tcPr>
          <w:p>
            <w:pPr>
              <w:ind w:left="340"/>
              <w:spacing w:after="0"/>
              <w:rPr>
                <w:sz w:val="20"/>
                <w:szCs w:val="20"/>
                <w:color w:val="auto"/>
              </w:rPr>
            </w:pPr>
            <w:r>
              <w:rPr>
                <w:rFonts w:ascii="Arial" w:cs="Arial" w:eastAsia="Arial" w:hAnsi="Arial"/>
                <w:sz w:val="15"/>
                <w:szCs w:val="15"/>
                <w:color w:val="auto"/>
              </w:rPr>
              <w:t>Corporation (26)</w:t>
            </w:r>
          </w:p>
        </w:tc>
      </w:tr>
      <w:tr>
        <w:trPr>
          <w:trHeight w:val="186"/>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10.56*</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Technology Transfer and License Agreement, dated as of April 21, 2008, by and between Micron Technology, Inc. and Nanya Technology Corporation (26)</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10.57*</w:t>
            </w:r>
          </w:p>
        </w:tc>
        <w:tc>
          <w:tcPr>
            <w:tcW w:w="10680" w:type="dxa"/>
            <w:vAlign w:val="bottom"/>
          </w:tcPr>
          <w:p>
            <w:pPr>
              <w:ind w:left="340"/>
              <w:spacing w:after="0"/>
              <w:rPr>
                <w:sz w:val="20"/>
                <w:szCs w:val="20"/>
                <w:color w:val="auto"/>
              </w:rPr>
            </w:pPr>
            <w:r>
              <w:rPr>
                <w:rFonts w:ascii="Arial" w:cs="Arial" w:eastAsia="Arial" w:hAnsi="Arial"/>
                <w:sz w:val="15"/>
                <w:szCs w:val="15"/>
                <w:color w:val="auto"/>
                <w:w w:val="98"/>
              </w:rPr>
              <w:t>Technology Transfer Agreement for 68-50nm Process Nodes, dated as of May 13, 2008, by and between Micron Technology, Inc. and MeiYa Corporation (26)</w:t>
            </w:r>
          </w:p>
        </w:tc>
      </w:tr>
      <w:tr>
        <w:trPr>
          <w:trHeight w:val="17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10.58*</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9"/>
              </w:rPr>
              <w:t>Technology Transfer Agreement, dated as of May 13, 2008, by and among Nanya Technology Corporation, Micron Technology, Inc. and MeiYa Technology</w:t>
            </w:r>
          </w:p>
        </w:tc>
      </w:tr>
      <w:tr>
        <w:trPr>
          <w:trHeight w:val="196"/>
        </w:trPr>
        <w:tc>
          <w:tcPr>
            <w:tcW w:w="760" w:type="dxa"/>
            <w:vAlign w:val="bottom"/>
            <w:shd w:val="clear" w:color="auto" w:fill="CCEEFF"/>
          </w:tcPr>
          <w:p>
            <w:pPr>
              <w:spacing w:after="0"/>
              <w:rPr>
                <w:sz w:val="17"/>
                <w:szCs w:val="17"/>
                <w:color w:val="auto"/>
              </w:rPr>
            </w:pP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Corporation (26)</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10.59</w:t>
            </w:r>
          </w:p>
        </w:tc>
        <w:tc>
          <w:tcPr>
            <w:tcW w:w="10680" w:type="dxa"/>
            <w:vAlign w:val="bottom"/>
          </w:tcPr>
          <w:p>
            <w:pPr>
              <w:ind w:left="340"/>
              <w:spacing w:after="0"/>
              <w:rPr>
                <w:sz w:val="20"/>
                <w:szCs w:val="20"/>
                <w:color w:val="auto"/>
              </w:rPr>
            </w:pPr>
            <w:r>
              <w:rPr>
                <w:rFonts w:ascii="Arial" w:cs="Arial" w:eastAsia="Arial" w:hAnsi="Arial"/>
                <w:sz w:val="15"/>
                <w:szCs w:val="15"/>
                <w:color w:val="auto"/>
              </w:rPr>
              <w:t>Services Agreement, dated as of June 6, 2008, by and between Nanya Technology Corporation and MeiYa Technology Corporation (26)</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10.60</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Micron Guaranty Agreement, dated April 21, 2008, by and between Nanya Technology Corporation and Micron Semiconductor B.V. (26)</w:t>
            </w:r>
          </w:p>
        </w:tc>
      </w:tr>
      <w:tr>
        <w:trPr>
          <w:trHeight w:val="175"/>
        </w:trPr>
        <w:tc>
          <w:tcPr>
            <w:tcW w:w="760" w:type="dxa"/>
            <w:vAlign w:val="bottom"/>
          </w:tcPr>
          <w:p>
            <w:pPr>
              <w:spacing w:after="0"/>
              <w:rPr>
                <w:sz w:val="20"/>
                <w:szCs w:val="20"/>
                <w:color w:val="auto"/>
              </w:rPr>
            </w:pPr>
            <w:r>
              <w:rPr>
                <w:rFonts w:ascii="Arial" w:cs="Arial" w:eastAsia="Arial" w:hAnsi="Arial"/>
                <w:sz w:val="15"/>
                <w:szCs w:val="15"/>
                <w:color w:val="auto"/>
              </w:rPr>
              <w:t>10.61</w:t>
            </w:r>
          </w:p>
        </w:tc>
        <w:tc>
          <w:tcPr>
            <w:tcW w:w="10680" w:type="dxa"/>
            <w:vAlign w:val="bottom"/>
          </w:tcPr>
          <w:p>
            <w:pPr>
              <w:ind w:left="340"/>
              <w:spacing w:after="0"/>
              <w:rPr>
                <w:sz w:val="20"/>
                <w:szCs w:val="20"/>
                <w:color w:val="auto"/>
              </w:rPr>
            </w:pPr>
            <w:r>
              <w:rPr>
                <w:rFonts w:ascii="Arial" w:cs="Arial" w:eastAsia="Arial" w:hAnsi="Arial"/>
                <w:sz w:val="15"/>
                <w:szCs w:val="15"/>
                <w:color w:val="auto"/>
                <w:w w:val="96"/>
              </w:rPr>
              <w:t>TECH Facility Agreement, dated March 31, 2008, among TECH Semiconductor Singapore Pte. Ltd. and ABN Amro Bank N.V., Citibank, N.A., Singapore Branch,</w:t>
            </w:r>
          </w:p>
        </w:tc>
      </w:tr>
      <w:tr>
        <w:trPr>
          <w:trHeight w:val="196"/>
        </w:trPr>
        <w:tc>
          <w:tcPr>
            <w:tcW w:w="760" w:type="dxa"/>
            <w:vAlign w:val="bottom"/>
          </w:tcPr>
          <w:p>
            <w:pPr>
              <w:spacing w:after="0"/>
              <w:rPr>
                <w:sz w:val="17"/>
                <w:szCs w:val="17"/>
                <w:color w:val="auto"/>
              </w:rPr>
            </w:pPr>
          </w:p>
        </w:tc>
        <w:tc>
          <w:tcPr>
            <w:tcW w:w="10680" w:type="dxa"/>
            <w:vAlign w:val="bottom"/>
          </w:tcPr>
          <w:p>
            <w:pPr>
              <w:ind w:left="340"/>
              <w:spacing w:after="0"/>
              <w:rPr>
                <w:sz w:val="20"/>
                <w:szCs w:val="20"/>
                <w:color w:val="auto"/>
              </w:rPr>
            </w:pPr>
            <w:r>
              <w:rPr>
                <w:rFonts w:ascii="Arial" w:cs="Arial" w:eastAsia="Arial" w:hAnsi="Arial"/>
                <w:sz w:val="15"/>
                <w:szCs w:val="15"/>
                <w:color w:val="auto"/>
              </w:rPr>
              <w:t>Citigroup Global Markets Singapore Pte Ltd., DBS Bank Ltd and Oversea-Chinese Banking Corporation Limited, as Original Mandated Lead Arrangers (26)</w:t>
            </w:r>
          </w:p>
        </w:tc>
      </w:tr>
      <w:tr>
        <w:trPr>
          <w:trHeight w:val="186"/>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10.62</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7"/>
              </w:rPr>
              <w:t>Guarantee, dated March 31, 2008, by Micron Technology, Inc. as Guarantor in favor of ABN Amro Bank N.V., Singapore Branch acting as Security Trustee (26)</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10.63</w:t>
            </w:r>
          </w:p>
        </w:tc>
        <w:tc>
          <w:tcPr>
            <w:tcW w:w="10680" w:type="dxa"/>
            <w:vAlign w:val="bottom"/>
          </w:tcPr>
          <w:p>
            <w:pPr>
              <w:ind w:left="340"/>
              <w:spacing w:after="0"/>
              <w:rPr>
                <w:sz w:val="20"/>
                <w:szCs w:val="20"/>
                <w:color w:val="auto"/>
              </w:rPr>
            </w:pPr>
            <w:r>
              <w:rPr>
                <w:rFonts w:ascii="Arial" w:cs="Arial" w:eastAsia="Arial" w:hAnsi="Arial"/>
                <w:sz w:val="15"/>
                <w:szCs w:val="15"/>
                <w:color w:val="auto"/>
              </w:rPr>
              <w:t>Form of Severance Agreement (29)</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21.1</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Subsidiaries of the Registrant</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23.1</w:t>
            </w:r>
          </w:p>
        </w:tc>
        <w:tc>
          <w:tcPr>
            <w:tcW w:w="10680" w:type="dxa"/>
            <w:vAlign w:val="bottom"/>
          </w:tcPr>
          <w:p>
            <w:pPr>
              <w:ind w:left="340"/>
              <w:spacing w:after="0"/>
              <w:rPr>
                <w:sz w:val="20"/>
                <w:szCs w:val="20"/>
                <w:color w:val="auto"/>
              </w:rPr>
            </w:pPr>
            <w:r>
              <w:rPr>
                <w:rFonts w:ascii="Arial" w:cs="Arial" w:eastAsia="Arial" w:hAnsi="Arial"/>
                <w:sz w:val="15"/>
                <w:szCs w:val="15"/>
                <w:color w:val="auto"/>
              </w:rPr>
              <w:t>Consent of Independent Registered Public Accounting Firm</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31.1</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Rule 13a-14(a) Certification of Chief Executive Officer</w:t>
            </w:r>
          </w:p>
        </w:tc>
      </w:tr>
      <w:tr>
        <w:trPr>
          <w:trHeight w:val="185"/>
        </w:trPr>
        <w:tc>
          <w:tcPr>
            <w:tcW w:w="760" w:type="dxa"/>
            <w:vAlign w:val="bottom"/>
          </w:tcPr>
          <w:p>
            <w:pPr>
              <w:spacing w:after="0"/>
              <w:rPr>
                <w:sz w:val="20"/>
                <w:szCs w:val="20"/>
                <w:color w:val="auto"/>
              </w:rPr>
            </w:pPr>
            <w:r>
              <w:rPr>
                <w:rFonts w:ascii="Arial" w:cs="Arial" w:eastAsia="Arial" w:hAnsi="Arial"/>
                <w:sz w:val="15"/>
                <w:szCs w:val="15"/>
                <w:color w:val="auto"/>
              </w:rPr>
              <w:t>31.2</w:t>
            </w:r>
          </w:p>
        </w:tc>
        <w:tc>
          <w:tcPr>
            <w:tcW w:w="10680" w:type="dxa"/>
            <w:vAlign w:val="bottom"/>
          </w:tcPr>
          <w:p>
            <w:pPr>
              <w:ind w:left="340"/>
              <w:spacing w:after="0"/>
              <w:rPr>
                <w:sz w:val="20"/>
                <w:szCs w:val="20"/>
                <w:color w:val="auto"/>
              </w:rPr>
            </w:pPr>
            <w:r>
              <w:rPr>
                <w:rFonts w:ascii="Arial" w:cs="Arial" w:eastAsia="Arial" w:hAnsi="Arial"/>
                <w:sz w:val="15"/>
                <w:szCs w:val="15"/>
                <w:color w:val="auto"/>
              </w:rPr>
              <w:t>Rule 13a-14(a) Certification of Chief Financial Officer</w:t>
            </w:r>
          </w:p>
        </w:tc>
      </w:tr>
      <w:tr>
        <w:trPr>
          <w:trHeight w:val="185"/>
        </w:trPr>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32.1</w:t>
            </w:r>
          </w:p>
        </w:tc>
        <w:tc>
          <w:tcPr>
            <w:tcW w:w="10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Certification of Chief Executive Officer Pursuant to 18 U.S.C. 1350</w:t>
            </w:r>
          </w:p>
        </w:tc>
      </w:tr>
      <w:tr>
        <w:trPr>
          <w:trHeight w:val="183"/>
        </w:trPr>
        <w:tc>
          <w:tcPr>
            <w:tcW w:w="760" w:type="dxa"/>
            <w:vAlign w:val="bottom"/>
          </w:tcPr>
          <w:p>
            <w:pPr>
              <w:spacing w:after="0"/>
              <w:rPr>
                <w:sz w:val="20"/>
                <w:szCs w:val="20"/>
                <w:color w:val="auto"/>
              </w:rPr>
            </w:pPr>
            <w:r>
              <w:rPr>
                <w:rFonts w:ascii="Arial" w:cs="Arial" w:eastAsia="Arial" w:hAnsi="Arial"/>
                <w:sz w:val="15"/>
                <w:szCs w:val="15"/>
                <w:color w:val="auto"/>
              </w:rPr>
              <w:t>32.2</w:t>
            </w:r>
          </w:p>
        </w:tc>
        <w:tc>
          <w:tcPr>
            <w:tcW w:w="10680" w:type="dxa"/>
            <w:vAlign w:val="bottom"/>
          </w:tcPr>
          <w:p>
            <w:pPr>
              <w:ind w:left="340"/>
              <w:spacing w:after="0"/>
              <w:rPr>
                <w:sz w:val="20"/>
                <w:szCs w:val="20"/>
                <w:color w:val="auto"/>
              </w:rPr>
            </w:pPr>
            <w:r>
              <w:rPr>
                <w:rFonts w:ascii="Arial" w:cs="Arial" w:eastAsia="Arial" w:hAnsi="Arial"/>
                <w:sz w:val="15"/>
                <w:szCs w:val="15"/>
                <w:color w:val="auto"/>
              </w:rPr>
              <w:t>Certification of Chief Financial Officer Pursuant to 18 U.S.C. 1350</w:t>
            </w:r>
          </w:p>
        </w:tc>
      </w:tr>
    </w:tbl>
    <w:p>
      <w:pPr>
        <w:ind w:left="7"/>
        <w:spacing w:after="0"/>
        <w:rPr>
          <w:sz w:val="20"/>
          <w:szCs w:val="20"/>
          <w:color w:val="auto"/>
        </w:rPr>
      </w:pPr>
      <w:r>
        <w:rPr>
          <w:rFonts w:ascii="Arial" w:cs="Arial" w:eastAsia="Arial" w:hAnsi="Arial"/>
          <w:sz w:val="19"/>
          <w:szCs w:val="19"/>
          <w:color w:val="auto"/>
        </w:rPr>
        <w:t>________________________</w:t>
      </w:r>
    </w:p>
    <w:p>
      <w:pPr>
        <w:spacing w:after="0" w:line="191" w:lineRule="exact"/>
        <w:rPr>
          <w:sz w:val="20"/>
          <w:szCs w:val="20"/>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Current Report on Form 8-K dated May 17, 2007</w:t>
      </w:r>
    </w:p>
    <w:p>
      <w:pPr>
        <w:spacing w:after="0" w:line="2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Current Report on Form 8-K dated March 8, 2006</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Current Report on Form 8-K dated May 30, 2006</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Current Report on Form 8-K dated June 4, 2006</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May 31, 2001</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Current Report on Form 8-K dated December 5, 2006</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Current Report on Form 8-K dated September 24, 2003</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Lexar Media, Inc.’s Current Report on Form 8-K dated March 30, 2005</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March 1, 2007</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December 2, 2004</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March 3, 2005</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Registration Statement on Form S-8 (Reg. No. 333-50353)</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November 28, 2002</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June 3, 1999</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Registration Statement on Form S-8 (Reg. No. 333-102545)</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Current Report on Form 8-K dated April 3, 2005</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Registration Statement on Form S-8 (Reg. No. 333-103341)</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Registration Statement on Form S-8 (Reg. No. 333-135459)</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Registration Statement on Form S-8 (Reg. No. 333-65449)</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November 30, 2006</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Incorporated by reference to Proxy Statement for the 1986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-2464435</wp:posOffset>
            </wp:positionV>
            <wp:extent cx="7266305" cy="1174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-2228850</wp:posOffset>
            </wp:positionV>
            <wp:extent cx="7266305" cy="1174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-1993265</wp:posOffset>
            </wp:positionV>
            <wp:extent cx="7266305" cy="1174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-1757680</wp:posOffset>
            </wp:positionV>
            <wp:extent cx="7266305" cy="1174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-1522095</wp:posOffset>
            </wp:positionV>
            <wp:extent cx="7266305" cy="1174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-1286510</wp:posOffset>
            </wp:positionV>
            <wp:extent cx="7266305" cy="1174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-1050925</wp:posOffset>
            </wp:positionV>
            <wp:extent cx="7266305" cy="1174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-815340</wp:posOffset>
            </wp:positionV>
            <wp:extent cx="7266305" cy="1174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-579755</wp:posOffset>
            </wp:positionV>
            <wp:extent cx="7266305" cy="1174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-344170</wp:posOffset>
            </wp:positionV>
            <wp:extent cx="7266305" cy="1174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7266305" cy="1174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19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7138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40" w:right="219" w:bottom="1440" w:gutter="0" w:footer="0" w:header="0"/>
        </w:sectPr>
      </w:pPr>
    </w:p>
    <w:bookmarkStart w:id="74" w:name="page75"/>
    <w:bookmarkEnd w:id="74"/>
    <w:p>
      <w:pPr>
        <w:ind w:left="1107" w:hanging="1107"/>
        <w:spacing w:after="0"/>
        <w:tabs>
          <w:tab w:leader="none" w:pos="1107"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Incorporated by reference to Annual Report on Form 10-K for the fiscal year ended August 28, 2003</w:t>
      </w:r>
    </w:p>
    <w:p>
      <w:pPr>
        <w:spacing w:after="0" w:line="23" w:lineRule="exact"/>
        <w:rPr>
          <w:rFonts w:ascii="Arial" w:cs="Arial" w:eastAsia="Arial" w:hAnsi="Arial"/>
          <w:sz w:val="15"/>
          <w:szCs w:val="15"/>
          <w:color w:val="auto"/>
        </w:rPr>
      </w:pPr>
    </w:p>
    <w:p>
      <w:pPr>
        <w:ind w:left="1107" w:hanging="1107"/>
        <w:spacing w:after="0"/>
        <w:tabs>
          <w:tab w:leader="none" w:pos="11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Incorporated by reference to Quarterly Report on Form 10-Q for the fiscal quarter ended February 27, 1997</w:t>
      </w:r>
    </w:p>
    <w:p>
      <w:pPr>
        <w:spacing w:after="0" w:line="24" w:lineRule="exact"/>
        <w:rPr>
          <w:rFonts w:ascii="Arial" w:cs="Arial" w:eastAsia="Arial" w:hAnsi="Arial"/>
          <w:sz w:val="14"/>
          <w:szCs w:val="14"/>
          <w:color w:val="auto"/>
        </w:rPr>
      </w:pPr>
    </w:p>
    <w:p>
      <w:pPr>
        <w:ind w:left="1107" w:hanging="1107"/>
        <w:spacing w:after="0"/>
        <w:tabs>
          <w:tab w:leader="none" w:pos="11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Incorporated by reference to Quarterly Report on Form 10-Q for the fiscal quarter ended December 3, 1998</w:t>
      </w:r>
    </w:p>
    <w:p>
      <w:pPr>
        <w:spacing w:after="0" w:line="24" w:lineRule="exact"/>
        <w:rPr>
          <w:rFonts w:ascii="Arial" w:cs="Arial" w:eastAsia="Arial" w:hAnsi="Arial"/>
          <w:sz w:val="14"/>
          <w:szCs w:val="14"/>
          <w:color w:val="auto"/>
        </w:rPr>
      </w:pPr>
    </w:p>
    <w:p>
      <w:pPr>
        <w:ind w:left="1107" w:hanging="1107"/>
        <w:spacing w:after="0"/>
        <w:tabs>
          <w:tab w:leader="none" w:pos="11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Incorporated by reference to Quarterly Report on Form 10-Q for the fiscal quarter ended December 1, 2005</w:t>
      </w:r>
    </w:p>
    <w:p>
      <w:pPr>
        <w:spacing w:after="0" w:line="24" w:lineRule="exact"/>
        <w:rPr>
          <w:rFonts w:ascii="Arial" w:cs="Arial" w:eastAsia="Arial" w:hAnsi="Arial"/>
          <w:sz w:val="14"/>
          <w:szCs w:val="14"/>
          <w:color w:val="auto"/>
        </w:rPr>
      </w:pPr>
    </w:p>
    <w:p>
      <w:pPr>
        <w:ind w:left="1107" w:hanging="1107"/>
        <w:spacing w:after="0"/>
        <w:tabs>
          <w:tab w:leader="none" w:pos="11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Incorporated by reference to Quarterly Report on Form 10-Q for the fiscal quarter ended May 29, 2008</w:t>
      </w:r>
    </w:p>
    <w:p>
      <w:pPr>
        <w:spacing w:after="0" w:line="24" w:lineRule="exact"/>
        <w:rPr>
          <w:rFonts w:ascii="Arial" w:cs="Arial" w:eastAsia="Arial" w:hAnsi="Arial"/>
          <w:sz w:val="14"/>
          <w:szCs w:val="14"/>
          <w:color w:val="auto"/>
        </w:rPr>
      </w:pPr>
    </w:p>
    <w:p>
      <w:pPr>
        <w:ind w:left="1107" w:hanging="1107"/>
        <w:spacing w:after="0"/>
        <w:tabs>
          <w:tab w:leader="none" w:pos="1107"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Incorporated by reference to Registration Statement on Form S-8 (Registration No. 333-148357)</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Incorporated by reference to Current Report on Form 8-K dated April 9, 2008</w:t>
      </w:r>
    </w:p>
    <w:p>
      <w:pPr>
        <w:spacing w:after="0" w:line="13" w:lineRule="exact"/>
        <w:rPr>
          <w:rFonts w:ascii="Arial" w:cs="Arial" w:eastAsia="Arial" w:hAnsi="Arial"/>
          <w:sz w:val="15"/>
          <w:szCs w:val="15"/>
          <w:color w:val="auto"/>
        </w:rPr>
      </w:pPr>
    </w:p>
    <w:p>
      <w:pPr>
        <w:ind w:left="1107" w:hanging="1107"/>
        <w:spacing w:after="0"/>
        <w:tabs>
          <w:tab w:leader="none" w:pos="1107"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Incorporated by reference to Current Report on Form 8-K dated October 26,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-933450</wp:posOffset>
            </wp:positionV>
            <wp:extent cx="7266305" cy="1174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-697865</wp:posOffset>
            </wp:positionV>
            <wp:extent cx="7266305" cy="1174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-462280</wp:posOffset>
            </wp:positionV>
            <wp:extent cx="7266305" cy="1174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-226695</wp:posOffset>
            </wp:positionV>
            <wp:extent cx="7266305" cy="1174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ind w:left="7"/>
        <w:spacing w:after="0"/>
        <w:rPr>
          <w:sz w:val="20"/>
          <w:szCs w:val="20"/>
          <w:color w:val="auto"/>
        </w:rPr>
      </w:pPr>
      <w:r>
        <w:rPr>
          <w:rFonts w:ascii="Arial" w:cs="Arial" w:eastAsia="Arial" w:hAnsi="Arial"/>
          <w:sz w:val="19"/>
          <w:szCs w:val="19"/>
          <w:color w:val="auto"/>
        </w:rPr>
        <w:t>________________________</w:t>
      </w:r>
    </w:p>
    <w:p>
      <w:pPr>
        <w:ind w:left="5647" w:right="2859" w:hanging="5647"/>
        <w:spacing w:after="0" w:line="741" w:lineRule="auto"/>
        <w:tabs>
          <w:tab w:leader="none" w:pos="119" w:val="left"/>
        </w:tabs>
        <w:numPr>
          <w:ilvl w:val="0"/>
          <w:numId w:val="19"/>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a request for confidential treatment filed with the Commission.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27138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26"/>
          </w:cols>
          <w:pgMar w:left="233" w:top="129"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5"/>
          <w:szCs w:val="15"/>
          <w:b w:val="1"/>
          <w:bCs w:val="1"/>
          <w:color w:val="auto"/>
        </w:rPr>
        <w:t>SIGNATURES</w:t>
      </w:r>
    </w:p>
    <w:p>
      <w:pPr>
        <w:spacing w:after="0" w:line="228" w:lineRule="exact"/>
        <w:rPr>
          <w:sz w:val="20"/>
          <w:szCs w:val="20"/>
          <w:color w:val="auto"/>
        </w:rPr>
      </w:pPr>
    </w:p>
    <w:p>
      <w:pPr>
        <w:ind w:right="340"/>
        <w:spacing w:after="0" w:line="290"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 in the City of Boise, State of Idaho, on the 27th day of October 2008.</w:t>
      </w:r>
    </w:p>
    <w:p>
      <w:pPr>
        <w:spacing w:after="0" w:line="163"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Micron Technology, Inc.</w:t>
      </w:r>
    </w:p>
    <w:p>
      <w:pPr>
        <w:spacing w:after="0" w:line="200" w:lineRule="exact"/>
        <w:rPr>
          <w:sz w:val="20"/>
          <w:szCs w:val="20"/>
          <w:color w:val="auto"/>
        </w:rPr>
      </w:pPr>
    </w:p>
    <w:p>
      <w:pPr>
        <w:spacing w:after="0" w:line="369" w:lineRule="exact"/>
        <w:rPr>
          <w:sz w:val="20"/>
          <w:szCs w:val="20"/>
          <w:color w:val="auto"/>
        </w:rPr>
      </w:pPr>
    </w:p>
    <w:p>
      <w:pPr>
        <w:ind w:left="5700"/>
        <w:spacing w:after="0"/>
        <w:tabs>
          <w:tab w:leader="none" w:pos="66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15240</wp:posOffset>
            </wp:positionV>
            <wp:extent cx="3636645"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36645" cy="14605"/>
                    </a:xfrm>
                    <a:prstGeom prst="rect">
                      <a:avLst/>
                    </a:prstGeom>
                    <a:noFill/>
                  </pic:spPr>
                </pic:pic>
              </a:graphicData>
            </a:graphic>
          </wp:anchor>
        </w:drawing>
      </w:r>
    </w:p>
    <w:p>
      <w:pPr>
        <w:spacing w:after="0" w:line="10"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Ronald C. Foster</w:t>
      </w:r>
    </w:p>
    <w:p>
      <w:pPr>
        <w:spacing w:after="0" w:line="29"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Vice President of Finance and Chief Financial Officer</w:t>
      </w:r>
    </w:p>
    <w:p>
      <w:pPr>
        <w:spacing w:after="0" w:line="13"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(Principal Financial and Accounting Officer)</w:t>
      </w:r>
    </w:p>
    <w:p>
      <w:pPr>
        <w:spacing w:after="0" w:line="211" w:lineRule="exact"/>
        <w:rPr>
          <w:sz w:val="20"/>
          <w:szCs w:val="20"/>
          <w:color w:val="auto"/>
        </w:rPr>
      </w:pPr>
    </w:p>
    <w:p>
      <w:pPr>
        <w:ind w:right="620"/>
        <w:spacing w:after="0" w:line="290" w:lineRule="auto"/>
        <w:rPr>
          <w:sz w:val="20"/>
          <w:szCs w:val="20"/>
          <w:color w:val="auto"/>
        </w:rPr>
      </w:pPr>
      <w:r>
        <w:rPr>
          <w:rFonts w:ascii="Arial" w:cs="Arial" w:eastAsia="Arial" w:hAnsi="Arial"/>
          <w:sz w:val="15"/>
          <w:szCs w:val="15"/>
          <w:color w:val="auto"/>
        </w:rPr>
        <w:t>Pursuant to the requirements of the Securities Exchange Act of 1934, this Annual Report has been signed below by the following persons on behalf of the Registrant and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Signature</w:t>
            </w:r>
          </w:p>
        </w:tc>
        <w:tc>
          <w:tcPr>
            <w:tcW w:w="1060" w:type="dxa"/>
            <w:vAlign w:val="bottom"/>
          </w:tcPr>
          <w:p>
            <w:pPr>
              <w:spacing w:after="0"/>
              <w:rPr>
                <w:sz w:val="17"/>
                <w:szCs w:val="17"/>
                <w:color w:val="auto"/>
              </w:rPr>
            </w:pPr>
          </w:p>
        </w:tc>
        <w:tc>
          <w:tcPr>
            <w:tcW w:w="2260" w:type="dxa"/>
            <w:vAlign w:val="bottom"/>
            <w:tcBorders>
              <w:bottom w:val="single" w:sz="8" w:color="auto"/>
            </w:tcBorders>
          </w:tcPr>
          <w:p>
            <w:pPr>
              <w:ind w:left="1300"/>
              <w:spacing w:after="0"/>
              <w:rPr>
                <w:sz w:val="20"/>
                <w:szCs w:val="20"/>
                <w:color w:val="auto"/>
              </w:rPr>
            </w:pPr>
            <w:r>
              <w:rPr>
                <w:rFonts w:ascii="Arial" w:cs="Arial" w:eastAsia="Arial" w:hAnsi="Arial"/>
                <w:sz w:val="15"/>
                <w:szCs w:val="15"/>
                <w:b w:val="1"/>
                <w:bCs w:val="1"/>
                <w:color w:val="auto"/>
              </w:rPr>
              <w:t>Title</w:t>
            </w:r>
          </w:p>
        </w:tc>
        <w:tc>
          <w:tcPr>
            <w:tcW w:w="2940" w:type="dxa"/>
            <w:vAlign w:val="bottom"/>
            <w:tcBorders>
              <w:bottom w:val="single" w:sz="8" w:color="auto"/>
            </w:tcBorders>
          </w:tcPr>
          <w:p>
            <w:pPr>
              <w:ind w:left="1640"/>
              <w:spacing w:after="0"/>
              <w:rPr>
                <w:sz w:val="20"/>
                <w:szCs w:val="20"/>
                <w:color w:val="auto"/>
              </w:rPr>
            </w:pPr>
            <w:r>
              <w:rPr>
                <w:rFonts w:ascii="Arial" w:cs="Arial" w:eastAsia="Arial" w:hAnsi="Arial"/>
                <w:sz w:val="15"/>
                <w:szCs w:val="15"/>
                <w:b w:val="1"/>
                <w:bCs w:val="1"/>
                <w:color w:val="auto"/>
              </w:rPr>
              <w:t>Date</w:t>
            </w:r>
          </w:p>
        </w:tc>
      </w:tr>
      <w:tr>
        <w:trPr>
          <w:trHeight w:val="560"/>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1"/>
              </w:rPr>
              <w:t>/s/ Steven R. Appleton</w:t>
            </w: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Chairman of the Board,</w:t>
            </w:r>
          </w:p>
        </w:tc>
        <w:tc>
          <w:tcPr>
            <w:tcW w:w="2940" w:type="dxa"/>
            <w:vAlign w:val="bottom"/>
          </w:tcPr>
          <w:p>
            <w:pPr>
              <w:ind w:left="640"/>
              <w:spacing w:after="0"/>
              <w:rPr>
                <w:sz w:val="20"/>
                <w:szCs w:val="20"/>
                <w:color w:val="auto"/>
              </w:rPr>
            </w:pPr>
            <w:r>
              <w:rPr>
                <w:rFonts w:ascii="Arial" w:cs="Arial" w:eastAsia="Arial" w:hAnsi="Arial"/>
                <w:sz w:val="15"/>
                <w:szCs w:val="15"/>
                <w:color w:val="auto"/>
              </w:rPr>
              <w:t>October 27, 2008</w:t>
            </w:r>
          </w:p>
        </w:tc>
      </w:tr>
      <w:tr>
        <w:trPr>
          <w:trHeight w:val="175"/>
        </w:trPr>
        <w:tc>
          <w:tcPr>
            <w:tcW w:w="5180" w:type="dxa"/>
            <w:vAlign w:val="bottom"/>
          </w:tcPr>
          <w:p>
            <w:pPr>
              <w:jc w:val="center"/>
              <w:spacing w:after="0"/>
              <w:rPr>
                <w:sz w:val="20"/>
                <w:szCs w:val="20"/>
                <w:color w:val="auto"/>
              </w:rPr>
            </w:pPr>
            <w:r>
              <w:rPr>
                <w:rFonts w:ascii="Arial" w:cs="Arial" w:eastAsia="Arial" w:hAnsi="Arial"/>
                <w:sz w:val="15"/>
                <w:szCs w:val="15"/>
                <w:b w:val="1"/>
                <w:bCs w:val="1"/>
                <w:color w:val="auto"/>
                <w:w w:val="93"/>
              </w:rPr>
              <w:t>(Steven R. Appleton)</w:t>
            </w: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Chief Executive Officer</w:t>
            </w:r>
          </w:p>
        </w:tc>
        <w:tc>
          <w:tcPr>
            <w:tcW w:w="2940" w:type="dxa"/>
            <w:vAlign w:val="bottom"/>
          </w:tcPr>
          <w:p>
            <w:pPr>
              <w:spacing w:after="0"/>
              <w:rPr>
                <w:sz w:val="15"/>
                <w:szCs w:val="15"/>
                <w:color w:val="auto"/>
              </w:rPr>
            </w:pPr>
          </w:p>
        </w:tc>
      </w:tr>
      <w:tr>
        <w:trPr>
          <w:trHeight w:val="185"/>
        </w:trPr>
        <w:tc>
          <w:tcPr>
            <w:tcW w:w="5180" w:type="dxa"/>
            <w:vAlign w:val="bottom"/>
          </w:tcPr>
          <w:p>
            <w:pPr>
              <w:spacing w:after="0"/>
              <w:rPr>
                <w:sz w:val="16"/>
                <w:szCs w:val="16"/>
                <w:color w:val="auto"/>
              </w:rPr>
            </w:pP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(Principal Executive</w:t>
            </w:r>
          </w:p>
        </w:tc>
        <w:tc>
          <w:tcPr>
            <w:tcW w:w="2940" w:type="dxa"/>
            <w:vAlign w:val="bottom"/>
          </w:tcPr>
          <w:p>
            <w:pPr>
              <w:spacing w:after="0"/>
              <w:rPr>
                <w:sz w:val="16"/>
                <w:szCs w:val="16"/>
                <w:color w:val="auto"/>
              </w:rPr>
            </w:pPr>
          </w:p>
        </w:tc>
      </w:tr>
      <w:tr>
        <w:trPr>
          <w:trHeight w:val="196"/>
        </w:trPr>
        <w:tc>
          <w:tcPr>
            <w:tcW w:w="5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ind w:left="40"/>
              <w:spacing w:after="0"/>
              <w:rPr>
                <w:sz w:val="20"/>
                <w:szCs w:val="20"/>
                <w:color w:val="auto"/>
              </w:rPr>
            </w:pPr>
            <w:r>
              <w:rPr>
                <w:rFonts w:ascii="Arial" w:cs="Arial" w:eastAsia="Arial" w:hAnsi="Arial"/>
                <w:sz w:val="15"/>
                <w:szCs w:val="15"/>
                <w:color w:val="auto"/>
              </w:rPr>
              <w:t>Officer)</w:t>
            </w:r>
          </w:p>
        </w:tc>
        <w:tc>
          <w:tcPr>
            <w:tcW w:w="2940" w:type="dxa"/>
            <w:vAlign w:val="bottom"/>
          </w:tcPr>
          <w:p>
            <w:pPr>
              <w:spacing w:after="0"/>
              <w:rPr>
                <w:sz w:val="17"/>
                <w:szCs w:val="17"/>
                <w:color w:val="auto"/>
              </w:rPr>
            </w:pPr>
          </w:p>
        </w:tc>
      </w:tr>
      <w:tr>
        <w:trPr>
          <w:trHeight w:val="37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4"/>
              </w:rPr>
              <w:t>/s/ Ronald C. Foster</w:t>
            </w: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Vice President of Finance,</w:t>
            </w:r>
          </w:p>
        </w:tc>
        <w:tc>
          <w:tcPr>
            <w:tcW w:w="2940" w:type="dxa"/>
            <w:vAlign w:val="bottom"/>
          </w:tcPr>
          <w:p>
            <w:pPr>
              <w:ind w:left="640"/>
              <w:spacing w:after="0"/>
              <w:rPr>
                <w:sz w:val="20"/>
                <w:szCs w:val="20"/>
                <w:color w:val="auto"/>
              </w:rPr>
            </w:pPr>
            <w:r>
              <w:rPr>
                <w:rFonts w:ascii="Arial" w:cs="Arial" w:eastAsia="Arial" w:hAnsi="Arial"/>
                <w:sz w:val="15"/>
                <w:szCs w:val="15"/>
                <w:color w:val="auto"/>
              </w:rPr>
              <w:t>October 27, 2008</w:t>
            </w:r>
          </w:p>
        </w:tc>
      </w:tr>
      <w:tr>
        <w:trPr>
          <w:trHeight w:val="175"/>
        </w:trPr>
        <w:tc>
          <w:tcPr>
            <w:tcW w:w="5180" w:type="dxa"/>
            <w:vAlign w:val="bottom"/>
          </w:tcPr>
          <w:p>
            <w:pPr>
              <w:jc w:val="center"/>
              <w:spacing w:after="0"/>
              <w:rPr>
                <w:sz w:val="20"/>
                <w:szCs w:val="20"/>
                <w:color w:val="auto"/>
              </w:rPr>
            </w:pPr>
            <w:r>
              <w:rPr>
                <w:rFonts w:ascii="Arial" w:cs="Arial" w:eastAsia="Arial" w:hAnsi="Arial"/>
                <w:sz w:val="15"/>
                <w:szCs w:val="15"/>
                <w:b w:val="1"/>
                <w:bCs w:val="1"/>
                <w:color w:val="auto"/>
                <w:w w:val="95"/>
              </w:rPr>
              <w:t>(Ronald C. Foster)</w:t>
            </w: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Chief Financial Officer</w:t>
            </w:r>
          </w:p>
        </w:tc>
        <w:tc>
          <w:tcPr>
            <w:tcW w:w="2940" w:type="dxa"/>
            <w:vAlign w:val="bottom"/>
          </w:tcPr>
          <w:p>
            <w:pPr>
              <w:spacing w:after="0"/>
              <w:rPr>
                <w:sz w:val="15"/>
                <w:szCs w:val="15"/>
                <w:color w:val="auto"/>
              </w:rPr>
            </w:pPr>
          </w:p>
        </w:tc>
      </w:tr>
      <w:tr>
        <w:trPr>
          <w:trHeight w:val="185"/>
        </w:trPr>
        <w:tc>
          <w:tcPr>
            <w:tcW w:w="5180" w:type="dxa"/>
            <w:vAlign w:val="bottom"/>
          </w:tcPr>
          <w:p>
            <w:pPr>
              <w:spacing w:after="0"/>
              <w:rPr>
                <w:sz w:val="16"/>
                <w:szCs w:val="16"/>
                <w:color w:val="auto"/>
              </w:rPr>
            </w:pP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(Principal Financial and</w:t>
            </w:r>
          </w:p>
        </w:tc>
        <w:tc>
          <w:tcPr>
            <w:tcW w:w="2940" w:type="dxa"/>
            <w:vAlign w:val="bottom"/>
          </w:tcPr>
          <w:p>
            <w:pPr>
              <w:spacing w:after="0"/>
              <w:rPr>
                <w:sz w:val="16"/>
                <w:szCs w:val="16"/>
                <w:color w:val="auto"/>
              </w:rPr>
            </w:pPr>
          </w:p>
        </w:tc>
      </w:tr>
      <w:tr>
        <w:trPr>
          <w:trHeight w:val="196"/>
        </w:trPr>
        <w:tc>
          <w:tcPr>
            <w:tcW w:w="5180" w:type="dxa"/>
            <w:vAlign w:val="bottom"/>
          </w:tcPr>
          <w:p>
            <w:pPr>
              <w:spacing w:after="0"/>
              <w:rPr>
                <w:sz w:val="17"/>
                <w:szCs w:val="17"/>
                <w:color w:val="auto"/>
              </w:rPr>
            </w:pP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Accounting Officer)</w:t>
            </w:r>
          </w:p>
        </w:tc>
        <w:tc>
          <w:tcPr>
            <w:tcW w:w="2940" w:type="dxa"/>
            <w:vAlign w:val="bottom"/>
          </w:tcPr>
          <w:p>
            <w:pPr>
              <w:spacing w:after="0"/>
              <w:rPr>
                <w:sz w:val="17"/>
                <w:szCs w:val="17"/>
                <w:color w:val="auto"/>
              </w:rPr>
            </w:pPr>
          </w:p>
        </w:tc>
      </w:tr>
      <w:tr>
        <w:trPr>
          <w:trHeight w:val="37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4"/>
              </w:rPr>
              <w:t>/s/ Teruaki Aoki</w:t>
            </w: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Director</w:t>
            </w:r>
          </w:p>
        </w:tc>
        <w:tc>
          <w:tcPr>
            <w:tcW w:w="2940" w:type="dxa"/>
            <w:vAlign w:val="bottom"/>
          </w:tcPr>
          <w:p>
            <w:pPr>
              <w:ind w:left="640"/>
              <w:spacing w:after="0"/>
              <w:rPr>
                <w:sz w:val="20"/>
                <w:szCs w:val="20"/>
                <w:color w:val="auto"/>
              </w:rPr>
            </w:pPr>
            <w:r>
              <w:rPr>
                <w:rFonts w:ascii="Arial" w:cs="Arial" w:eastAsia="Arial" w:hAnsi="Arial"/>
                <w:sz w:val="15"/>
                <w:szCs w:val="15"/>
                <w:color w:val="auto"/>
              </w:rPr>
              <w:t>October 27, 2008</w:t>
            </w:r>
          </w:p>
        </w:tc>
      </w:tr>
      <w:tr>
        <w:trPr>
          <w:trHeight w:val="202"/>
        </w:trPr>
        <w:tc>
          <w:tcPr>
            <w:tcW w:w="5180" w:type="dxa"/>
            <w:vAlign w:val="bottom"/>
          </w:tcPr>
          <w:p>
            <w:pPr>
              <w:jc w:val="center"/>
              <w:spacing w:after="0"/>
              <w:rPr>
                <w:sz w:val="20"/>
                <w:szCs w:val="20"/>
                <w:color w:val="auto"/>
              </w:rPr>
            </w:pPr>
            <w:r>
              <w:rPr>
                <w:rFonts w:ascii="Arial" w:cs="Arial" w:eastAsia="Arial" w:hAnsi="Arial"/>
                <w:sz w:val="15"/>
                <w:szCs w:val="15"/>
                <w:b w:val="1"/>
                <w:bCs w:val="1"/>
                <w:color w:val="auto"/>
                <w:w w:val="97"/>
              </w:rPr>
              <w:t>(Teruaki Aoki)</w:t>
            </w: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543"/>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0"/>
              </w:rPr>
              <w:t>/s/ James W. Bagley</w:t>
            </w: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Director</w:t>
            </w:r>
          </w:p>
        </w:tc>
        <w:tc>
          <w:tcPr>
            <w:tcW w:w="2940" w:type="dxa"/>
            <w:vAlign w:val="bottom"/>
          </w:tcPr>
          <w:p>
            <w:pPr>
              <w:ind w:left="640"/>
              <w:spacing w:after="0"/>
              <w:rPr>
                <w:sz w:val="20"/>
                <w:szCs w:val="20"/>
                <w:color w:val="auto"/>
              </w:rPr>
            </w:pPr>
            <w:r>
              <w:rPr>
                <w:rFonts w:ascii="Arial" w:cs="Arial" w:eastAsia="Arial" w:hAnsi="Arial"/>
                <w:sz w:val="15"/>
                <w:szCs w:val="15"/>
                <w:color w:val="auto"/>
              </w:rPr>
              <w:t>October 27, 2008</w:t>
            </w:r>
          </w:p>
        </w:tc>
      </w:tr>
      <w:tr>
        <w:trPr>
          <w:trHeight w:val="202"/>
        </w:trPr>
        <w:tc>
          <w:tcPr>
            <w:tcW w:w="5180" w:type="dxa"/>
            <w:vAlign w:val="bottom"/>
          </w:tcPr>
          <w:p>
            <w:pPr>
              <w:jc w:val="center"/>
              <w:spacing w:after="0"/>
              <w:rPr>
                <w:sz w:val="20"/>
                <w:szCs w:val="20"/>
                <w:color w:val="auto"/>
              </w:rPr>
            </w:pPr>
            <w:r>
              <w:rPr>
                <w:rFonts w:ascii="Arial" w:cs="Arial" w:eastAsia="Arial" w:hAnsi="Arial"/>
                <w:sz w:val="15"/>
                <w:szCs w:val="15"/>
                <w:b w:val="1"/>
                <w:bCs w:val="1"/>
                <w:color w:val="auto"/>
                <w:w w:val="92"/>
              </w:rPr>
              <w:t>(James W. Bagley)</w:t>
            </w: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543"/>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4"/>
              </w:rPr>
              <w:t>/s/ Robert L. Bailey</w:t>
            </w: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Director</w:t>
            </w:r>
          </w:p>
        </w:tc>
        <w:tc>
          <w:tcPr>
            <w:tcW w:w="2940" w:type="dxa"/>
            <w:vAlign w:val="bottom"/>
          </w:tcPr>
          <w:p>
            <w:pPr>
              <w:ind w:left="640"/>
              <w:spacing w:after="0"/>
              <w:rPr>
                <w:sz w:val="20"/>
                <w:szCs w:val="20"/>
                <w:color w:val="auto"/>
              </w:rPr>
            </w:pPr>
            <w:r>
              <w:rPr>
                <w:rFonts w:ascii="Arial" w:cs="Arial" w:eastAsia="Arial" w:hAnsi="Arial"/>
                <w:sz w:val="15"/>
                <w:szCs w:val="15"/>
                <w:color w:val="auto"/>
              </w:rPr>
              <w:t>October 27, 2008</w:t>
            </w:r>
          </w:p>
        </w:tc>
      </w:tr>
      <w:tr>
        <w:trPr>
          <w:trHeight w:val="202"/>
        </w:trPr>
        <w:tc>
          <w:tcPr>
            <w:tcW w:w="5180" w:type="dxa"/>
            <w:vAlign w:val="bottom"/>
          </w:tcPr>
          <w:p>
            <w:pPr>
              <w:jc w:val="center"/>
              <w:spacing w:after="0"/>
              <w:rPr>
                <w:sz w:val="20"/>
                <w:szCs w:val="20"/>
                <w:color w:val="auto"/>
              </w:rPr>
            </w:pPr>
            <w:r>
              <w:rPr>
                <w:rFonts w:ascii="Arial" w:cs="Arial" w:eastAsia="Arial" w:hAnsi="Arial"/>
                <w:sz w:val="15"/>
                <w:szCs w:val="15"/>
                <w:b w:val="1"/>
                <w:bCs w:val="1"/>
                <w:color w:val="auto"/>
                <w:w w:val="96"/>
              </w:rPr>
              <w:t>(Robert L. Bailey)</w:t>
            </w: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543"/>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1"/>
              </w:rPr>
              <w:t>/s/ Mercedes Johnson</w:t>
            </w: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Director</w:t>
            </w:r>
          </w:p>
        </w:tc>
        <w:tc>
          <w:tcPr>
            <w:tcW w:w="2940" w:type="dxa"/>
            <w:vAlign w:val="bottom"/>
          </w:tcPr>
          <w:p>
            <w:pPr>
              <w:ind w:left="640"/>
              <w:spacing w:after="0"/>
              <w:rPr>
                <w:sz w:val="20"/>
                <w:szCs w:val="20"/>
                <w:color w:val="auto"/>
              </w:rPr>
            </w:pPr>
            <w:r>
              <w:rPr>
                <w:rFonts w:ascii="Arial" w:cs="Arial" w:eastAsia="Arial" w:hAnsi="Arial"/>
                <w:sz w:val="15"/>
                <w:szCs w:val="15"/>
                <w:color w:val="auto"/>
              </w:rPr>
              <w:t>October 27, 2008</w:t>
            </w:r>
          </w:p>
        </w:tc>
      </w:tr>
      <w:tr>
        <w:trPr>
          <w:trHeight w:val="202"/>
        </w:trPr>
        <w:tc>
          <w:tcPr>
            <w:tcW w:w="5180" w:type="dxa"/>
            <w:vAlign w:val="bottom"/>
          </w:tcPr>
          <w:p>
            <w:pPr>
              <w:jc w:val="center"/>
              <w:spacing w:after="0"/>
              <w:rPr>
                <w:sz w:val="20"/>
                <w:szCs w:val="20"/>
                <w:color w:val="auto"/>
              </w:rPr>
            </w:pPr>
            <w:r>
              <w:rPr>
                <w:rFonts w:ascii="Arial" w:cs="Arial" w:eastAsia="Arial" w:hAnsi="Arial"/>
                <w:sz w:val="15"/>
                <w:szCs w:val="15"/>
                <w:b w:val="1"/>
                <w:bCs w:val="1"/>
                <w:color w:val="auto"/>
                <w:w w:val="90"/>
              </w:rPr>
              <w:t>(Mercedes Johnson)</w:t>
            </w: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543"/>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4"/>
              </w:rPr>
              <w:t>/s/ Lawrence N. Mondry</w:t>
            </w: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Director</w:t>
            </w:r>
          </w:p>
        </w:tc>
        <w:tc>
          <w:tcPr>
            <w:tcW w:w="2940" w:type="dxa"/>
            <w:vAlign w:val="bottom"/>
          </w:tcPr>
          <w:p>
            <w:pPr>
              <w:ind w:left="640"/>
              <w:spacing w:after="0"/>
              <w:rPr>
                <w:sz w:val="20"/>
                <w:szCs w:val="20"/>
                <w:color w:val="auto"/>
              </w:rPr>
            </w:pPr>
            <w:r>
              <w:rPr>
                <w:rFonts w:ascii="Arial" w:cs="Arial" w:eastAsia="Arial" w:hAnsi="Arial"/>
                <w:sz w:val="15"/>
                <w:szCs w:val="15"/>
                <w:color w:val="auto"/>
              </w:rPr>
              <w:t>October 27, 2008</w:t>
            </w:r>
          </w:p>
        </w:tc>
      </w:tr>
      <w:tr>
        <w:trPr>
          <w:trHeight w:val="202"/>
        </w:trPr>
        <w:tc>
          <w:tcPr>
            <w:tcW w:w="5180" w:type="dxa"/>
            <w:vAlign w:val="bottom"/>
          </w:tcPr>
          <w:p>
            <w:pPr>
              <w:jc w:val="center"/>
              <w:spacing w:after="0"/>
              <w:rPr>
                <w:sz w:val="20"/>
                <w:szCs w:val="20"/>
                <w:color w:val="auto"/>
              </w:rPr>
            </w:pPr>
            <w:r>
              <w:rPr>
                <w:rFonts w:ascii="Arial" w:cs="Arial" w:eastAsia="Arial" w:hAnsi="Arial"/>
                <w:sz w:val="15"/>
                <w:szCs w:val="15"/>
                <w:b w:val="1"/>
                <w:bCs w:val="1"/>
                <w:color w:val="auto"/>
                <w:w w:val="96"/>
              </w:rPr>
              <w:t>(Lawrence N. Mondry)</w:t>
            </w: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543"/>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2"/>
              </w:rPr>
              <w:t>/s/ Robert E. Switz</w:t>
            </w:r>
          </w:p>
        </w:tc>
        <w:tc>
          <w:tcPr>
            <w:tcW w:w="3320" w:type="dxa"/>
            <w:vAlign w:val="bottom"/>
            <w:gridSpan w:val="2"/>
          </w:tcPr>
          <w:p>
            <w:pPr>
              <w:ind w:left="1060"/>
              <w:spacing w:after="0"/>
              <w:rPr>
                <w:sz w:val="20"/>
                <w:szCs w:val="20"/>
                <w:color w:val="auto"/>
              </w:rPr>
            </w:pPr>
            <w:r>
              <w:rPr>
                <w:rFonts w:ascii="Arial" w:cs="Arial" w:eastAsia="Arial" w:hAnsi="Arial"/>
                <w:sz w:val="15"/>
                <w:szCs w:val="15"/>
                <w:color w:val="auto"/>
              </w:rPr>
              <w:t>Director</w:t>
            </w:r>
          </w:p>
        </w:tc>
        <w:tc>
          <w:tcPr>
            <w:tcW w:w="2940" w:type="dxa"/>
            <w:vAlign w:val="bottom"/>
          </w:tcPr>
          <w:p>
            <w:pPr>
              <w:ind w:left="640"/>
              <w:spacing w:after="0"/>
              <w:rPr>
                <w:sz w:val="20"/>
                <w:szCs w:val="20"/>
                <w:color w:val="auto"/>
              </w:rPr>
            </w:pPr>
            <w:r>
              <w:rPr>
                <w:rFonts w:ascii="Arial" w:cs="Arial" w:eastAsia="Arial" w:hAnsi="Arial"/>
                <w:sz w:val="15"/>
                <w:szCs w:val="15"/>
                <w:color w:val="auto"/>
              </w:rPr>
              <w:t>October 27, 2008</w:t>
            </w:r>
          </w:p>
        </w:tc>
      </w:tr>
      <w:tr>
        <w:trPr>
          <w:trHeight w:val="202"/>
        </w:trPr>
        <w:tc>
          <w:tcPr>
            <w:tcW w:w="5180" w:type="dxa"/>
            <w:vAlign w:val="bottom"/>
          </w:tcPr>
          <w:p>
            <w:pPr>
              <w:jc w:val="center"/>
              <w:spacing w:after="0"/>
              <w:rPr>
                <w:sz w:val="20"/>
                <w:szCs w:val="20"/>
                <w:color w:val="auto"/>
              </w:rPr>
            </w:pPr>
            <w:r>
              <w:rPr>
                <w:rFonts w:ascii="Arial" w:cs="Arial" w:eastAsia="Arial" w:hAnsi="Arial"/>
                <w:sz w:val="15"/>
                <w:szCs w:val="15"/>
                <w:b w:val="1"/>
                <w:bCs w:val="1"/>
                <w:color w:val="auto"/>
                <w:w w:val="95"/>
              </w:rPr>
              <w:t>(Robert E. Switz)</w:t>
            </w: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505"/>
        </w:trPr>
        <w:tc>
          <w:tcPr>
            <w:tcW w:w="5180" w:type="dxa"/>
            <w:vAlign w:val="bottom"/>
          </w:tcPr>
          <w:p>
            <w:pPr>
              <w:spacing w:after="0"/>
              <w:rPr>
                <w:sz w:val="24"/>
                <w:szCs w:val="24"/>
                <w:color w:val="auto"/>
              </w:rPr>
            </w:pPr>
          </w:p>
        </w:tc>
        <w:tc>
          <w:tcPr>
            <w:tcW w:w="1060" w:type="dxa"/>
            <w:vAlign w:val="bottom"/>
          </w:tcPr>
          <w:p>
            <w:pPr>
              <w:jc w:val="right"/>
              <w:ind w:right="363"/>
              <w:spacing w:after="0"/>
              <w:rPr>
                <w:sz w:val="20"/>
                <w:szCs w:val="20"/>
                <w:color w:val="auto"/>
              </w:rPr>
            </w:pPr>
            <w:r>
              <w:rPr>
                <w:rFonts w:ascii="Arial" w:cs="Arial" w:eastAsia="Arial" w:hAnsi="Arial"/>
                <w:sz w:val="15"/>
                <w:szCs w:val="15"/>
                <w:color w:val="auto"/>
              </w:rPr>
              <w:t>75</w:t>
            </w:r>
          </w:p>
        </w:tc>
        <w:tc>
          <w:tcPr>
            <w:tcW w:w="22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01"/>
        </w:trPr>
        <w:tc>
          <w:tcPr>
            <w:tcW w:w="5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5"/>
          <w:szCs w:val="15"/>
          <w:b w:val="1"/>
          <w:bCs w:val="1"/>
          <w:color w:val="auto"/>
        </w:rPr>
        <w:t>MICRON TECHNOLOGY,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SCHEDULE II</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VALUATION AND QUALIFYING ACCOUNTS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Charged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Balance at</w:t>
            </w:r>
          </w:p>
        </w:tc>
        <w:tc>
          <w:tcPr>
            <w:tcW w:w="138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0"/>
              </w:rPr>
              <w:t>Acquisitions and</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(Credited) to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Balance</w:t>
            </w:r>
          </w:p>
        </w:tc>
      </w:tr>
      <w:tr>
        <w:trPr>
          <w:trHeight w:val="185"/>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Beginning of</w:t>
            </w:r>
          </w:p>
        </w:tc>
        <w:tc>
          <w:tcPr>
            <w:tcW w:w="138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1"/>
              </w:rPr>
              <w:t>Consolidation of</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Costs and</w:t>
            </w:r>
          </w:p>
        </w:tc>
        <w:tc>
          <w:tcPr>
            <w:tcW w:w="140" w:type="dxa"/>
            <w:vAlign w:val="bottom"/>
          </w:tcPr>
          <w:p>
            <w:pPr>
              <w:spacing w:after="0"/>
              <w:rPr>
                <w:sz w:val="16"/>
                <w:szCs w:val="16"/>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Deductions/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6"/>
              </w:rPr>
              <w:t>at End of</w:t>
            </w:r>
          </w:p>
        </w:tc>
      </w:tr>
      <w:tr>
        <w:trPr>
          <w:trHeight w:val="205"/>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8"/>
              </w:rPr>
              <w:t>Year</w:t>
            </w:r>
          </w:p>
        </w:tc>
        <w:tc>
          <w:tcPr>
            <w:tcW w:w="240" w:type="dxa"/>
            <w:vAlign w:val="bottom"/>
          </w:tcPr>
          <w:p>
            <w:pPr>
              <w:spacing w:after="0"/>
              <w:rPr>
                <w:sz w:val="17"/>
                <w:szCs w:val="17"/>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TECH</w:t>
            </w:r>
          </w:p>
        </w:tc>
        <w:tc>
          <w:tcPr>
            <w:tcW w:w="1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5"/>
              </w:rPr>
              <w:t>Expenses</w:t>
            </w:r>
          </w:p>
        </w:tc>
        <w:tc>
          <w:tcPr>
            <w:tcW w:w="14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Write-Offs</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Year</w:t>
            </w:r>
          </w:p>
        </w:tc>
      </w:tr>
      <w:tr>
        <w:trPr>
          <w:trHeight w:val="185"/>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Allowance for Doubtful Accounts</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5"/>
        </w:trPr>
        <w:tc>
          <w:tcPr>
            <w:tcW w:w="4680" w:type="dxa"/>
            <w:vAlign w:val="bottom"/>
            <w:gridSpan w:val="2"/>
          </w:tcPr>
          <w:p>
            <w:pPr>
              <w:spacing w:after="0"/>
              <w:rPr>
                <w:sz w:val="20"/>
                <w:szCs w:val="20"/>
                <w:color w:val="auto"/>
              </w:rPr>
            </w:pPr>
            <w:r>
              <w:rPr>
                <w:rFonts w:ascii="Arial" w:cs="Arial" w:eastAsia="Arial" w:hAnsi="Arial"/>
                <w:sz w:val="15"/>
                <w:szCs w:val="15"/>
                <w:color w:val="auto"/>
              </w:rPr>
              <w:t>Year ended August 28, 2008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r>
      <w:tr>
        <w:trPr>
          <w:trHeight w:val="185"/>
        </w:trPr>
        <w:tc>
          <w:tcPr>
            <w:tcW w:w="4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Year ended August 30, 2007</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w:t>
            </w:r>
          </w:p>
        </w:tc>
      </w:tr>
      <w:tr>
        <w:trPr>
          <w:trHeight w:val="185"/>
        </w:trPr>
        <w:tc>
          <w:tcPr>
            <w:tcW w:w="4680" w:type="dxa"/>
            <w:vAlign w:val="bottom"/>
            <w:gridSpan w:val="2"/>
          </w:tcPr>
          <w:p>
            <w:pPr>
              <w:spacing w:after="0"/>
              <w:rPr>
                <w:sz w:val="20"/>
                <w:szCs w:val="20"/>
                <w:color w:val="auto"/>
              </w:rPr>
            </w:pPr>
            <w:r>
              <w:rPr>
                <w:rFonts w:ascii="Arial" w:cs="Arial" w:eastAsia="Arial" w:hAnsi="Arial"/>
                <w:sz w:val="15"/>
                <w:szCs w:val="15"/>
                <w:color w:val="auto"/>
              </w:rPr>
              <w:t>Year ended August 31, 2006</w:t>
            </w: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w:t>
            </w:r>
          </w:p>
        </w:tc>
      </w:tr>
      <w:tr>
        <w:trPr>
          <w:trHeight w:val="185"/>
        </w:trPr>
        <w:tc>
          <w:tcPr>
            <w:tcW w:w="4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Deferred Tax Asset Valuation Allowance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4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Year ended August 28, 2008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1,142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1,569</w:t>
            </w:r>
          </w:p>
        </w:tc>
      </w:tr>
      <w:tr>
        <w:trPr>
          <w:trHeight w:val="185"/>
        </w:trPr>
        <w:tc>
          <w:tcPr>
            <w:tcW w:w="4680" w:type="dxa"/>
            <w:vAlign w:val="bottom"/>
            <w:gridSpan w:val="2"/>
          </w:tcPr>
          <w:p>
            <w:pPr>
              <w:spacing w:after="0"/>
              <w:rPr>
                <w:sz w:val="20"/>
                <w:szCs w:val="20"/>
                <w:color w:val="auto"/>
              </w:rPr>
            </w:pPr>
            <w:r>
              <w:rPr>
                <w:rFonts w:ascii="Arial" w:cs="Arial" w:eastAsia="Arial" w:hAnsi="Arial"/>
                <w:sz w:val="15"/>
                <w:szCs w:val="15"/>
                <w:color w:val="auto"/>
              </w:rPr>
              <w:t>Year ended August 30, 2007</w:t>
            </w: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915</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20</w:t>
            </w: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1,142</w:t>
            </w:r>
          </w:p>
        </w:tc>
      </w:tr>
      <w:tr>
        <w:trPr>
          <w:trHeight w:val="185"/>
        </w:trPr>
        <w:tc>
          <w:tcPr>
            <w:tcW w:w="4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Year ended August 31, 2006</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1,029</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(103)</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915</w:t>
            </w:r>
          </w:p>
        </w:tc>
      </w:tr>
      <w:tr>
        <w:trPr>
          <w:trHeight w:val="600"/>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4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77" w:name="page78"/>
    <w:bookmarkEnd w:id="77"/>
    <w:p>
      <w:pPr>
        <w:ind w:left="10460"/>
        <w:spacing w:after="0"/>
        <w:rPr>
          <w:sz w:val="20"/>
          <w:szCs w:val="20"/>
          <w:color w:val="auto"/>
        </w:rPr>
      </w:pPr>
      <w:r>
        <w:rPr>
          <w:rFonts w:ascii="Arial" w:cs="Arial" w:eastAsia="Arial" w:hAnsi="Arial"/>
          <w:sz w:val="15"/>
          <w:szCs w:val="15"/>
          <w:b w:val="1"/>
          <w:bCs w:val="1"/>
          <w:color w:val="auto"/>
        </w:rPr>
        <w:t>EXHIBIT 21.1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60" w:type="dxa"/>
            <w:vAlign w:val="bottom"/>
          </w:tcPr>
          <w:p>
            <w:pPr>
              <w:spacing w:after="0"/>
              <w:rPr>
                <w:sz w:val="17"/>
                <w:szCs w:val="17"/>
                <w:color w:val="auto"/>
              </w:rPr>
            </w:pPr>
          </w:p>
        </w:tc>
        <w:tc>
          <w:tcPr>
            <w:tcW w:w="7880" w:type="dxa"/>
            <w:vAlign w:val="bottom"/>
          </w:tcPr>
          <w:p>
            <w:pPr>
              <w:ind w:left="1060"/>
              <w:spacing w:after="0"/>
              <w:rPr>
                <w:sz w:val="20"/>
                <w:szCs w:val="20"/>
                <w:color w:val="auto"/>
              </w:rPr>
            </w:pPr>
            <w:r>
              <w:rPr>
                <w:rFonts w:ascii="Arial" w:cs="Arial" w:eastAsia="Arial" w:hAnsi="Arial"/>
                <w:sz w:val="15"/>
                <w:szCs w:val="15"/>
                <w:b w:val="1"/>
                <w:bCs w:val="1"/>
                <w:color w:val="auto"/>
              </w:rPr>
              <w:t>MICRON TECHNOLOGY, INC.</w:t>
            </w:r>
          </w:p>
        </w:tc>
      </w:tr>
      <w:tr>
        <w:trPr>
          <w:trHeight w:val="394"/>
        </w:trPr>
        <w:tc>
          <w:tcPr>
            <w:tcW w:w="3560" w:type="dxa"/>
            <w:vAlign w:val="bottom"/>
          </w:tcPr>
          <w:p>
            <w:pPr>
              <w:spacing w:after="0"/>
              <w:rPr>
                <w:sz w:val="24"/>
                <w:szCs w:val="24"/>
                <w:color w:val="auto"/>
              </w:rPr>
            </w:pPr>
          </w:p>
        </w:tc>
        <w:tc>
          <w:tcPr>
            <w:tcW w:w="7880" w:type="dxa"/>
            <w:vAlign w:val="bottom"/>
          </w:tcPr>
          <w:p>
            <w:pPr>
              <w:ind w:left="760"/>
              <w:spacing w:after="0"/>
              <w:rPr>
                <w:sz w:val="20"/>
                <w:szCs w:val="20"/>
                <w:color w:val="auto"/>
              </w:rPr>
            </w:pPr>
            <w:r>
              <w:rPr>
                <w:rFonts w:ascii="Arial" w:cs="Arial" w:eastAsia="Arial" w:hAnsi="Arial"/>
                <w:sz w:val="15"/>
                <w:szCs w:val="15"/>
                <w:b w:val="1"/>
                <w:bCs w:val="1"/>
                <w:color w:val="auto"/>
              </w:rPr>
              <w:t>SUBSIDIARIES OF THE REGISTRANT</w:t>
            </w:r>
          </w:p>
        </w:tc>
      </w:tr>
      <w:tr>
        <w:trPr>
          <w:trHeight w:val="378"/>
        </w:trPr>
        <w:tc>
          <w:tcPr>
            <w:tcW w:w="3560" w:type="dxa"/>
            <w:vAlign w:val="bottom"/>
          </w:tcPr>
          <w:p>
            <w:pPr>
              <w:spacing w:after="0"/>
              <w:rPr>
                <w:sz w:val="24"/>
                <w:szCs w:val="24"/>
                <w:color w:val="auto"/>
              </w:rPr>
            </w:pPr>
          </w:p>
        </w:tc>
        <w:tc>
          <w:tcPr>
            <w:tcW w:w="7880" w:type="dxa"/>
            <w:vAlign w:val="bottom"/>
          </w:tcPr>
          <w:p>
            <w:pPr>
              <w:ind w:left="5020"/>
              <w:spacing w:after="0"/>
              <w:rPr>
                <w:sz w:val="20"/>
                <w:szCs w:val="20"/>
                <w:color w:val="auto"/>
              </w:rPr>
            </w:pPr>
            <w:r>
              <w:rPr>
                <w:rFonts w:ascii="Arial" w:cs="Arial" w:eastAsia="Arial" w:hAnsi="Arial"/>
                <w:sz w:val="15"/>
                <w:szCs w:val="15"/>
                <w:b w:val="1"/>
                <w:bCs w:val="1"/>
                <w:color w:val="auto"/>
              </w:rPr>
              <w:t>State (or Jurisdiction)</w:t>
            </w:r>
          </w:p>
        </w:tc>
      </w:tr>
      <w:tr>
        <w:trPr>
          <w:trHeight w:val="228"/>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7880" w:type="dxa"/>
            <w:vAlign w:val="bottom"/>
            <w:tcBorders>
              <w:bottom w:val="single" w:sz="8" w:color="auto"/>
            </w:tcBorders>
          </w:tcPr>
          <w:p>
            <w:pPr>
              <w:ind w:left="5020"/>
              <w:spacing w:after="0"/>
              <w:rPr>
                <w:sz w:val="20"/>
                <w:szCs w:val="20"/>
                <w:color w:val="auto"/>
              </w:rPr>
            </w:pPr>
            <w:r>
              <w:rPr>
                <w:rFonts w:ascii="Arial" w:cs="Arial" w:eastAsia="Arial" w:hAnsi="Arial"/>
                <w:sz w:val="15"/>
                <w:szCs w:val="15"/>
                <w:b w:val="1"/>
                <w:bCs w:val="1"/>
                <w:color w:val="auto"/>
              </w:rPr>
              <w:t>in which Organized</w:t>
            </w:r>
          </w:p>
        </w:tc>
      </w:tr>
      <w:tr>
        <w:trPr>
          <w:trHeight w:val="185"/>
        </w:trPr>
        <w:tc>
          <w:tcPr>
            <w:tcW w:w="3560" w:type="dxa"/>
            <w:vAlign w:val="bottom"/>
          </w:tcPr>
          <w:p>
            <w:pPr>
              <w:spacing w:after="0"/>
              <w:rPr>
                <w:sz w:val="16"/>
                <w:szCs w:val="16"/>
                <w:color w:val="auto"/>
              </w:rPr>
            </w:pPr>
          </w:p>
        </w:tc>
        <w:tc>
          <w:tcPr>
            <w:tcW w:w="7880" w:type="dxa"/>
            <w:vAlign w:val="bottom"/>
          </w:tcPr>
          <w:p>
            <w:pPr>
              <w:spacing w:after="0"/>
              <w:rPr>
                <w:sz w:val="16"/>
                <w:szCs w:val="16"/>
                <w:color w:val="auto"/>
              </w:rPr>
            </w:pP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Lexar Media, Inc.</w:t>
            </w:r>
          </w:p>
        </w:tc>
        <w:tc>
          <w:tcPr>
            <w:tcW w:w="7880" w:type="dxa"/>
            <w:vAlign w:val="bottom"/>
            <w:shd w:val="clear" w:color="auto" w:fill="CCEEFF"/>
          </w:tcPr>
          <w:p>
            <w:pPr>
              <w:ind w:left="5020"/>
              <w:spacing w:after="0"/>
              <w:rPr>
                <w:sz w:val="20"/>
                <w:szCs w:val="20"/>
                <w:color w:val="auto"/>
              </w:rPr>
            </w:pPr>
            <w:r>
              <w:rPr>
                <w:rFonts w:ascii="Arial" w:cs="Arial" w:eastAsia="Arial" w:hAnsi="Arial"/>
                <w:sz w:val="15"/>
                <w:szCs w:val="15"/>
                <w:color w:val="auto"/>
              </w:rPr>
              <w:t>Delaware</w:t>
            </w: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Micron Europe Limited</w:t>
            </w:r>
          </w:p>
        </w:tc>
        <w:tc>
          <w:tcPr>
            <w:tcW w:w="7880" w:type="dxa"/>
            <w:vAlign w:val="bottom"/>
          </w:tcPr>
          <w:p>
            <w:pPr>
              <w:ind w:left="5020"/>
              <w:spacing w:after="0"/>
              <w:rPr>
                <w:sz w:val="20"/>
                <w:szCs w:val="20"/>
                <w:color w:val="auto"/>
              </w:rPr>
            </w:pPr>
            <w:r>
              <w:rPr>
                <w:rFonts w:ascii="Arial" w:cs="Arial" w:eastAsia="Arial" w:hAnsi="Arial"/>
                <w:sz w:val="15"/>
                <w:szCs w:val="15"/>
                <w:color w:val="auto"/>
              </w:rPr>
              <w:t>United Kingdom</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Also does business as Lexar Media</w:t>
            </w:r>
          </w:p>
        </w:tc>
        <w:tc>
          <w:tcPr>
            <w:tcW w:w="7880" w:type="dxa"/>
            <w:vAlign w:val="bottom"/>
            <w:shd w:val="clear" w:color="auto" w:fill="CCEEFF"/>
          </w:tcPr>
          <w:p>
            <w:pPr>
              <w:spacing w:after="0"/>
              <w:rPr>
                <w:sz w:val="16"/>
                <w:szCs w:val="16"/>
                <w:color w:val="auto"/>
              </w:rPr>
            </w:pP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Micron Japan, Ltd.</w:t>
            </w:r>
          </w:p>
        </w:tc>
        <w:tc>
          <w:tcPr>
            <w:tcW w:w="7880" w:type="dxa"/>
            <w:vAlign w:val="bottom"/>
          </w:tcPr>
          <w:p>
            <w:pPr>
              <w:ind w:left="5020"/>
              <w:spacing w:after="0"/>
              <w:rPr>
                <w:sz w:val="20"/>
                <w:szCs w:val="20"/>
                <w:color w:val="auto"/>
              </w:rPr>
            </w:pPr>
            <w:r>
              <w:rPr>
                <w:rFonts w:ascii="Arial" w:cs="Arial" w:eastAsia="Arial" w:hAnsi="Arial"/>
                <w:sz w:val="15"/>
                <w:szCs w:val="15"/>
                <w:color w:val="auto"/>
              </w:rPr>
              <w:t>Japan</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Micron Semiconductor Asia Pte. Ltd.</w:t>
            </w:r>
          </w:p>
        </w:tc>
        <w:tc>
          <w:tcPr>
            <w:tcW w:w="7880" w:type="dxa"/>
            <w:vAlign w:val="bottom"/>
            <w:shd w:val="clear" w:color="auto" w:fill="CCEEFF"/>
          </w:tcPr>
          <w:p>
            <w:pPr>
              <w:ind w:left="5020"/>
              <w:spacing w:after="0"/>
              <w:rPr>
                <w:sz w:val="20"/>
                <w:szCs w:val="20"/>
                <w:color w:val="auto"/>
              </w:rPr>
            </w:pPr>
            <w:r>
              <w:rPr>
                <w:rFonts w:ascii="Arial" w:cs="Arial" w:eastAsia="Arial" w:hAnsi="Arial"/>
                <w:sz w:val="15"/>
                <w:szCs w:val="15"/>
                <w:color w:val="auto"/>
              </w:rPr>
              <w:t>Singapore</w:t>
            </w: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Also does business as Lexar Media</w:t>
            </w:r>
          </w:p>
        </w:tc>
        <w:tc>
          <w:tcPr>
            <w:tcW w:w="7880" w:type="dxa"/>
            <w:vAlign w:val="bottom"/>
          </w:tcPr>
          <w:p>
            <w:pPr>
              <w:spacing w:after="0"/>
              <w:rPr>
                <w:sz w:val="16"/>
                <w:szCs w:val="16"/>
                <w:color w:val="auto"/>
              </w:rPr>
            </w:pP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Micron Semiconductor (Deutschland) GmbH</w:t>
            </w:r>
          </w:p>
        </w:tc>
        <w:tc>
          <w:tcPr>
            <w:tcW w:w="7880" w:type="dxa"/>
            <w:vAlign w:val="bottom"/>
            <w:shd w:val="clear" w:color="auto" w:fill="CCEEFF"/>
          </w:tcPr>
          <w:p>
            <w:pPr>
              <w:ind w:left="5020"/>
              <w:spacing w:after="0"/>
              <w:rPr>
                <w:sz w:val="20"/>
                <w:szCs w:val="20"/>
                <w:color w:val="auto"/>
              </w:rPr>
            </w:pPr>
            <w:r>
              <w:rPr>
                <w:rFonts w:ascii="Arial" w:cs="Arial" w:eastAsia="Arial" w:hAnsi="Arial"/>
                <w:sz w:val="15"/>
                <w:szCs w:val="15"/>
                <w:color w:val="auto"/>
              </w:rPr>
              <w:t>Germany</w:t>
            </w: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Micron Semiconductor Products, Inc.</w:t>
            </w:r>
          </w:p>
        </w:tc>
        <w:tc>
          <w:tcPr>
            <w:tcW w:w="7880" w:type="dxa"/>
            <w:vAlign w:val="bottom"/>
          </w:tcPr>
          <w:p>
            <w:pPr>
              <w:ind w:left="5020"/>
              <w:spacing w:after="0"/>
              <w:rPr>
                <w:sz w:val="20"/>
                <w:szCs w:val="20"/>
                <w:color w:val="auto"/>
              </w:rPr>
            </w:pPr>
            <w:r>
              <w:rPr>
                <w:rFonts w:ascii="Arial" w:cs="Arial" w:eastAsia="Arial" w:hAnsi="Arial"/>
                <w:sz w:val="15"/>
                <w:szCs w:val="15"/>
                <w:color w:val="auto"/>
              </w:rPr>
              <w:t>Idaho</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Also does business as Crucial Technology</w:t>
            </w:r>
          </w:p>
        </w:tc>
        <w:tc>
          <w:tcPr>
            <w:tcW w:w="7880" w:type="dxa"/>
            <w:vAlign w:val="bottom"/>
            <w:shd w:val="clear" w:color="auto" w:fill="CCEEFF"/>
          </w:tcPr>
          <w:p>
            <w:pPr>
              <w:spacing w:after="0"/>
              <w:rPr>
                <w:sz w:val="16"/>
                <w:szCs w:val="16"/>
                <w:color w:val="auto"/>
              </w:rPr>
            </w:pP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Micron Semiconductor (Shanghai) Co., Ltd.</w:t>
            </w:r>
          </w:p>
        </w:tc>
        <w:tc>
          <w:tcPr>
            <w:tcW w:w="7880" w:type="dxa"/>
            <w:vAlign w:val="bottom"/>
          </w:tcPr>
          <w:p>
            <w:pPr>
              <w:ind w:left="5020"/>
              <w:spacing w:after="0"/>
              <w:rPr>
                <w:sz w:val="20"/>
                <w:szCs w:val="20"/>
                <w:color w:val="auto"/>
              </w:rPr>
            </w:pPr>
            <w:r>
              <w:rPr>
                <w:rFonts w:ascii="Arial" w:cs="Arial" w:eastAsia="Arial" w:hAnsi="Arial"/>
                <w:sz w:val="15"/>
                <w:szCs w:val="15"/>
                <w:color w:val="auto"/>
              </w:rPr>
              <w:t>China</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Micron Semiconductor (Xiamen) Co., Ltd.</w:t>
            </w:r>
          </w:p>
        </w:tc>
        <w:tc>
          <w:tcPr>
            <w:tcW w:w="7880" w:type="dxa"/>
            <w:vAlign w:val="bottom"/>
            <w:shd w:val="clear" w:color="auto" w:fill="CCEEFF"/>
          </w:tcPr>
          <w:p>
            <w:pPr>
              <w:ind w:left="5020"/>
              <w:spacing w:after="0"/>
              <w:rPr>
                <w:sz w:val="20"/>
                <w:szCs w:val="20"/>
                <w:color w:val="auto"/>
              </w:rPr>
            </w:pPr>
            <w:r>
              <w:rPr>
                <w:rFonts w:ascii="Arial" w:cs="Arial" w:eastAsia="Arial" w:hAnsi="Arial"/>
                <w:sz w:val="15"/>
                <w:szCs w:val="15"/>
                <w:color w:val="auto"/>
              </w:rPr>
              <w:t>China</w:t>
            </w: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Micron Semiconductor (Xi’an) Co., Ltd.</w:t>
            </w:r>
          </w:p>
        </w:tc>
        <w:tc>
          <w:tcPr>
            <w:tcW w:w="7880" w:type="dxa"/>
            <w:vAlign w:val="bottom"/>
          </w:tcPr>
          <w:p>
            <w:pPr>
              <w:ind w:left="5020"/>
              <w:spacing w:after="0"/>
              <w:rPr>
                <w:sz w:val="20"/>
                <w:szCs w:val="20"/>
                <w:color w:val="auto"/>
              </w:rPr>
            </w:pPr>
            <w:r>
              <w:rPr>
                <w:rFonts w:ascii="Arial" w:cs="Arial" w:eastAsia="Arial" w:hAnsi="Arial"/>
                <w:sz w:val="15"/>
                <w:szCs w:val="15"/>
                <w:color w:val="auto"/>
              </w:rPr>
              <w:t>China</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Micron Technology Italia S.r.l.</w:t>
            </w:r>
          </w:p>
        </w:tc>
        <w:tc>
          <w:tcPr>
            <w:tcW w:w="7880" w:type="dxa"/>
            <w:vAlign w:val="bottom"/>
            <w:shd w:val="clear" w:color="auto" w:fill="CCEEFF"/>
          </w:tcPr>
          <w:p>
            <w:pPr>
              <w:ind w:left="5020"/>
              <w:spacing w:after="0"/>
              <w:rPr>
                <w:sz w:val="20"/>
                <w:szCs w:val="20"/>
                <w:color w:val="auto"/>
              </w:rPr>
            </w:pPr>
            <w:r>
              <w:rPr>
                <w:rFonts w:ascii="Arial" w:cs="Arial" w:eastAsia="Arial" w:hAnsi="Arial"/>
                <w:sz w:val="15"/>
                <w:szCs w:val="15"/>
                <w:color w:val="auto"/>
              </w:rPr>
              <w:t>Italy</w:t>
            </w:r>
          </w:p>
        </w:tc>
      </w:tr>
      <w:tr>
        <w:trPr>
          <w:trHeight w:val="185"/>
        </w:trPr>
        <w:tc>
          <w:tcPr>
            <w:tcW w:w="3560" w:type="dxa"/>
            <w:vAlign w:val="bottom"/>
          </w:tcPr>
          <w:p>
            <w:pPr>
              <w:spacing w:after="0"/>
              <w:rPr>
                <w:sz w:val="20"/>
                <w:szCs w:val="20"/>
                <w:color w:val="auto"/>
              </w:rPr>
            </w:pPr>
            <w:r>
              <w:rPr>
                <w:rFonts w:ascii="Arial" w:cs="Arial" w:eastAsia="Arial" w:hAnsi="Arial"/>
                <w:sz w:val="15"/>
                <w:szCs w:val="15"/>
                <w:color w:val="auto"/>
              </w:rPr>
              <w:t>Micron Technology Puerto Rico, Inc.</w:t>
            </w:r>
          </w:p>
        </w:tc>
        <w:tc>
          <w:tcPr>
            <w:tcW w:w="7880" w:type="dxa"/>
            <w:vAlign w:val="bottom"/>
          </w:tcPr>
          <w:p>
            <w:pPr>
              <w:ind w:left="5020"/>
              <w:spacing w:after="0"/>
              <w:rPr>
                <w:sz w:val="20"/>
                <w:szCs w:val="20"/>
                <w:color w:val="auto"/>
              </w:rPr>
            </w:pPr>
            <w:r>
              <w:rPr>
                <w:rFonts w:ascii="Arial" w:cs="Arial" w:eastAsia="Arial" w:hAnsi="Arial"/>
                <w:sz w:val="15"/>
                <w:szCs w:val="15"/>
                <w:color w:val="auto"/>
              </w:rPr>
              <w:t>Puerto Rico</w:t>
            </w: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Micron Technology Texas, LLC</w:t>
            </w:r>
          </w:p>
        </w:tc>
        <w:tc>
          <w:tcPr>
            <w:tcW w:w="7880" w:type="dxa"/>
            <w:vAlign w:val="bottom"/>
            <w:shd w:val="clear" w:color="auto" w:fill="CCEEFF"/>
          </w:tcPr>
          <w:p>
            <w:pPr>
              <w:ind w:left="5020"/>
              <w:spacing w:after="0"/>
              <w:rPr>
                <w:sz w:val="20"/>
                <w:szCs w:val="20"/>
                <w:color w:val="auto"/>
              </w:rPr>
            </w:pPr>
            <w:r>
              <w:rPr>
                <w:rFonts w:ascii="Arial" w:cs="Arial" w:eastAsia="Arial" w:hAnsi="Arial"/>
                <w:sz w:val="15"/>
                <w:szCs w:val="15"/>
                <w:color w:val="auto"/>
              </w:rPr>
              <w:t>Idaho</w:t>
            </w:r>
          </w:p>
        </w:tc>
      </w:tr>
      <w:tr>
        <w:trPr>
          <w:trHeight w:val="935"/>
        </w:trPr>
        <w:tc>
          <w:tcPr>
            <w:tcW w:w="356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749" w:right="219" w:bottom="1440" w:gutter="0" w:footer="0" w:header="0"/>
        </w:sectPr>
      </w:pPr>
    </w:p>
    <w:bookmarkStart w:id="78" w:name="page79"/>
    <w:bookmarkEnd w:id="78"/>
    <w:p>
      <w:pPr>
        <w:jc w:val="right"/>
        <w:spacing w:after="0"/>
        <w:rPr>
          <w:sz w:val="20"/>
          <w:szCs w:val="20"/>
          <w:color w:val="auto"/>
        </w:rPr>
      </w:pPr>
      <w:r>
        <w:rPr>
          <w:rFonts w:ascii="Arial" w:cs="Arial" w:eastAsia="Arial" w:hAnsi="Arial"/>
          <w:sz w:val="15"/>
          <w:szCs w:val="15"/>
          <w:b w:val="1"/>
          <w:bCs w:val="1"/>
          <w:color w:val="auto"/>
        </w:rPr>
        <w:t>EXHIBIT 23.1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We hereby consent to the incorporation by reference in the Registration Statement on Forms S-3 (File Nos. 333-71620, 333-143026) and Forms S-8 (File Nos. 33-148357, 33-27078, 33-57887, 33-65050, 333-07283, 333-17073, 333-50353, 333-65449, 333-71249, 333-82549, 333-99271, 333-102545, 333-103341, 333-111170, 333-120620, 333-133667, 333-135459, 333-140091) of Micron Technology, Inc. of our report dated October 27, 2008,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 </w:t>
      </w:r>
      <w:r>
        <w:rPr>
          <w:rFonts w:ascii="Arial" w:cs="Arial" w:eastAsia="Arial" w:hAnsi="Arial"/>
          <w:sz w:val="15"/>
          <w:szCs w:val="15"/>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San Jose, California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October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462280</wp:posOffset>
            </wp:positionV>
            <wp:extent cx="727138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79" w:name="page80"/>
    <w:bookmarkEnd w:id="79"/>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30"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RULE 13a-14(a) CERTIFICATION OF</w:t>
      </w:r>
    </w:p>
    <w:p>
      <w:pPr>
        <w:spacing w:after="0" w:line="29" w:lineRule="exact"/>
        <w:rPr>
          <w:sz w:val="20"/>
          <w:szCs w:val="20"/>
          <w:color w:val="auto"/>
        </w:rPr>
      </w:pPr>
    </w:p>
    <w:p>
      <w:pPr>
        <w:jc w:val="center"/>
        <w:ind w:right="13"/>
        <w:spacing w:after="0"/>
        <w:rPr>
          <w:sz w:val="20"/>
          <w:szCs w:val="20"/>
          <w:color w:val="auto"/>
        </w:rPr>
      </w:pPr>
      <w:r>
        <w:rPr>
          <w:rFonts w:ascii="Arial" w:cs="Arial" w:eastAsia="Arial" w:hAnsi="Arial"/>
          <w:sz w:val="15"/>
          <w:szCs w:val="15"/>
          <w:b w:val="1"/>
          <w:bCs w:val="1"/>
          <w:color w:val="auto"/>
        </w:rPr>
        <w:t>CHIEF EXECUTIVE OFFICER</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5"/>
          <w:szCs w:val="15"/>
          <w:color w:val="auto"/>
        </w:rPr>
        <w:t>I, Steven R. Appleton, certify that:</w:t>
      </w:r>
    </w:p>
    <w:p>
      <w:pPr>
        <w:spacing w:after="0" w:line="222" w:lineRule="exact"/>
        <w:rPr>
          <w:sz w:val="20"/>
          <w:szCs w:val="20"/>
          <w:color w:val="auto"/>
        </w:rPr>
      </w:pPr>
    </w:p>
    <w:p>
      <w:pPr>
        <w:ind w:left="287" w:hanging="287"/>
        <w:spacing w:after="0"/>
        <w:tabs>
          <w:tab w:leader="none" w:pos="287" w:val="left"/>
        </w:tabs>
        <w:numPr>
          <w:ilvl w:val="0"/>
          <w:numId w:val="2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Micron Technology, Inc.;</w:t>
      </w:r>
    </w:p>
    <w:p>
      <w:pPr>
        <w:spacing w:after="0" w:line="221" w:lineRule="exact"/>
        <w:rPr>
          <w:rFonts w:ascii="Arial" w:cs="Arial" w:eastAsia="Arial" w:hAnsi="Arial"/>
          <w:sz w:val="15"/>
          <w:szCs w:val="15"/>
          <w:color w:val="auto"/>
        </w:rPr>
      </w:pPr>
    </w:p>
    <w:p>
      <w:pPr>
        <w:ind w:left="287" w:right="200" w:hanging="287"/>
        <w:spacing w:after="0" w:line="290" w:lineRule="auto"/>
        <w:tabs>
          <w:tab w:leader="none" w:pos="287"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5"/>
          <w:szCs w:val="15"/>
          <w:color w:val="auto"/>
        </w:rPr>
      </w:pPr>
    </w:p>
    <w:p>
      <w:pPr>
        <w:ind w:left="287" w:right="300" w:hanging="287"/>
        <w:spacing w:after="0" w:line="290" w:lineRule="auto"/>
        <w:tabs>
          <w:tab w:leader="none" w:pos="287"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5"/>
          <w:szCs w:val="15"/>
          <w:color w:val="auto"/>
        </w:rPr>
      </w:pPr>
    </w:p>
    <w:p>
      <w:pPr>
        <w:ind w:left="287" w:right="240" w:hanging="287"/>
        <w:spacing w:after="0" w:line="290" w:lineRule="auto"/>
        <w:tabs>
          <w:tab w:leader="none" w:pos="28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5"/>
          <w:szCs w:val="15"/>
          <w:color w:val="auto"/>
        </w:rPr>
      </w:pPr>
    </w:p>
    <w:p>
      <w:pPr>
        <w:jc w:val="both"/>
        <w:ind w:left="547" w:right="80" w:hanging="269"/>
        <w:spacing w:after="0" w:line="274" w:lineRule="auto"/>
        <w:tabs>
          <w:tab w:leader="none" w:pos="547" w:val="left"/>
        </w:tabs>
        <w:numPr>
          <w:ilvl w:val="1"/>
          <w:numId w:val="2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5"/>
          <w:szCs w:val="15"/>
          <w:color w:val="auto"/>
        </w:rPr>
      </w:pPr>
    </w:p>
    <w:p>
      <w:pPr>
        <w:jc w:val="both"/>
        <w:ind w:left="547" w:right="300" w:hanging="269"/>
        <w:spacing w:after="0" w:line="274" w:lineRule="auto"/>
        <w:tabs>
          <w:tab w:leader="none" w:pos="547" w:val="left"/>
        </w:tabs>
        <w:numPr>
          <w:ilvl w:val="1"/>
          <w:numId w:val="2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5"/>
          <w:szCs w:val="15"/>
          <w:color w:val="auto"/>
        </w:rPr>
      </w:pPr>
    </w:p>
    <w:p>
      <w:pPr>
        <w:ind w:left="547" w:right="120" w:hanging="269"/>
        <w:spacing w:after="0" w:line="290" w:lineRule="auto"/>
        <w:tabs>
          <w:tab w:leader="none" w:pos="547"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5"/>
          <w:szCs w:val="15"/>
          <w:color w:val="auto"/>
        </w:rPr>
      </w:pPr>
    </w:p>
    <w:p>
      <w:pPr>
        <w:ind w:left="547" w:right="260" w:hanging="269"/>
        <w:spacing w:after="0" w:line="274" w:lineRule="auto"/>
        <w:tabs>
          <w:tab w:leader="none" w:pos="547" w:val="left"/>
        </w:tabs>
        <w:numPr>
          <w:ilvl w:val="1"/>
          <w:numId w:val="2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5"/>
          <w:szCs w:val="15"/>
          <w:color w:val="auto"/>
        </w:rPr>
      </w:pPr>
    </w:p>
    <w:p>
      <w:pPr>
        <w:ind w:left="287" w:right="180" w:hanging="287"/>
        <w:spacing w:after="0" w:line="290" w:lineRule="auto"/>
        <w:tabs>
          <w:tab w:leader="none" w:pos="28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547" w:right="240" w:hanging="269"/>
        <w:spacing w:after="0" w:line="290" w:lineRule="auto"/>
        <w:tabs>
          <w:tab w:leader="none" w:pos="547" w:val="left"/>
        </w:tabs>
        <w:numPr>
          <w:ilvl w:val="1"/>
          <w:numId w:val="2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5"/>
          <w:szCs w:val="15"/>
          <w:color w:val="auto"/>
        </w:rPr>
      </w:pPr>
    </w:p>
    <w:p>
      <w:pPr>
        <w:ind w:left="547" w:hanging="269"/>
        <w:spacing w:after="0"/>
        <w:tabs>
          <w:tab w:leader="none" w:pos="547" w:val="left"/>
        </w:tabs>
        <w:numPr>
          <w:ilvl w:val="1"/>
          <w:numId w:val="2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7"/>
        <w:spacing w:after="0"/>
        <w:tabs>
          <w:tab w:leader="none" w:pos="5827" w:val="left"/>
        </w:tabs>
        <w:rPr>
          <w:sz w:val="20"/>
          <w:szCs w:val="20"/>
          <w:color w:val="auto"/>
        </w:rPr>
      </w:pPr>
      <w:r>
        <w:rPr>
          <w:rFonts w:ascii="Arial" w:cs="Arial" w:eastAsia="Arial" w:hAnsi="Arial"/>
          <w:sz w:val="15"/>
          <w:szCs w:val="15"/>
          <w:color w:val="auto"/>
        </w:rPr>
        <w:t>Date: October 27, 2008</w:t>
      </w:r>
      <w:r>
        <w:rPr>
          <w:sz w:val="20"/>
          <w:szCs w:val="20"/>
          <w:color w:val="auto"/>
        </w:rPr>
        <w:tab/>
      </w:r>
      <w:r>
        <w:rPr>
          <w:rFonts w:ascii="Arial" w:cs="Arial" w:eastAsia="Arial" w:hAnsi="Arial"/>
          <w:sz w:val="13"/>
          <w:szCs w:val="13"/>
          <w:i w:val="1"/>
          <w:iCs w:val="1"/>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15240</wp:posOffset>
            </wp:positionV>
            <wp:extent cx="354838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48380" cy="14605"/>
                    </a:xfrm>
                    <a:prstGeom prst="rect">
                      <a:avLst/>
                    </a:prstGeom>
                    <a:noFill/>
                  </pic:spPr>
                </pic:pic>
              </a:graphicData>
            </a:graphic>
          </wp:anchor>
        </w:drawing>
      </w:r>
    </w:p>
    <w:p>
      <w:pPr>
        <w:spacing w:after="0" w:line="16" w:lineRule="exact"/>
        <w:rPr>
          <w:sz w:val="20"/>
          <w:szCs w:val="20"/>
          <w:color w:val="auto"/>
        </w:rPr>
      </w:pPr>
    </w:p>
    <w:p>
      <w:pPr>
        <w:ind w:left="5847"/>
        <w:spacing w:after="0"/>
        <w:rPr>
          <w:sz w:val="20"/>
          <w:szCs w:val="20"/>
          <w:color w:val="auto"/>
        </w:rPr>
      </w:pPr>
      <w:r>
        <w:rPr>
          <w:rFonts w:ascii="Arial" w:cs="Arial" w:eastAsia="Arial" w:hAnsi="Arial"/>
          <w:sz w:val="15"/>
          <w:szCs w:val="15"/>
          <w:color w:val="auto"/>
        </w:rPr>
        <w:t>Steven R. Appleton</w:t>
      </w:r>
    </w:p>
    <w:p>
      <w:pPr>
        <w:spacing w:after="0" w:line="23" w:lineRule="exact"/>
        <w:rPr>
          <w:sz w:val="20"/>
          <w:szCs w:val="20"/>
          <w:color w:val="auto"/>
        </w:rPr>
      </w:pPr>
    </w:p>
    <w:p>
      <w:pPr>
        <w:ind w:left="5847"/>
        <w:spacing w:after="0"/>
        <w:rPr>
          <w:sz w:val="20"/>
          <w:szCs w:val="20"/>
          <w:color w:val="auto"/>
        </w:rPr>
      </w:pPr>
      <w:r>
        <w:rPr>
          <w:rFonts w:ascii="Arial" w:cs="Arial" w:eastAsia="Arial" w:hAnsi="Arial"/>
          <w:sz w:val="15"/>
          <w:szCs w:val="15"/>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462280</wp:posOffset>
            </wp:positionV>
            <wp:extent cx="727138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540" w:right="219" w:bottom="1440" w:gutter="0" w:footer="0" w:header="0"/>
        </w:sectPr>
      </w:pPr>
    </w:p>
    <w:bookmarkStart w:id="80" w:name="page81"/>
    <w:bookmarkEnd w:id="80"/>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30"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RULE 13a-14(a) CERTIFICATION OF</w:t>
      </w:r>
    </w:p>
    <w:p>
      <w:pPr>
        <w:spacing w:after="0" w:line="29" w:lineRule="exact"/>
        <w:rPr>
          <w:sz w:val="20"/>
          <w:szCs w:val="20"/>
          <w:color w:val="auto"/>
        </w:rPr>
      </w:pPr>
    </w:p>
    <w:p>
      <w:pPr>
        <w:jc w:val="center"/>
        <w:ind w:right="13"/>
        <w:spacing w:after="0"/>
        <w:rPr>
          <w:sz w:val="20"/>
          <w:szCs w:val="20"/>
          <w:color w:val="auto"/>
        </w:rPr>
      </w:pPr>
      <w:r>
        <w:rPr>
          <w:rFonts w:ascii="Arial" w:cs="Arial" w:eastAsia="Arial" w:hAnsi="Arial"/>
          <w:sz w:val="15"/>
          <w:szCs w:val="15"/>
          <w:b w:val="1"/>
          <w:bCs w:val="1"/>
          <w:color w:val="auto"/>
        </w:rPr>
        <w:t>CHIEF FINANCIAL OFFICER</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5"/>
          <w:szCs w:val="15"/>
          <w:color w:val="auto"/>
        </w:rPr>
        <w:t>I, Ronald C. Foster, certify that:</w:t>
      </w:r>
    </w:p>
    <w:p>
      <w:pPr>
        <w:spacing w:after="0" w:line="222" w:lineRule="exact"/>
        <w:rPr>
          <w:sz w:val="20"/>
          <w:szCs w:val="20"/>
          <w:color w:val="auto"/>
        </w:rPr>
      </w:pPr>
    </w:p>
    <w:p>
      <w:pPr>
        <w:ind w:left="287" w:hanging="287"/>
        <w:spacing w:after="0"/>
        <w:tabs>
          <w:tab w:leader="none" w:pos="287" w:val="left"/>
        </w:tabs>
        <w:numPr>
          <w:ilvl w:val="0"/>
          <w:numId w:val="21"/>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Micron Technology, Inc.;</w:t>
      </w:r>
    </w:p>
    <w:p>
      <w:pPr>
        <w:spacing w:after="0" w:line="221" w:lineRule="exact"/>
        <w:rPr>
          <w:rFonts w:ascii="Arial" w:cs="Arial" w:eastAsia="Arial" w:hAnsi="Arial"/>
          <w:sz w:val="15"/>
          <w:szCs w:val="15"/>
          <w:color w:val="auto"/>
        </w:rPr>
      </w:pPr>
    </w:p>
    <w:p>
      <w:pPr>
        <w:ind w:left="287" w:right="200" w:hanging="287"/>
        <w:spacing w:after="0" w:line="290" w:lineRule="auto"/>
        <w:tabs>
          <w:tab w:leader="none" w:pos="287"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5"/>
          <w:szCs w:val="15"/>
          <w:color w:val="auto"/>
        </w:rPr>
      </w:pPr>
    </w:p>
    <w:p>
      <w:pPr>
        <w:ind w:left="287" w:right="300" w:hanging="287"/>
        <w:spacing w:after="0" w:line="290" w:lineRule="auto"/>
        <w:tabs>
          <w:tab w:leader="none" w:pos="287"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5"/>
          <w:szCs w:val="15"/>
          <w:color w:val="auto"/>
        </w:rPr>
      </w:pPr>
    </w:p>
    <w:p>
      <w:pPr>
        <w:ind w:left="287" w:right="240" w:hanging="287"/>
        <w:spacing w:after="0" w:line="290" w:lineRule="auto"/>
        <w:tabs>
          <w:tab w:leader="none" w:pos="28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5"/>
          <w:szCs w:val="15"/>
          <w:color w:val="auto"/>
        </w:rPr>
      </w:pPr>
    </w:p>
    <w:p>
      <w:pPr>
        <w:jc w:val="both"/>
        <w:ind w:left="547" w:right="80" w:hanging="269"/>
        <w:spacing w:after="0" w:line="274" w:lineRule="auto"/>
        <w:tabs>
          <w:tab w:leader="none" w:pos="547" w:val="left"/>
        </w:tabs>
        <w:numPr>
          <w:ilvl w:val="1"/>
          <w:numId w:val="2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5"/>
          <w:szCs w:val="15"/>
          <w:color w:val="auto"/>
        </w:rPr>
      </w:pPr>
    </w:p>
    <w:p>
      <w:pPr>
        <w:jc w:val="both"/>
        <w:ind w:left="547" w:right="300" w:hanging="269"/>
        <w:spacing w:after="0" w:line="274" w:lineRule="auto"/>
        <w:tabs>
          <w:tab w:leader="none" w:pos="547" w:val="left"/>
        </w:tabs>
        <w:numPr>
          <w:ilvl w:val="1"/>
          <w:numId w:val="2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5"/>
          <w:szCs w:val="15"/>
          <w:color w:val="auto"/>
        </w:rPr>
      </w:pPr>
    </w:p>
    <w:p>
      <w:pPr>
        <w:ind w:left="547" w:right="120" w:hanging="269"/>
        <w:spacing w:after="0" w:line="290" w:lineRule="auto"/>
        <w:tabs>
          <w:tab w:leader="none" w:pos="547"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5"/>
          <w:szCs w:val="15"/>
          <w:color w:val="auto"/>
        </w:rPr>
      </w:pPr>
    </w:p>
    <w:p>
      <w:pPr>
        <w:ind w:left="547" w:right="260" w:hanging="269"/>
        <w:spacing w:after="0" w:line="274" w:lineRule="auto"/>
        <w:tabs>
          <w:tab w:leader="none" w:pos="547" w:val="left"/>
        </w:tabs>
        <w:numPr>
          <w:ilvl w:val="1"/>
          <w:numId w:val="2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5"/>
          <w:szCs w:val="15"/>
          <w:color w:val="auto"/>
        </w:rPr>
      </w:pPr>
    </w:p>
    <w:p>
      <w:pPr>
        <w:ind w:left="287" w:right="180" w:hanging="287"/>
        <w:spacing w:after="0" w:line="290" w:lineRule="auto"/>
        <w:tabs>
          <w:tab w:leader="none" w:pos="28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547" w:right="240" w:hanging="269"/>
        <w:spacing w:after="0" w:line="290" w:lineRule="auto"/>
        <w:tabs>
          <w:tab w:leader="none" w:pos="547" w:val="left"/>
        </w:tabs>
        <w:numPr>
          <w:ilvl w:val="1"/>
          <w:numId w:val="2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5"/>
          <w:szCs w:val="15"/>
          <w:color w:val="auto"/>
        </w:rPr>
      </w:pPr>
    </w:p>
    <w:p>
      <w:pPr>
        <w:ind w:left="547" w:hanging="269"/>
        <w:spacing w:after="0"/>
        <w:tabs>
          <w:tab w:leader="none" w:pos="547" w:val="left"/>
        </w:tabs>
        <w:numPr>
          <w:ilvl w:val="1"/>
          <w:numId w:val="2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7"/>
        <w:spacing w:after="0"/>
        <w:tabs>
          <w:tab w:leader="none" w:pos="5827" w:val="left"/>
        </w:tabs>
        <w:rPr>
          <w:sz w:val="20"/>
          <w:szCs w:val="20"/>
          <w:color w:val="auto"/>
        </w:rPr>
      </w:pPr>
      <w:r>
        <w:rPr>
          <w:rFonts w:ascii="Arial" w:cs="Arial" w:eastAsia="Arial" w:hAnsi="Arial"/>
          <w:sz w:val="15"/>
          <w:szCs w:val="15"/>
          <w:color w:val="auto"/>
        </w:rPr>
        <w:t>Date: October 27, 2008</w:t>
      </w:r>
      <w:r>
        <w:rPr>
          <w:sz w:val="20"/>
          <w:szCs w:val="20"/>
          <w:color w:val="auto"/>
        </w:rPr>
        <w:tab/>
      </w:r>
      <w:r>
        <w:rPr>
          <w:rFonts w:ascii="Arial" w:cs="Arial" w:eastAsia="Arial" w:hAnsi="Arial"/>
          <w:sz w:val="14"/>
          <w:szCs w:val="14"/>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15240</wp:posOffset>
            </wp:positionV>
            <wp:extent cx="354838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48380" cy="14605"/>
                    </a:xfrm>
                    <a:prstGeom prst="rect">
                      <a:avLst/>
                    </a:prstGeom>
                    <a:noFill/>
                  </pic:spPr>
                </pic:pic>
              </a:graphicData>
            </a:graphic>
          </wp:anchor>
        </w:drawing>
      </w:r>
    </w:p>
    <w:p>
      <w:pPr>
        <w:spacing w:after="0" w:line="16" w:lineRule="exact"/>
        <w:rPr>
          <w:sz w:val="20"/>
          <w:szCs w:val="20"/>
          <w:color w:val="auto"/>
        </w:rPr>
      </w:pPr>
    </w:p>
    <w:p>
      <w:pPr>
        <w:ind w:left="5847"/>
        <w:spacing w:after="0"/>
        <w:rPr>
          <w:sz w:val="20"/>
          <w:szCs w:val="20"/>
          <w:color w:val="auto"/>
        </w:rPr>
      </w:pPr>
      <w:r>
        <w:rPr>
          <w:rFonts w:ascii="Arial" w:cs="Arial" w:eastAsia="Arial" w:hAnsi="Arial"/>
          <w:sz w:val="15"/>
          <w:szCs w:val="15"/>
          <w:color w:val="auto"/>
        </w:rPr>
        <w:t>Ronald C. Foster</w:t>
      </w:r>
    </w:p>
    <w:p>
      <w:pPr>
        <w:spacing w:after="0" w:line="23" w:lineRule="exact"/>
        <w:rPr>
          <w:sz w:val="20"/>
          <w:szCs w:val="20"/>
          <w:color w:val="auto"/>
        </w:rPr>
      </w:pPr>
    </w:p>
    <w:p>
      <w:pPr>
        <w:ind w:left="5847"/>
        <w:spacing w:after="0"/>
        <w:rPr>
          <w:sz w:val="20"/>
          <w:szCs w:val="20"/>
          <w:color w:val="auto"/>
        </w:rPr>
      </w:pPr>
      <w:r>
        <w:rPr>
          <w:rFonts w:ascii="Arial" w:cs="Arial" w:eastAsia="Arial" w:hAnsi="Arial"/>
          <w:sz w:val="15"/>
          <w:szCs w:val="15"/>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462280</wp:posOffset>
            </wp:positionV>
            <wp:extent cx="727138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749"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15"/>
          <w:szCs w:val="15"/>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18 U.S.C. 1350</w:t>
      </w:r>
    </w:p>
    <w:p>
      <w:pPr>
        <w:spacing w:after="0" w:line="211" w:lineRule="exact"/>
        <w:rPr>
          <w:sz w:val="20"/>
          <w:szCs w:val="20"/>
          <w:color w:val="auto"/>
        </w:rPr>
      </w:pPr>
    </w:p>
    <w:p>
      <w:pPr>
        <w:jc w:val="both"/>
        <w:ind w:right="20"/>
        <w:spacing w:after="0" w:line="302" w:lineRule="auto"/>
        <w:rPr>
          <w:sz w:val="20"/>
          <w:szCs w:val="20"/>
          <w:color w:val="auto"/>
        </w:rPr>
      </w:pPr>
      <w:r>
        <w:rPr>
          <w:rFonts w:ascii="Arial" w:cs="Arial" w:eastAsia="Arial" w:hAnsi="Arial"/>
          <w:sz w:val="14"/>
          <w:szCs w:val="14"/>
          <w:color w:val="auto"/>
        </w:rPr>
        <w:t>I, Steven R. Appleton, certify, pursuant to 18 U.S.C. 1350, as adopted pursuant to Section 906 of the Sarbanes-Oxley Act of 2002, that the Annual Report of Micron Technology, Inc. on Form 10-K for the period ended August 28, 2008,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366" w:lineRule="exact"/>
        <w:rPr>
          <w:sz w:val="20"/>
          <w:szCs w:val="20"/>
          <w:color w:val="auto"/>
        </w:rPr>
      </w:pPr>
    </w:p>
    <w:p>
      <w:pPr>
        <w:spacing w:after="0"/>
        <w:tabs>
          <w:tab w:leader="none" w:pos="5820" w:val="left"/>
        </w:tabs>
        <w:rPr>
          <w:sz w:val="20"/>
          <w:szCs w:val="20"/>
          <w:color w:val="auto"/>
        </w:rPr>
      </w:pPr>
      <w:r>
        <w:rPr>
          <w:rFonts w:ascii="Arial" w:cs="Arial" w:eastAsia="Arial" w:hAnsi="Arial"/>
          <w:sz w:val="15"/>
          <w:szCs w:val="15"/>
          <w:color w:val="auto"/>
        </w:rPr>
        <w:t>Date: October 27, 2008</w:t>
      </w:r>
      <w:r>
        <w:rPr>
          <w:sz w:val="20"/>
          <w:szCs w:val="20"/>
          <w:color w:val="auto"/>
        </w:rPr>
        <w:tab/>
      </w:r>
      <w:r>
        <w:rPr>
          <w:rFonts w:ascii="Arial" w:cs="Arial" w:eastAsia="Arial" w:hAnsi="Arial"/>
          <w:sz w:val="14"/>
          <w:szCs w:val="14"/>
          <w:color w:val="auto"/>
        </w:rPr>
        <w:t xml:space="preserve">By: </w:t>
      </w:r>
      <w:r>
        <w:rPr>
          <w:rFonts w:ascii="Arial" w:cs="Arial" w:eastAsia="Arial" w:hAnsi="Arial"/>
          <w:sz w:val="14"/>
          <w:szCs w:val="14"/>
          <w:i w:val="1"/>
          <w:iCs w:val="1"/>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15240</wp:posOffset>
            </wp:positionV>
            <wp:extent cx="354838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48380" cy="1460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Steven R. Appleton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329565</wp:posOffset>
            </wp:positionV>
            <wp:extent cx="727138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82" w:name="page83"/>
    <w:bookmarkEnd w:id="82"/>
    <w:p>
      <w:pPr>
        <w:jc w:val="right"/>
        <w:spacing w:after="0"/>
        <w:rPr>
          <w:sz w:val="20"/>
          <w:szCs w:val="20"/>
          <w:color w:val="auto"/>
        </w:rPr>
      </w:pPr>
      <w:r>
        <w:rPr>
          <w:rFonts w:ascii="Arial" w:cs="Arial" w:eastAsia="Arial" w:hAnsi="Arial"/>
          <w:sz w:val="15"/>
          <w:szCs w:val="15"/>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18 U.S.C. 1350</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4"/>
          <w:szCs w:val="14"/>
          <w:color w:val="auto"/>
        </w:rPr>
        <w:t>I, Ronald C. Foster, certify, pursuant to 18 U.S.C. 1350, as adopted pursuant to Section 906 of the Sarbanes-Oxley Act of 2002, that the Annual Report of Micron Technology, Inc. on Form 10-K for the period ended August 28, 2008,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57" w:lineRule="exact"/>
        <w:rPr>
          <w:sz w:val="20"/>
          <w:szCs w:val="20"/>
          <w:color w:val="auto"/>
        </w:rPr>
      </w:pPr>
    </w:p>
    <w:p>
      <w:pPr>
        <w:spacing w:after="0"/>
        <w:tabs>
          <w:tab w:leader="none" w:pos="5820" w:val="left"/>
        </w:tabs>
        <w:rPr>
          <w:sz w:val="20"/>
          <w:szCs w:val="20"/>
          <w:color w:val="auto"/>
        </w:rPr>
      </w:pPr>
      <w:r>
        <w:rPr>
          <w:rFonts w:ascii="Arial" w:cs="Arial" w:eastAsia="Arial" w:hAnsi="Arial"/>
          <w:sz w:val="15"/>
          <w:szCs w:val="15"/>
          <w:color w:val="auto"/>
        </w:rPr>
        <w:t>Date: October 27, 2008</w:t>
      </w:r>
      <w:r>
        <w:rPr>
          <w:sz w:val="20"/>
          <w:szCs w:val="20"/>
          <w:color w:val="auto"/>
        </w:rPr>
        <w:tab/>
      </w:r>
      <w:r>
        <w:rPr>
          <w:rFonts w:ascii="Arial" w:cs="Arial" w:eastAsia="Arial" w:hAnsi="Arial"/>
          <w:sz w:val="14"/>
          <w:szCs w:val="14"/>
          <w:color w:val="auto"/>
        </w:rPr>
        <w:t xml:space="preserve">By: </w:t>
      </w:r>
      <w:r>
        <w:rPr>
          <w:rFonts w:ascii="Arial" w:cs="Arial" w:eastAsia="Arial" w:hAnsi="Arial"/>
          <w:sz w:val="14"/>
          <w:szCs w:val="14"/>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15240</wp:posOffset>
            </wp:positionV>
            <wp:extent cx="354838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48380" cy="1460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Ronald C. Foster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462280</wp:posOffset>
            </wp:positionV>
            <wp:extent cx="727138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sectPr>
      <w:pgSz w:w="11900" w:h="16838" w:orient="portrait"/>
      <w:cols w:equalWidth="0" w:num="1">
        <w:col w:w="11440"/>
      </w:cols>
      <w:pgMar w:left="240" w:top="5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endash "/>
      <w:numFmt w:val="bullet"/>
      <w:start w:val="1"/>
    </w:lvl>
  </w:abstractNum>
  <w:abstractNum w:abstractNumId="11">
    <w:nsid w:val="4E6AFB66"/>
    <w:multiLevelType w:val="hybridMultilevel"/>
    <w:lvl w:ilvl="0">
      <w:lvlJc w:val="left"/>
      <w:lvlText w:val="(%1)"/>
      <w:numFmt w:val="lowerLetter"/>
      <w:start w:val="2"/>
    </w:lvl>
  </w:abstractNum>
  <w:abstractNum w:abstractNumId="12">
    <w:nsid w:val="25E45D32"/>
    <w:multiLevelType w:val="hybridMultilevel"/>
    <w:lvl w:ilvl="0">
      <w:lvlJc w:val="left"/>
      <w:lvlText w:val="%1."/>
      <w:numFmt w:val="decimal"/>
      <w:start w:val="956"/>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22"/>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2019-12-13T12:59:34Z</dcterms:created>
  <dcterms:modified xsi:type="dcterms:W3CDTF">2019-12-13T12:59:34Z</dcterms:modified>
</cp:coreProperties>
</file>