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180"/>
        <w:spacing w:after="0"/>
        <w:rPr>
          <w:sz w:val="20"/>
          <w:szCs w:val="20"/>
          <w:color w:val="auto"/>
        </w:rPr>
      </w:pPr>
      <w:r>
        <w:rPr>
          <w:rFonts w:ascii="Courier New" w:cs="Courier New" w:eastAsia="Courier New" w:hAnsi="Courier New"/>
          <w:sz w:val="18"/>
          <w:szCs w:val="18"/>
          <w:color w:val="auto"/>
        </w:rPr>
        <w:t>Page 1 of 12</w:t>
      </w:r>
    </w:p>
    <w:p>
      <w:pPr>
        <w:spacing w:after="0" w:line="201"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w:t>
      </w:r>
    </w:p>
    <w:p>
      <w:pPr>
        <w:jc w:val="center"/>
        <w:ind w:left="2080"/>
        <w:spacing w:after="0" w:line="238" w:lineRule="auto"/>
        <w:rPr>
          <w:sz w:val="20"/>
          <w:szCs w:val="20"/>
          <w:color w:val="auto"/>
        </w:rPr>
      </w:pPr>
      <w:r>
        <w:rPr>
          <w:rFonts w:ascii="Courier New" w:cs="Courier New" w:eastAsia="Courier New" w:hAnsi="Courier New"/>
          <w:sz w:val="18"/>
          <w:szCs w:val="18"/>
          <w:color w:val="auto"/>
        </w:rPr>
        <w:t>OMB APPROVAL</w:t>
      </w:r>
    </w:p>
    <w:p>
      <w:pPr>
        <w:ind w:left="5160"/>
        <w:spacing w:after="0"/>
        <w:rPr>
          <w:sz w:val="20"/>
          <w:szCs w:val="20"/>
          <w:color w:val="auto"/>
        </w:rPr>
      </w:pPr>
      <w:r>
        <w:rPr>
          <w:rFonts w:ascii="Courier New" w:cs="Courier New" w:eastAsia="Courier New" w:hAnsi="Courier New"/>
          <w:sz w:val="18"/>
          <w:szCs w:val="18"/>
          <w:color w:val="auto"/>
        </w:rPr>
        <w:t>------------------------------</w:t>
      </w:r>
    </w:p>
    <w:tbl>
      <w:tblPr>
        <w:tblLayout w:type="fixed"/>
        <w:tblInd w:w="5160" w:type="dxa"/>
        <w:tblCellMar>
          <w:top w:w="0" w:type="dxa"/>
          <w:left w:w="0" w:type="dxa"/>
          <w:bottom w:w="0" w:type="dxa"/>
          <w:right w:w="0" w:type="dxa"/>
        </w:tblCellMar>
      </w:tblPr>
      <w:tr>
        <w:trPr>
          <w:trHeight w:val="202"/>
        </w:trPr>
        <w:tc>
          <w:tcPr>
            <w:tcW w:w="190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OMB Number:</w:t>
            </w:r>
          </w:p>
        </w:tc>
        <w:tc>
          <w:tcPr>
            <w:tcW w:w="12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3235-0145</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21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6"/>
              </w:rPr>
              <w:t>August 31,1999</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average burden</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response</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14.90</w:t>
            </w:r>
          </w:p>
        </w:tc>
      </w:tr>
    </w:tbl>
    <w:p>
      <w:pPr>
        <w:ind w:left="5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(Amendment No. 7) *</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595112103</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2009</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|X| Rule 13d-1(b)</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13d-1(c)</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jc w:val="both"/>
        <w:ind w:right="1779" w:firstLine="8"/>
        <w:spacing w:after="0" w:line="23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(3-98)</w:t>
      </w:r>
    </w:p>
    <w:p>
      <w:pPr>
        <w:spacing w:after="0" w:line="377"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Page 2 of 12</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Investment Partners, L.P.</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33-0704072</w:t>
      </w:r>
    </w:p>
    <w:p>
      <w:pPr>
        <w:spacing w:after="0" w:line="3"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300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w:t>
            </w:r>
          </w:p>
        </w:tc>
        <w:tc>
          <w:tcPr>
            <w:tcW w:w="6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00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11,536,998</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by Each</w:t>
            </w:r>
          </w:p>
        </w:tc>
        <w:tc>
          <w:tcPr>
            <w:tcW w:w="3900" w:type="dxa"/>
            <w:vAlign w:val="bottom"/>
            <w:gridSpan w:val="2"/>
          </w:tcPr>
          <w:p>
            <w:pPr>
              <w:jc w:val="center"/>
              <w:ind w:left="443"/>
              <w:spacing w:after="0"/>
              <w:rPr>
                <w:sz w:val="20"/>
                <w:szCs w:val="20"/>
                <w:color w:val="auto"/>
              </w:rPr>
            </w:pPr>
            <w:r>
              <w:rPr>
                <w:rFonts w:ascii="Courier New" w:cs="Courier New" w:eastAsia="Courier New" w:hAnsi="Courier New"/>
                <w:sz w:val="13"/>
                <w:szCs w:val="13"/>
                <w:color w:val="auto"/>
                <w:w w:val="74"/>
              </w:rPr>
              <w:t>----------------------------------------------------------</w:t>
            </w:r>
          </w:p>
        </w:tc>
        <w:tc>
          <w:tcPr>
            <w:tcW w:w="136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60" w:type="dxa"/>
            <w:vAlign w:val="bottom"/>
          </w:tcPr>
          <w:p>
            <w:pPr>
              <w:jc w:val="right"/>
              <w:ind w:right="143"/>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6"/>
              </w:rPr>
              <w:t>Sole Dispositive Power</w:t>
            </w:r>
          </w:p>
        </w:tc>
        <w:tc>
          <w:tcPr>
            <w:tcW w:w="136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900" w:type="dxa"/>
            <w:vAlign w:val="bottom"/>
            <w:gridSpan w:val="2"/>
          </w:tcPr>
          <w:p>
            <w:pPr>
              <w:jc w:val="center"/>
              <w:ind w:left="443"/>
              <w:spacing w:after="0"/>
              <w:rPr>
                <w:sz w:val="20"/>
                <w:szCs w:val="20"/>
                <w:color w:val="auto"/>
              </w:rPr>
            </w:pPr>
            <w:r>
              <w:rPr>
                <w:rFonts w:ascii="Courier New" w:cs="Courier New" w:eastAsia="Courier New" w:hAnsi="Courier New"/>
                <w:sz w:val="13"/>
                <w:szCs w:val="13"/>
                <w:color w:val="auto"/>
                <w:w w:val="74"/>
              </w:rPr>
              <w:t>----------------------------------------------------------</w:t>
            </w:r>
          </w:p>
        </w:tc>
        <w:tc>
          <w:tcPr>
            <w:tcW w:w="1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060" w:type="dxa"/>
            <w:vAlign w:val="bottom"/>
          </w:tcPr>
          <w:p>
            <w:pPr>
              <w:jc w:val="right"/>
              <w:ind w:right="143"/>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15,387,561</w:t>
            </w:r>
          </w:p>
        </w:tc>
      </w:tr>
    </w:tbl>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6020"/>
        <w:spacing w:after="0"/>
        <w:rPr>
          <w:sz w:val="20"/>
          <w:szCs w:val="20"/>
          <w:color w:val="auto"/>
        </w:rPr>
      </w:pPr>
      <w:r>
        <w:rPr>
          <w:rFonts w:ascii="Courier New" w:cs="Courier New" w:eastAsia="Courier New" w:hAnsi="Courier New"/>
          <w:sz w:val="18"/>
          <w:szCs w:val="18"/>
          <w:color w:val="auto"/>
        </w:rPr>
        <w:t>15,387,561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 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1.81%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IA, PN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7180"/>
        <w:spacing w:after="0"/>
        <w:rPr>
          <w:sz w:val="20"/>
          <w:szCs w:val="20"/>
          <w:color w:val="auto"/>
        </w:rPr>
      </w:pPr>
      <w:r>
        <w:rPr>
          <w:rFonts w:ascii="Courier New" w:cs="Courier New" w:eastAsia="Courier New" w:hAnsi="Courier New"/>
          <w:sz w:val="18"/>
          <w:szCs w:val="18"/>
          <w:color w:val="auto"/>
        </w:rPr>
        <w:t>Page 3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Investment Partners, Inc.</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33-0090873</w:t>
      </w:r>
    </w:p>
    <w:p>
      <w:pPr>
        <w:spacing w:after="0" w:line="20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11,536,998</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15,387,561</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15,387,561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Brandes Investment Partners, Inc., as</w:t>
      </w:r>
    </w:p>
    <w:p>
      <w:pPr>
        <w:ind w:left="1700"/>
        <w:spacing w:after="0"/>
        <w:rPr>
          <w:sz w:val="20"/>
          <w:szCs w:val="20"/>
          <w:color w:val="auto"/>
        </w:rPr>
      </w:pPr>
      <w:r>
        <w:rPr>
          <w:rFonts w:ascii="Courier New" w:cs="Courier New" w:eastAsia="Courier New" w:hAnsi="Courier New"/>
          <w:sz w:val="18"/>
          <w:szCs w:val="18"/>
          <w:color w:val="auto"/>
        </w:rPr>
        <w:t>a control person of the investment adviser.</w:t>
      </w:r>
    </w:p>
    <w:p>
      <w:pPr>
        <w:ind w:left="1700"/>
        <w:spacing w:after="0" w:line="237" w:lineRule="auto"/>
        <w:rPr>
          <w:sz w:val="20"/>
          <w:szCs w:val="20"/>
          <w:color w:val="auto"/>
        </w:rPr>
      </w:pPr>
      <w:r>
        <w:rPr>
          <w:rFonts w:ascii="Courier New" w:cs="Courier New" w:eastAsia="Courier New" w:hAnsi="Courier New"/>
          <w:sz w:val="18"/>
          <w:szCs w:val="18"/>
          <w:color w:val="auto"/>
        </w:rPr>
        <w:t>Brandes Investment Partners, Inc. disclaims any</w:t>
      </w:r>
    </w:p>
    <w:p>
      <w:pPr>
        <w:ind w:left="1700"/>
        <w:spacing w:after="0" w:line="238" w:lineRule="auto"/>
        <w:rPr>
          <w:sz w:val="20"/>
          <w:szCs w:val="20"/>
          <w:color w:val="auto"/>
        </w:rPr>
      </w:pPr>
      <w:r>
        <w:rPr>
          <w:rFonts w:ascii="Courier New" w:cs="Courier New" w:eastAsia="Courier New" w:hAnsi="Courier New"/>
          <w:sz w:val="18"/>
          <w:szCs w:val="18"/>
          <w:color w:val="auto"/>
        </w:rPr>
        <w:t>direct ownership of the shares reported in this</w:t>
      </w:r>
    </w:p>
    <w:p>
      <w:pPr>
        <w:ind w:left="1700"/>
        <w:spacing w:after="0"/>
        <w:rPr>
          <w:sz w:val="20"/>
          <w:szCs w:val="20"/>
          <w:color w:val="auto"/>
        </w:rPr>
      </w:pPr>
      <w:r>
        <w:rPr>
          <w:rFonts w:ascii="Courier New" w:cs="Courier New" w:eastAsia="Courier New" w:hAnsi="Courier New"/>
          <w:sz w:val="18"/>
          <w:szCs w:val="18"/>
          <w:color w:val="auto"/>
        </w:rPr>
        <w:t>Schedule 13G, except for an amount that is</w:t>
      </w:r>
    </w:p>
    <w:p>
      <w:pPr>
        <w:ind w:left="1700"/>
        <w:spacing w:after="0" w:line="237" w:lineRule="auto"/>
        <w:rPr>
          <w:sz w:val="20"/>
          <w:szCs w:val="20"/>
          <w:color w:val="auto"/>
        </w:rPr>
      </w:pPr>
      <w:r>
        <w:rPr>
          <w:rFonts w:ascii="Courier New" w:cs="Courier New" w:eastAsia="Courier New" w:hAnsi="Courier New"/>
          <w:sz w:val="18"/>
          <w:szCs w:val="18"/>
          <w:color w:val="auto"/>
        </w:rPr>
        <w:t>substantially less than one per cent of the</w:t>
      </w:r>
    </w:p>
    <w:p>
      <w:pPr>
        <w:ind w:left="1700"/>
        <w:spacing w:after="0"/>
        <w:rPr>
          <w:sz w:val="20"/>
          <w:szCs w:val="20"/>
          <w:color w:val="auto"/>
        </w:rPr>
      </w:pPr>
      <w:r>
        <w:rPr>
          <w:rFonts w:ascii="Courier New" w:cs="Courier New" w:eastAsia="Courier New" w:hAnsi="Courier New"/>
          <w:sz w:val="18"/>
          <w:szCs w:val="18"/>
          <w:color w:val="auto"/>
        </w:rPr>
        <w:t>number of shares reported herein.</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420"/>
        <w:spacing w:after="0" w:line="238"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1.81%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CO,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3" w:name="page4"/>
    <w:bookmarkEnd w:id="3"/>
    <w:p>
      <w:pPr>
        <w:ind w:left="7180"/>
        <w:spacing w:after="0"/>
        <w:rPr>
          <w:sz w:val="20"/>
          <w:szCs w:val="20"/>
          <w:color w:val="auto"/>
        </w:rPr>
      </w:pPr>
      <w:r>
        <w:rPr>
          <w:rFonts w:ascii="Courier New" w:cs="Courier New" w:eastAsia="Courier New" w:hAnsi="Courier New"/>
          <w:sz w:val="18"/>
          <w:szCs w:val="18"/>
          <w:color w:val="auto"/>
        </w:rPr>
        <w:t>Page 4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Worldwide Holdings, L.P.</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33-0836630</w:t>
      </w:r>
    </w:p>
    <w:p>
      <w:pPr>
        <w:spacing w:after="0" w:line="206"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11,536,998</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15,387,561</w:t>
            </w:r>
          </w:p>
        </w:tc>
      </w:tr>
    </w:tbl>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15,387,561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Brandes Worldwide Holdings, L.P., as</w:t>
      </w:r>
    </w:p>
    <w:p>
      <w:pPr>
        <w:ind w:left="1700"/>
        <w:spacing w:after="0"/>
        <w:rPr>
          <w:sz w:val="20"/>
          <w:szCs w:val="20"/>
          <w:color w:val="auto"/>
        </w:rPr>
      </w:pPr>
      <w:r>
        <w:rPr>
          <w:rFonts w:ascii="Courier New" w:cs="Courier New" w:eastAsia="Courier New" w:hAnsi="Courier New"/>
          <w:sz w:val="18"/>
          <w:szCs w:val="18"/>
          <w:color w:val="auto"/>
        </w:rPr>
        <w:t>a control person of the investment adviser.</w:t>
      </w:r>
    </w:p>
    <w:p>
      <w:pPr>
        <w:ind w:left="1700"/>
        <w:spacing w:after="0" w:line="237" w:lineRule="auto"/>
        <w:rPr>
          <w:sz w:val="20"/>
          <w:szCs w:val="20"/>
          <w:color w:val="auto"/>
        </w:rPr>
      </w:pPr>
      <w:r>
        <w:rPr>
          <w:rFonts w:ascii="Courier New" w:cs="Courier New" w:eastAsia="Courier New" w:hAnsi="Courier New"/>
          <w:sz w:val="18"/>
          <w:szCs w:val="18"/>
          <w:color w:val="auto"/>
        </w:rPr>
        <w:t>Brandes Worldwide Holdings, L.P. disclaims any</w:t>
      </w:r>
    </w:p>
    <w:p>
      <w:pPr>
        <w:ind w:left="1700"/>
        <w:spacing w:after="0" w:line="238" w:lineRule="auto"/>
        <w:rPr>
          <w:sz w:val="20"/>
          <w:szCs w:val="20"/>
          <w:color w:val="auto"/>
        </w:rPr>
      </w:pPr>
      <w:r>
        <w:rPr>
          <w:rFonts w:ascii="Courier New" w:cs="Courier New" w:eastAsia="Courier New" w:hAnsi="Courier New"/>
          <w:sz w:val="18"/>
          <w:szCs w:val="18"/>
          <w:color w:val="auto"/>
        </w:rPr>
        <w:t>direct ownership of the shares reported in</w:t>
      </w:r>
    </w:p>
    <w:p>
      <w:pPr>
        <w:ind w:left="1700"/>
        <w:spacing w:after="0"/>
        <w:rPr>
          <w:sz w:val="20"/>
          <w:szCs w:val="20"/>
          <w:color w:val="auto"/>
        </w:rPr>
      </w:pPr>
      <w:r>
        <w:rPr>
          <w:rFonts w:ascii="Courier New" w:cs="Courier New" w:eastAsia="Courier New" w:hAnsi="Courier New"/>
          <w:sz w:val="18"/>
          <w:szCs w:val="18"/>
          <w:color w:val="auto"/>
        </w:rPr>
        <w:t>this Schedule 13G.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 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1.81%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PN,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4" w:name="page5"/>
    <w:bookmarkEnd w:id="4"/>
    <w:p>
      <w:pPr>
        <w:ind w:left="7180"/>
        <w:spacing w:after="0"/>
        <w:rPr>
          <w:sz w:val="20"/>
          <w:szCs w:val="20"/>
          <w:color w:val="auto"/>
        </w:rPr>
      </w:pPr>
      <w:r>
        <w:rPr>
          <w:rFonts w:ascii="Courier New" w:cs="Courier New" w:eastAsia="Courier New" w:hAnsi="Courier New"/>
          <w:sz w:val="18"/>
          <w:szCs w:val="18"/>
          <w:color w:val="auto"/>
        </w:rPr>
        <w:t>Page 5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060" w:right="2839" w:hanging="315"/>
        <w:spacing w:after="0" w:line="235" w:lineRule="auto"/>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 xml:space="preserve"> </w:t>
      </w:r>
      <w:r>
        <w:rPr>
          <w:rFonts w:ascii="Courier New" w:cs="Courier New" w:eastAsia="Courier New" w:hAnsi="Courier New"/>
          <w:sz w:val="18"/>
          <w:szCs w:val="18"/>
          <w:color w:val="auto"/>
        </w:rPr>
        <w:t>Charles H. Brandes I.R.S. Identification Nos. of above persons (entities only).</w:t>
      </w:r>
    </w:p>
    <w:p>
      <w:pPr>
        <w:spacing w:after="0" w:line="6"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11,536,998</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15,387,561</w:t>
            </w:r>
          </w:p>
        </w:tc>
      </w:tr>
    </w:tbl>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15,387,561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Charles H. Brandes, a control person</w:t>
      </w:r>
    </w:p>
    <w:p>
      <w:pPr>
        <w:ind w:left="1700"/>
        <w:spacing w:after="0"/>
        <w:tabs>
          <w:tab w:leader="none" w:pos="4620" w:val="left"/>
        </w:tabs>
        <w:rPr>
          <w:sz w:val="20"/>
          <w:szCs w:val="20"/>
          <w:color w:val="auto"/>
        </w:rPr>
      </w:pPr>
      <w:r>
        <w:rPr>
          <w:rFonts w:ascii="Courier New" w:cs="Courier New" w:eastAsia="Courier New" w:hAnsi="Courier New"/>
          <w:sz w:val="18"/>
          <w:szCs w:val="18"/>
          <w:color w:val="auto"/>
        </w:rPr>
        <w:t>of the investment adviser.</w:t>
      </w:r>
      <w:r>
        <w:rPr>
          <w:sz w:val="20"/>
          <w:szCs w:val="20"/>
          <w:color w:val="auto"/>
        </w:rPr>
        <w:tab/>
      </w:r>
      <w:r>
        <w:rPr>
          <w:rFonts w:ascii="Courier New" w:cs="Courier New" w:eastAsia="Courier New" w:hAnsi="Courier New"/>
          <w:sz w:val="16"/>
          <w:szCs w:val="16"/>
          <w:color w:val="auto"/>
        </w:rPr>
        <w:t>Mr. Brandes</w:t>
      </w:r>
    </w:p>
    <w:p>
      <w:pPr>
        <w:ind w:left="1700"/>
        <w:spacing w:after="0" w:line="237" w:lineRule="auto"/>
        <w:rPr>
          <w:sz w:val="20"/>
          <w:szCs w:val="20"/>
          <w:color w:val="auto"/>
        </w:rPr>
      </w:pPr>
      <w:r>
        <w:rPr>
          <w:rFonts w:ascii="Courier New" w:cs="Courier New" w:eastAsia="Courier New" w:hAnsi="Courier New"/>
          <w:sz w:val="18"/>
          <w:szCs w:val="18"/>
          <w:color w:val="auto"/>
        </w:rPr>
        <w:t>disclaims any direct ownership of the shares</w:t>
      </w:r>
    </w:p>
    <w:p>
      <w:pPr>
        <w:ind w:left="1700"/>
        <w:spacing w:after="0" w:line="238" w:lineRule="auto"/>
        <w:rPr>
          <w:sz w:val="20"/>
          <w:szCs w:val="20"/>
          <w:color w:val="auto"/>
        </w:rPr>
      </w:pPr>
      <w:r>
        <w:rPr>
          <w:rFonts w:ascii="Courier New" w:cs="Courier New" w:eastAsia="Courier New" w:hAnsi="Courier New"/>
          <w:sz w:val="18"/>
          <w:szCs w:val="18"/>
          <w:color w:val="auto"/>
        </w:rPr>
        <w:t>reported in this Schedule 13G, except for an</w:t>
      </w:r>
    </w:p>
    <w:p>
      <w:pPr>
        <w:ind w:left="1700"/>
        <w:spacing w:after="0"/>
        <w:rPr>
          <w:sz w:val="20"/>
          <w:szCs w:val="20"/>
          <w:color w:val="auto"/>
        </w:rPr>
      </w:pPr>
      <w:r>
        <w:rPr>
          <w:rFonts w:ascii="Courier New" w:cs="Courier New" w:eastAsia="Courier New" w:hAnsi="Courier New"/>
          <w:sz w:val="18"/>
          <w:szCs w:val="18"/>
          <w:color w:val="auto"/>
        </w:rPr>
        <w:t>amount that is substantially less than one per</w:t>
      </w:r>
    </w:p>
    <w:p>
      <w:pPr>
        <w:ind w:left="1700"/>
        <w:spacing w:after="0" w:line="237" w:lineRule="auto"/>
        <w:rPr>
          <w:sz w:val="20"/>
          <w:szCs w:val="20"/>
          <w:color w:val="auto"/>
        </w:rPr>
      </w:pPr>
      <w:r>
        <w:rPr>
          <w:rFonts w:ascii="Courier New" w:cs="Courier New" w:eastAsia="Courier New" w:hAnsi="Courier New"/>
          <w:sz w:val="18"/>
          <w:szCs w:val="18"/>
          <w:color w:val="auto"/>
        </w:rPr>
        <w:t>cent of the number of shares reported</w:t>
      </w:r>
    </w:p>
    <w:p>
      <w:pPr>
        <w:ind w:left="1700"/>
        <w:spacing w:after="0"/>
        <w:rPr>
          <w:sz w:val="20"/>
          <w:szCs w:val="20"/>
          <w:color w:val="auto"/>
        </w:rPr>
      </w:pPr>
      <w:r>
        <w:rPr>
          <w:rFonts w:ascii="Courier New" w:cs="Courier New" w:eastAsia="Courier New" w:hAnsi="Courier New"/>
          <w:sz w:val="18"/>
          <w:szCs w:val="18"/>
          <w:color w:val="auto"/>
        </w:rPr>
        <w:t>herein.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 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1.81%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5" w:name="page6"/>
    <w:bookmarkEnd w:id="5"/>
    <w:p>
      <w:pPr>
        <w:ind w:left="7180"/>
        <w:spacing w:after="0"/>
        <w:rPr>
          <w:sz w:val="20"/>
          <w:szCs w:val="20"/>
          <w:color w:val="auto"/>
        </w:rPr>
      </w:pPr>
      <w:r>
        <w:rPr>
          <w:rFonts w:ascii="Courier New" w:cs="Courier New" w:eastAsia="Courier New" w:hAnsi="Courier New"/>
          <w:sz w:val="18"/>
          <w:szCs w:val="18"/>
          <w:color w:val="auto"/>
        </w:rPr>
        <w:t>Page 6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Glenn R. Carlson</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11,536,998</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15,387,561</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15,387,561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Glenn R. Carlson, a control person of</w:t>
      </w:r>
    </w:p>
    <w:p>
      <w:pPr>
        <w:ind w:left="1700"/>
        <w:spacing w:after="0"/>
        <w:tabs>
          <w:tab w:leader="none" w:pos="4300" w:val="left"/>
        </w:tabs>
        <w:rPr>
          <w:sz w:val="20"/>
          <w:szCs w:val="20"/>
          <w:color w:val="auto"/>
        </w:rPr>
      </w:pPr>
      <w:r>
        <w:rPr>
          <w:rFonts w:ascii="Courier New" w:cs="Courier New" w:eastAsia="Courier New" w:hAnsi="Courier New"/>
          <w:sz w:val="18"/>
          <w:szCs w:val="18"/>
          <w:color w:val="auto"/>
        </w:rPr>
        <w:t>the investment adviser.</w:t>
      </w:r>
      <w:r>
        <w:rPr>
          <w:sz w:val="20"/>
          <w:szCs w:val="20"/>
          <w:color w:val="auto"/>
        </w:rPr>
        <w:tab/>
      </w:r>
      <w:r>
        <w:rPr>
          <w:rFonts w:ascii="Courier New" w:cs="Courier New" w:eastAsia="Courier New" w:hAnsi="Courier New"/>
          <w:sz w:val="16"/>
          <w:szCs w:val="16"/>
          <w:color w:val="auto"/>
        </w:rPr>
        <w:t>Mr. Carlson disclaims</w:t>
      </w:r>
    </w:p>
    <w:p>
      <w:pPr>
        <w:ind w:left="1700"/>
        <w:spacing w:after="0" w:line="237" w:lineRule="auto"/>
        <w:rPr>
          <w:sz w:val="20"/>
          <w:szCs w:val="20"/>
          <w:color w:val="auto"/>
        </w:rPr>
      </w:pPr>
      <w:r>
        <w:rPr>
          <w:rFonts w:ascii="Courier New" w:cs="Courier New" w:eastAsia="Courier New" w:hAnsi="Courier New"/>
          <w:sz w:val="18"/>
          <w:szCs w:val="18"/>
          <w:color w:val="auto"/>
        </w:rPr>
        <w:t>any direct ownership of the shares reported in</w:t>
      </w:r>
    </w:p>
    <w:p>
      <w:pPr>
        <w:ind w:left="1700"/>
        <w:spacing w:after="0" w:line="238" w:lineRule="auto"/>
        <w:rPr>
          <w:sz w:val="20"/>
          <w:szCs w:val="20"/>
          <w:color w:val="auto"/>
        </w:rPr>
      </w:pPr>
      <w:r>
        <w:rPr>
          <w:rFonts w:ascii="Courier New" w:cs="Courier New" w:eastAsia="Courier New" w:hAnsi="Courier New"/>
          <w:sz w:val="18"/>
          <w:szCs w:val="18"/>
          <w:color w:val="auto"/>
        </w:rPr>
        <w:t>this Schedule 13G, except for an amount that</w:t>
      </w:r>
    </w:p>
    <w:p>
      <w:pPr>
        <w:ind w:left="1700"/>
        <w:spacing w:after="0"/>
        <w:rPr>
          <w:sz w:val="20"/>
          <w:szCs w:val="20"/>
          <w:color w:val="auto"/>
        </w:rPr>
      </w:pPr>
      <w:r>
        <w:rPr>
          <w:rFonts w:ascii="Courier New" w:cs="Courier New" w:eastAsia="Courier New" w:hAnsi="Courier New"/>
          <w:sz w:val="18"/>
          <w:szCs w:val="18"/>
          <w:color w:val="auto"/>
        </w:rPr>
        <w:t>is substantially less than one per cent of the</w:t>
      </w:r>
    </w:p>
    <w:p>
      <w:pPr>
        <w:ind w:left="1700"/>
        <w:spacing w:after="0" w:line="237" w:lineRule="auto"/>
        <w:rPr>
          <w:sz w:val="20"/>
          <w:szCs w:val="20"/>
          <w:color w:val="auto"/>
        </w:rPr>
      </w:pPr>
      <w:r>
        <w:rPr>
          <w:rFonts w:ascii="Courier New" w:cs="Courier New" w:eastAsia="Courier New" w:hAnsi="Courier New"/>
          <w:sz w:val="18"/>
          <w:szCs w:val="18"/>
          <w:color w:val="auto"/>
        </w:rPr>
        <w:t>number of shares reported herein.</w:t>
      </w:r>
    </w:p>
    <w:p>
      <w:pPr>
        <w:spacing w:after="0" w:line="5"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420"/>
        <w:spacing w:after="0" w:line="238" w:lineRule="auto"/>
        <w:tabs>
          <w:tab w:leader="none" w:pos="10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1.81%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6" w:name="page7"/>
    <w:bookmarkEnd w:id="6"/>
    <w:p>
      <w:pPr>
        <w:ind w:left="7180"/>
        <w:spacing w:after="0"/>
        <w:rPr>
          <w:sz w:val="20"/>
          <w:szCs w:val="20"/>
          <w:color w:val="auto"/>
        </w:rPr>
      </w:pPr>
      <w:r>
        <w:rPr>
          <w:rFonts w:ascii="Courier New" w:cs="Courier New" w:eastAsia="Courier New" w:hAnsi="Courier New"/>
          <w:sz w:val="18"/>
          <w:szCs w:val="18"/>
          <w:color w:val="auto"/>
        </w:rPr>
        <w:t>Page 7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Jeffrey A. Busby</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11,536,998</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15,387,561</w:t>
            </w: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15,387,561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Jeffrey A. Busby, a control person of</w:t>
      </w:r>
    </w:p>
    <w:p>
      <w:pPr>
        <w:ind w:left="1700"/>
        <w:spacing w:after="0"/>
        <w:tabs>
          <w:tab w:leader="none" w:pos="4300" w:val="left"/>
        </w:tabs>
        <w:rPr>
          <w:sz w:val="20"/>
          <w:szCs w:val="20"/>
          <w:color w:val="auto"/>
        </w:rPr>
      </w:pPr>
      <w:r>
        <w:rPr>
          <w:rFonts w:ascii="Courier New" w:cs="Courier New" w:eastAsia="Courier New" w:hAnsi="Courier New"/>
          <w:sz w:val="18"/>
          <w:szCs w:val="18"/>
          <w:color w:val="auto"/>
        </w:rPr>
        <w:t>the investment adviser.</w:t>
      </w:r>
      <w:r>
        <w:rPr>
          <w:sz w:val="20"/>
          <w:szCs w:val="20"/>
          <w:color w:val="auto"/>
        </w:rPr>
        <w:tab/>
      </w:r>
      <w:r>
        <w:rPr>
          <w:rFonts w:ascii="Courier New" w:cs="Courier New" w:eastAsia="Courier New" w:hAnsi="Courier New"/>
          <w:sz w:val="16"/>
          <w:szCs w:val="16"/>
          <w:color w:val="auto"/>
        </w:rPr>
        <w:t>Mr. Busby disclaims</w:t>
      </w:r>
    </w:p>
    <w:p>
      <w:pPr>
        <w:ind w:left="1700"/>
        <w:spacing w:after="0" w:line="237" w:lineRule="auto"/>
        <w:rPr>
          <w:sz w:val="20"/>
          <w:szCs w:val="20"/>
          <w:color w:val="auto"/>
        </w:rPr>
      </w:pPr>
      <w:r>
        <w:rPr>
          <w:rFonts w:ascii="Courier New" w:cs="Courier New" w:eastAsia="Courier New" w:hAnsi="Courier New"/>
          <w:sz w:val="18"/>
          <w:szCs w:val="18"/>
          <w:color w:val="auto"/>
        </w:rPr>
        <w:t>any direct ownership of the shares reported in</w:t>
      </w:r>
    </w:p>
    <w:p>
      <w:pPr>
        <w:ind w:left="1700"/>
        <w:spacing w:after="0" w:line="238" w:lineRule="auto"/>
        <w:rPr>
          <w:sz w:val="20"/>
          <w:szCs w:val="20"/>
          <w:color w:val="auto"/>
        </w:rPr>
      </w:pPr>
      <w:r>
        <w:rPr>
          <w:rFonts w:ascii="Courier New" w:cs="Courier New" w:eastAsia="Courier New" w:hAnsi="Courier New"/>
          <w:sz w:val="18"/>
          <w:szCs w:val="18"/>
          <w:color w:val="auto"/>
        </w:rPr>
        <w:t>this Schedule 13G, except for an amount that</w:t>
      </w:r>
    </w:p>
    <w:p>
      <w:pPr>
        <w:ind w:left="1700"/>
        <w:spacing w:after="0"/>
        <w:rPr>
          <w:sz w:val="20"/>
          <w:szCs w:val="20"/>
          <w:color w:val="auto"/>
        </w:rPr>
      </w:pPr>
      <w:r>
        <w:rPr>
          <w:rFonts w:ascii="Courier New" w:cs="Courier New" w:eastAsia="Courier New" w:hAnsi="Courier New"/>
          <w:sz w:val="18"/>
          <w:szCs w:val="18"/>
          <w:color w:val="auto"/>
        </w:rPr>
        <w:t>is substantially less than one per cent of the</w:t>
      </w:r>
    </w:p>
    <w:p>
      <w:pPr>
        <w:ind w:left="1700"/>
        <w:spacing w:after="0" w:line="237" w:lineRule="auto"/>
        <w:rPr>
          <w:sz w:val="20"/>
          <w:szCs w:val="20"/>
          <w:color w:val="auto"/>
        </w:rPr>
      </w:pPr>
      <w:r>
        <w:rPr>
          <w:rFonts w:ascii="Courier New" w:cs="Courier New" w:eastAsia="Courier New" w:hAnsi="Courier New"/>
          <w:sz w:val="18"/>
          <w:szCs w:val="18"/>
          <w:color w:val="auto"/>
        </w:rPr>
        <w:t>number of shares reported herein.</w:t>
      </w:r>
    </w:p>
    <w:p>
      <w:pPr>
        <w:spacing w:after="0" w:line="5"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420"/>
        <w:spacing w:after="0" w:line="238"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1.81%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380" w:type="dxa"/>
            <w:vAlign w:val="bottom"/>
          </w:tcPr>
          <w:p>
            <w:pPr>
              <w:ind w:left="4120"/>
              <w:spacing w:after="0"/>
              <w:rPr>
                <w:sz w:val="20"/>
                <w:szCs w:val="20"/>
                <w:color w:val="auto"/>
              </w:rPr>
            </w:pPr>
            <w:r>
              <w:rPr>
                <w:rFonts w:ascii="Courier New" w:cs="Courier New" w:eastAsia="Courier New" w:hAnsi="Courier New"/>
                <w:sz w:val="18"/>
                <w:szCs w:val="18"/>
                <w:color w:val="auto"/>
                <w:w w:val="95"/>
              </w:rPr>
              <w:t>Page 8 of 12</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8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Name of Issuer:</w:t>
            </w:r>
          </w:p>
        </w:tc>
        <w:tc>
          <w:tcPr>
            <w:tcW w:w="538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Micron</w:t>
            </w:r>
          </w:p>
        </w:tc>
        <w:tc>
          <w:tcPr>
            <w:tcW w:w="6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Technology, Inc.</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8000 South Federal Way, P.O. Box 6, Boise, ID 83707-0006</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Filing:</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Investment Partners, L.P.</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Investment Partners, Inc.</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(iii)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Worldwide Holdings, L.P.</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(iv)</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Charles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H. Brandes</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(v)</w:t>
            </w:r>
          </w:p>
        </w:tc>
        <w:tc>
          <w:tcPr>
            <w:tcW w:w="6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Glenn R. Carlson</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(vi)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Jeffrey</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A. Busby</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California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ectPr>
          <w:pgSz w:w="11900" w:h="16838" w:orient="portrait"/>
          <w:cols w:equalWidth="0" w:num="1">
            <w:col w:w="10219"/>
          </w:cols>
          <w:pgMar w:left="240" w:top="514" w:right="1440" w:bottom="1440" w:gutter="0" w:footer="0" w:header="0"/>
        </w:sectPr>
      </w:pPr>
    </w:p>
    <w:bookmarkStart w:id="8" w:name="page9"/>
    <w:bookmarkEnd w:id="8"/>
    <w:p>
      <w:pPr>
        <w:ind w:left="7180"/>
        <w:spacing w:after="0"/>
        <w:rPr>
          <w:sz w:val="20"/>
          <w:szCs w:val="20"/>
          <w:color w:val="auto"/>
        </w:rPr>
      </w:pPr>
      <w:r>
        <w:rPr>
          <w:rFonts w:ascii="Courier New" w:cs="Courier New" w:eastAsia="Courier New" w:hAnsi="Courier New"/>
          <w:sz w:val="16"/>
          <w:szCs w:val="16"/>
          <w:color w:val="auto"/>
        </w:rPr>
        <w:t>Page 9 of 12</w:t>
      </w:r>
    </w:p>
    <w:p>
      <w:pPr>
        <w:sectPr>
          <w:pgSz w:w="11900" w:h="16838" w:orient="portrait"/>
          <w:cols w:equalWidth="0" w:num="1">
            <w:col w:w="10219"/>
          </w:cols>
          <w:pgMar w:left="240" w:top="520"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Securities:</w:t>
      </w:r>
    </w:p>
    <w:p>
      <w:pPr>
        <w:spacing w:after="0" w:line="200" w:lineRule="exact"/>
        <w:rPr>
          <w:sz w:val="20"/>
          <w:szCs w:val="20"/>
          <w:color w:val="auto"/>
        </w:rPr>
      </w:pPr>
    </w:p>
    <w:p>
      <w:pPr>
        <w:sectPr>
          <w:pgSz w:w="11900" w:h="16838" w:orient="portrait"/>
          <w:cols w:equalWidth="0" w:num="2">
            <w:col w:w="960" w:space="520"/>
            <w:col w:w="8739"/>
          </w:cols>
          <w:pgMar w:left="240" w:top="520" w:right="1440" w:bottom="1440" w:gutter="0" w:footer="0" w:header="0"/>
          <w:type w:val="continuous"/>
        </w:sectPr>
      </w:pPr>
    </w:p>
    <w:p>
      <w:pPr>
        <w:spacing w:after="0" w:line="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Common</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0"/>
          <w:szCs w:val="20"/>
          <w:color w:val="auto"/>
        </w:rPr>
      </w:pPr>
    </w:p>
    <w:p>
      <w:pPr>
        <w:sectPr>
          <w:pgSz w:w="11900" w:h="16838" w:orient="portrait"/>
          <w:cols w:equalWidth="0" w:num="2">
            <w:col w:w="960" w:space="520"/>
            <w:col w:w="8739"/>
          </w:cols>
          <w:pgMar w:left="240" w:top="520" w:right="1440" w:bottom="1440" w:gutter="0" w:footer="0" w:header="0"/>
          <w:type w:val="continuous"/>
        </w:sectPr>
      </w:pPr>
    </w:p>
    <w:p>
      <w:pPr>
        <w:spacing w:after="0" w:line="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595112103</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If this statement is filed pursuant to ss.ss. 240.13d-1(b), or 240.13d-2(b) or (c), check whether the person filing is a:</w:t>
      </w:r>
    </w:p>
    <w:p>
      <w:pPr>
        <w:spacing w:after="0" w:line="170" w:lineRule="exact"/>
        <w:rPr>
          <w:sz w:val="20"/>
          <w:szCs w:val="20"/>
          <w:color w:val="auto"/>
        </w:rPr>
      </w:pPr>
    </w:p>
    <w:p>
      <w:pPr>
        <w:sectPr>
          <w:pgSz w:w="11900" w:h="16838" w:orient="portrait"/>
          <w:cols w:equalWidth="0" w:num="2">
            <w:col w:w="760" w:space="720"/>
            <w:col w:w="8739"/>
          </w:cols>
          <w:pgMar w:left="240" w:top="520" w:right="1440" w:bottom="1440" w:gutter="0" w:footer="0" w:header="0"/>
          <w:type w:val="continuous"/>
        </w:sectPr>
      </w:pPr>
    </w:p>
    <w:p>
      <w:pPr>
        <w:ind w:left="2540" w:right="1879" w:hanging="1057"/>
        <w:spacing w:after="0" w:line="235" w:lineRule="auto"/>
        <w:tabs>
          <w:tab w:leader="none" w:pos="201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1" w:lineRule="exact"/>
        <w:rPr>
          <w:rFonts w:ascii="Courier New" w:cs="Courier New" w:eastAsia="Courier New" w:hAnsi="Courier New"/>
          <w:sz w:val="18"/>
          <w:szCs w:val="18"/>
          <w:color w:val="auto"/>
        </w:rPr>
      </w:pPr>
    </w:p>
    <w:p>
      <w:pPr>
        <w:ind w:left="2000" w:hanging="517"/>
        <w:spacing w:after="0" w:line="238" w:lineRule="auto"/>
        <w:tabs>
          <w:tab w:leader="none" w:pos="20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spacing w:after="0" w:line="207" w:lineRule="exact"/>
        <w:rPr>
          <w:sz w:val="20"/>
          <w:szCs w:val="20"/>
          <w:color w:val="auto"/>
        </w:rPr>
      </w:pPr>
    </w:p>
    <w:p>
      <w:pPr>
        <w:ind w:left="2540" w:right="18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5" w:lineRule="exact"/>
        <w:rPr>
          <w:rFonts w:ascii="Courier New" w:cs="Courier New" w:eastAsia="Courier New" w:hAnsi="Courier New"/>
          <w:sz w:val="18"/>
          <w:szCs w:val="18"/>
          <w:color w:val="auto"/>
        </w:rPr>
      </w:pPr>
    </w:p>
    <w:p>
      <w:pPr>
        <w:ind w:left="2540" w:right="219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(15 U.S.C. 80a-8).</w:t>
      </w:r>
    </w:p>
    <w:p>
      <w:pPr>
        <w:spacing w:after="0" w:line="5" w:lineRule="exact"/>
        <w:rPr>
          <w:rFonts w:ascii="Courier New" w:cs="Courier New" w:eastAsia="Courier New" w:hAnsi="Courier New"/>
          <w:sz w:val="18"/>
          <w:szCs w:val="18"/>
          <w:color w:val="auto"/>
        </w:rPr>
      </w:pPr>
    </w:p>
    <w:p>
      <w:pPr>
        <w:ind w:left="2540" w:right="34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ss. 240.13d-1(b)(1)(ii)(E).</w:t>
      </w:r>
    </w:p>
    <w:p>
      <w:pPr>
        <w:spacing w:after="0" w:line="5" w:lineRule="exact"/>
        <w:rPr>
          <w:rFonts w:ascii="Courier New" w:cs="Courier New" w:eastAsia="Courier New" w:hAnsi="Courier New"/>
          <w:sz w:val="18"/>
          <w:szCs w:val="18"/>
          <w:color w:val="auto"/>
        </w:rPr>
      </w:pPr>
    </w:p>
    <w:p>
      <w:pPr>
        <w:ind w:left="2540" w:right="17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 240.13d-1(b)(ii)(F).</w:t>
      </w:r>
    </w:p>
    <w:p>
      <w:pPr>
        <w:spacing w:after="0" w:line="5" w:lineRule="exact"/>
        <w:rPr>
          <w:rFonts w:ascii="Courier New" w:cs="Courier New" w:eastAsia="Courier New" w:hAnsi="Courier New"/>
          <w:sz w:val="18"/>
          <w:szCs w:val="18"/>
          <w:color w:val="auto"/>
        </w:rPr>
      </w:pPr>
    </w:p>
    <w:p>
      <w:pPr>
        <w:ind w:left="2540" w:right="17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 240.13d-1(b)(1)(ii)(G).</w:t>
      </w:r>
    </w:p>
    <w:p>
      <w:pPr>
        <w:spacing w:after="0" w:line="5" w:lineRule="exact"/>
        <w:rPr>
          <w:rFonts w:ascii="Courier New" w:cs="Courier New" w:eastAsia="Courier New" w:hAnsi="Courier New"/>
          <w:sz w:val="18"/>
          <w:szCs w:val="18"/>
          <w:color w:val="auto"/>
        </w:rPr>
      </w:pPr>
    </w:p>
    <w:p>
      <w:pPr>
        <w:ind w:left="2540" w:right="18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2540" w:right="1779" w:hanging="1057"/>
        <w:spacing w:after="0" w:line="236"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2000" w:hanging="517"/>
        <w:spacing w:after="0" w:line="238" w:lineRule="auto"/>
        <w:tabs>
          <w:tab w:leader="none" w:pos="20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ss. 240.13d-1(b)(1)(ii)(J).</w:t>
      </w:r>
    </w:p>
    <w:p>
      <w:pPr>
        <w:spacing w:after="0" w:line="207"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This statement is filed by Brandes Investment Partners, L.P., an investment adviser registered under the Investment Advisers Act of 1940, its control persons and its holding company. (See, also, Exhibit A.)</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22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Amount Beneficially</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Owned:</w:t>
            </w:r>
          </w:p>
        </w:tc>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w w:val="96"/>
              </w:rPr>
              <w:t>15,387,561</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1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Percent of</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Class:</w:t>
            </w:r>
          </w:p>
        </w:tc>
        <w:tc>
          <w:tcPr>
            <w:tcW w:w="2780" w:type="dxa"/>
            <w:vAlign w:val="bottom"/>
          </w:tcPr>
          <w:p>
            <w:pPr>
              <w:spacing w:after="0"/>
              <w:rPr>
                <w:sz w:val="24"/>
                <w:szCs w:val="2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1.81%</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22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Number of shares as</w:t>
            </w:r>
          </w:p>
        </w:tc>
        <w:tc>
          <w:tcPr>
            <w:tcW w:w="4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which the joint filers have:</w:t>
            </w:r>
          </w:p>
        </w:tc>
      </w:tr>
      <w:tr>
        <w:trPr>
          <w:trHeight w:val="405"/>
        </w:trPr>
        <w:tc>
          <w:tcPr>
            <w:tcW w:w="52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(i)</w:t>
            </w: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power to</w:t>
            </w:r>
          </w:p>
        </w:tc>
        <w:tc>
          <w:tcPr>
            <w:tcW w:w="4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vote or to direct the vote: 0</w:t>
            </w:r>
          </w:p>
        </w:tc>
      </w:tr>
      <w:tr>
        <w:trPr>
          <w:trHeight w:val="405"/>
        </w:trPr>
        <w:tc>
          <w:tcPr>
            <w:tcW w:w="52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(ii)</w:t>
            </w:r>
          </w:p>
        </w:tc>
        <w:tc>
          <w:tcPr>
            <w:tcW w:w="43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shared power to vote or to direct the</w:t>
            </w:r>
          </w:p>
        </w:tc>
        <w:tc>
          <w:tcPr>
            <w:tcW w:w="1280" w:type="dxa"/>
            <w:vAlign w:val="bottom"/>
          </w:tcPr>
          <w:p>
            <w:pPr>
              <w:spacing w:after="0"/>
              <w:rPr>
                <w:sz w:val="24"/>
                <w:szCs w:val="24"/>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vote:</w:t>
            </w:r>
          </w:p>
        </w:tc>
        <w:tc>
          <w:tcPr>
            <w:tcW w:w="9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11,536,998</w:t>
            </w:r>
          </w:p>
        </w:tc>
      </w:tr>
      <w:tr>
        <w:trPr>
          <w:trHeight w:val="405"/>
        </w:trPr>
        <w:tc>
          <w:tcPr>
            <w:tcW w:w="520" w:type="dxa"/>
            <w:vAlign w:val="bottom"/>
          </w:tcPr>
          <w:p>
            <w:pPr>
              <w:spacing w:after="0"/>
              <w:rPr>
                <w:sz w:val="24"/>
                <w:szCs w:val="24"/>
                <w:color w:val="auto"/>
              </w:rPr>
            </w:pPr>
          </w:p>
        </w:tc>
        <w:tc>
          <w:tcPr>
            <w:tcW w:w="1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(iii) sole</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power to</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dispose or to direct the</w:t>
            </w:r>
          </w:p>
        </w:tc>
        <w:tc>
          <w:tcPr>
            <w:tcW w:w="1280" w:type="dxa"/>
            <w:vAlign w:val="bottom"/>
          </w:tcPr>
          <w:p>
            <w:pPr>
              <w:spacing w:after="0"/>
              <w:rPr>
                <w:sz w:val="24"/>
                <w:szCs w:val="24"/>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3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disposition of:</w:t>
            </w:r>
          </w:p>
        </w:tc>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2860" w:hanging="640"/>
        <w:spacing w:after="0"/>
        <w:tabs>
          <w:tab w:leader="none" w:pos="2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2860" w:type="dxa"/>
        <w:tblCellMar>
          <w:top w:w="0" w:type="dxa"/>
          <w:left w:w="0" w:type="dxa"/>
          <w:bottom w:w="0" w:type="dxa"/>
          <w:right w:w="0" w:type="dxa"/>
        </w:tblCellMar>
      </w:tblP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15,387,561</w:t>
            </w:r>
          </w:p>
        </w:tc>
      </w:tr>
    </w:tbl>
    <w:p>
      <w:pPr>
        <w:sectPr>
          <w:pgSz w:w="11900" w:h="16838" w:orient="portrait"/>
          <w:cols w:equalWidth="0" w:num="1">
            <w:col w:w="10219"/>
          </w:cols>
          <w:pgMar w:left="240" w:top="520" w:right="1440" w:bottom="1440" w:gutter="0" w:footer="0" w:header="0"/>
          <w:type w:val="continuous"/>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Page 10 of 12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securities, check the following |X|.</w:t>
      </w:r>
    </w:p>
    <w:p>
      <w:pPr>
        <w:spacing w:after="0" w:line="200" w:lineRule="exact"/>
        <w:rPr>
          <w:sz w:val="20"/>
          <w:szCs w:val="20"/>
          <w:color w:val="auto"/>
        </w:rPr>
      </w:pPr>
    </w:p>
    <w:p>
      <w:pPr>
        <w:spacing w:after="0" w:line="210" w:lineRule="exact"/>
        <w:rPr>
          <w:sz w:val="20"/>
          <w:szCs w:val="20"/>
          <w:color w:val="auto"/>
        </w:rPr>
      </w:pPr>
    </w:p>
    <w:p>
      <w:pPr>
        <w:ind w:left="1480" w:right="1999" w:hanging="3265"/>
        <w:spacing w:after="0" w:line="235" w:lineRule="auto"/>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N/A</w:t>
      </w:r>
    </w:p>
    <w:p>
      <w:pPr>
        <w:spacing w:after="0" w:line="208" w:lineRule="exact"/>
        <w:rPr>
          <w:sz w:val="20"/>
          <w:szCs w:val="20"/>
          <w:color w:val="auto"/>
        </w:rPr>
      </w:pPr>
    </w:p>
    <w:p>
      <w:pPr>
        <w:ind w:left="1480" w:right="1779" w:hanging="1474"/>
        <w:spacing w:after="0" w:line="268" w:lineRule="auto"/>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3280"/>
        <w:spacing w:after="0" w:line="233"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jc w:val="center"/>
        <w:ind w:right="2619"/>
        <w:spacing w:after="0"/>
        <w:tabs>
          <w:tab w:leader="none" w:pos="7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jc w:val="center"/>
        <w:ind w:right="2319"/>
        <w:spacing w:after="0" w:line="238" w:lineRule="auto"/>
        <w:rPr>
          <w:sz w:val="20"/>
          <w:szCs w:val="20"/>
          <w:color w:val="auto"/>
        </w:rPr>
      </w:pPr>
      <w:r>
        <w:rPr>
          <w:rFonts w:ascii="Courier New" w:cs="Courier New" w:eastAsia="Courier New" w:hAnsi="Courier New"/>
          <w:sz w:val="18"/>
          <w:szCs w:val="18"/>
          <w:color w:val="auto"/>
        </w:rPr>
        <w:t>See Exhibit A</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328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2220" w:right="2519" w:hanging="737"/>
        <w:spacing w:after="0" w:line="290" w:lineRule="auto"/>
        <w:tabs>
          <w:tab w:leader="none" w:pos="2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certification shall be included if the statement is filed pursuant to ss. 240.13d-1(b):</w:t>
      </w:r>
    </w:p>
    <w:p>
      <w:pPr>
        <w:spacing w:after="0" w:line="169" w:lineRule="exact"/>
        <w:rPr>
          <w:rFonts w:ascii="Courier New" w:cs="Courier New" w:eastAsia="Courier New" w:hAnsi="Courier New"/>
          <w:sz w:val="16"/>
          <w:szCs w:val="16"/>
          <w:color w:val="auto"/>
        </w:rPr>
      </w:pPr>
    </w:p>
    <w:p>
      <w:pPr>
        <w:jc w:val="both"/>
        <w:ind w:left="222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12, 2010</w:t>
      </w:r>
    </w:p>
    <w:p>
      <w:pPr>
        <w:ind w:left="3800"/>
        <w:spacing w:after="0" w:line="238" w:lineRule="auto"/>
        <w:rPr>
          <w:sz w:val="20"/>
          <w:szCs w:val="20"/>
          <w:color w:val="auto"/>
        </w:rPr>
      </w:pPr>
      <w:r>
        <w:rPr>
          <w:rFonts w:ascii="Courier New" w:cs="Courier New" w:eastAsia="Courier New" w:hAnsi="Courier New"/>
          <w:sz w:val="18"/>
          <w:szCs w:val="18"/>
          <w:color w:val="auto"/>
        </w:rPr>
        <w:t>BRANDES INVESTMENT PARTNERS, L.P.</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Ian Rose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Ian Rose as Attorney-In-Fact for</w:t>
      </w:r>
    </w:p>
    <w:p>
      <w:pPr>
        <w:ind w:left="4220"/>
        <w:spacing w:after="0" w:line="237" w:lineRule="auto"/>
        <w:rPr>
          <w:sz w:val="20"/>
          <w:szCs w:val="20"/>
          <w:color w:val="auto"/>
        </w:rPr>
      </w:pPr>
      <w:r>
        <w:rPr>
          <w:rFonts w:ascii="Courier New" w:cs="Courier New" w:eastAsia="Courier New" w:hAnsi="Courier New"/>
          <w:sz w:val="18"/>
          <w:szCs w:val="18"/>
          <w:color w:val="auto"/>
        </w:rPr>
        <w:t>Charles H. Brandes, President of</w:t>
      </w:r>
    </w:p>
    <w:p>
      <w:pPr>
        <w:ind w:left="4220"/>
        <w:spacing w:after="0" w:line="238" w:lineRule="auto"/>
        <w:rPr>
          <w:sz w:val="20"/>
          <w:szCs w:val="20"/>
          <w:color w:val="auto"/>
        </w:rPr>
      </w:pPr>
      <w:r>
        <w:rPr>
          <w:rFonts w:ascii="Courier New" w:cs="Courier New" w:eastAsia="Courier New" w:hAnsi="Courier New"/>
          <w:sz w:val="18"/>
          <w:szCs w:val="18"/>
          <w:color w:val="auto"/>
        </w:rPr>
        <w:t>Brandes Investment Partners, Inc., its</w:t>
      </w:r>
    </w:p>
    <w:p>
      <w:pPr>
        <w:ind w:left="4220"/>
        <w:spacing w:after="0"/>
        <w:rPr>
          <w:sz w:val="20"/>
          <w:szCs w:val="20"/>
          <w:color w:val="auto"/>
        </w:rPr>
      </w:pPr>
      <w:r>
        <w:rPr>
          <w:rFonts w:ascii="Courier New" w:cs="Courier New" w:eastAsia="Courier New" w:hAnsi="Courier New"/>
          <w:sz w:val="18"/>
          <w:szCs w:val="18"/>
          <w:color w:val="auto"/>
        </w:rPr>
        <w:t>General Partner</w:t>
      </w:r>
    </w:p>
    <w:p>
      <w:pPr>
        <w:sectPr>
          <w:pgSz w:w="11900" w:h="16838" w:orient="portrait"/>
          <w:cols w:equalWidth="0" w:num="1">
            <w:col w:w="10219"/>
          </w:cols>
          <w:pgMar w:left="240" w:top="514"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Page 11 of 12</w:t>
      </w:r>
    </w:p>
    <w:p>
      <w:pPr>
        <w:spacing w:after="0" w:line="200" w:lineRule="exact"/>
        <w:rPr>
          <w:sz w:val="20"/>
          <w:szCs w:val="20"/>
          <w:color w:val="auto"/>
        </w:rPr>
      </w:pPr>
    </w:p>
    <w:p>
      <w:pPr>
        <w:spacing w:after="0" w:line="204"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BRANDES INVESTMENT PARTNERS, INC.</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Ian Rose</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Ian Rose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Charles H. Brandes, President</w:t>
      </w:r>
    </w:p>
    <w:p>
      <w:pPr>
        <w:spacing w:after="0" w:line="200" w:lineRule="exact"/>
        <w:rPr>
          <w:sz w:val="20"/>
          <w:szCs w:val="20"/>
          <w:color w:val="auto"/>
        </w:rPr>
      </w:pPr>
    </w:p>
    <w:p>
      <w:pPr>
        <w:spacing w:after="0" w:line="204"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BRANDES WORLDWIDE HOLDINGS, L.P.</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Ian Rose</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Ian Rose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Charles H. Brandes, President of</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Brandes Investment Partners, Inc., its General Partner</w:t>
      </w:r>
    </w:p>
    <w:p>
      <w:pPr>
        <w:spacing w:after="0" w:line="200" w:lineRule="exact"/>
        <w:rPr>
          <w:sz w:val="20"/>
          <w:szCs w:val="20"/>
          <w:color w:val="auto"/>
        </w:rPr>
      </w:pPr>
    </w:p>
    <w:p>
      <w:pPr>
        <w:spacing w:after="0" w:line="221"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Ian Rose</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Ian Rose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Charles H. Brandes, Control Person</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Ian Rose</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Ian Rose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Glenn R. Carlson, Control Person</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Ian Rose</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Ian Rose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Jeffrey A. Busby, Control Person</w:t>
      </w:r>
    </w:p>
    <w:p>
      <w:pPr>
        <w:sectPr>
          <w:pgSz w:w="11900" w:h="16838" w:orient="portrait"/>
          <w:cols w:equalWidth="0" w:num="1">
            <w:col w:w="9019"/>
          </w:cols>
          <w:pgMar w:left="1440" w:top="514"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Page 12 of 12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A is incorporated by reference to Exhibit A of Schedule 13G for 3Com Corporation filed February 14, 2005.</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B is incorporated by reference to Exhibit B of Schedule 13G for 3Com Corporation filed February 14, 2005.</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C is incorporated by reference to Exhibit C of Schedule 13G for 3Com Corporation filed February 14, 2005.</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D is incorporated by reference to Exhibit D of Schedule 13G for 3Com Corporation filed February 14, 2005.</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
    <w:nsid w:val="3F2DBA31"/>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6">
    <w:nsid w:val="7C83E458"/>
    <w:multiLevelType w:val="hybridMultilevel"/>
    <w:lvl w:ilvl="0">
      <w:lvlJc w:val="left"/>
      <w:lvlText w:val="-"/>
      <w:numFmt w:val="bullet"/>
      <w:start w:val="1"/>
    </w:lvl>
    <w:lvl w:ilvl="1">
      <w:lvlJc w:val="left"/>
      <w:lvlText w:val="%2."/>
      <w:numFmt w:val="decimal"/>
      <w:start w:val="9"/>
    </w:lvl>
  </w:abstractNum>
  <w:abstractNum w:abstractNumId="7">
    <w:nsid w:val="257130A3"/>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8">
    <w:nsid w:val="62BBD95A"/>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9">
    <w:nsid w:val="436C6125"/>
    <w:multiLevelType w:val="hybridMultilevel"/>
    <w:lvl w:ilvl="0">
      <w:lvlJc w:val="left"/>
      <w:lvlText w:val="-"/>
      <w:numFmt w:val="bullet"/>
      <w:start w:val="1"/>
    </w:lvl>
    <w:lvl w:ilvl="1">
      <w:lvlJc w:val="left"/>
      <w:lvlText w:val="%2."/>
      <w:numFmt w:val="decimal"/>
      <w:start w:val="9"/>
    </w:lvl>
  </w:abstractNum>
  <w:abstractNum w:abstractNumId="10">
    <w:nsid w:val="628C895D"/>
    <w:multiLevelType w:val="hybridMultilevel"/>
    <w:lvl w:ilvl="0">
      <w:lvlJc w:val="left"/>
      <w:lvlText w:val="-"/>
      <w:numFmt w:val="bullet"/>
      <w:start w:val="1"/>
    </w:lvl>
    <w:lvl w:ilvl="1">
      <w:lvlJc w:val="left"/>
      <w:lvlText w:val="%2."/>
      <w:numFmt w:val="decimal"/>
      <w:start w:val="10"/>
    </w:lvl>
  </w:abstractNum>
  <w:abstractNum w:abstractNumId="11">
    <w:nsid w:val="333AB105"/>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2">
    <w:nsid w:val="721DA31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3">
    <w:nsid w:val="2443A858"/>
    <w:multiLevelType w:val="hybridMultilevel"/>
    <w:lvl w:ilvl="0">
      <w:lvlJc w:val="left"/>
      <w:lvlText w:val="-"/>
      <w:numFmt w:val="bullet"/>
      <w:start w:val="1"/>
    </w:lvl>
    <w:lvl w:ilvl="1">
      <w:lvlJc w:val="left"/>
      <w:lvlText w:val="%2."/>
      <w:numFmt w:val="decimal"/>
      <w:start w:val="9"/>
    </w:lvl>
  </w:abstractNum>
  <w:abstractNum w:abstractNumId="14">
    <w:nsid w:val="2D1D5AE9"/>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5">
    <w:nsid w:val="6763845E"/>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6">
    <w:nsid w:val="75A2A8D4"/>
    <w:multiLevelType w:val="hybridMultilevel"/>
    <w:lvl w:ilvl="0">
      <w:lvlJc w:val="left"/>
      <w:lvlText w:val="-"/>
      <w:numFmt w:val="bullet"/>
      <w:start w:val="1"/>
    </w:lvl>
    <w:lvl w:ilvl="1">
      <w:lvlJc w:val="left"/>
      <w:lvlText w:val="%2."/>
      <w:numFmt w:val="decimal"/>
      <w:start w:val="9"/>
    </w:lvl>
  </w:abstractNum>
  <w:abstractNum w:abstractNumId="17">
    <w:nsid w:val="8EDBDA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8">
    <w:nsid w:val="79838CB2"/>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9">
    <w:nsid w:val="4353D0CD"/>
    <w:multiLevelType w:val="hybridMultilevel"/>
    <w:lvl w:ilvl="0">
      <w:lvlJc w:val="left"/>
      <w:lvlText w:val="-"/>
      <w:numFmt w:val="bullet"/>
      <w:start w:val="1"/>
    </w:lvl>
    <w:lvl w:ilvl="1">
      <w:lvlJc w:val="left"/>
      <w:lvlText w:val="%2."/>
      <w:numFmt w:val="decimal"/>
      <w:start w:val="9"/>
    </w:lvl>
  </w:abstractNum>
  <w:abstractNum w:abstractNumId="20">
    <w:nsid w:val="B03E0C6"/>
    <w:multiLevelType w:val="hybridMultilevel"/>
    <w:lvl w:ilvl="0">
      <w:lvlJc w:val="left"/>
      <w:lvlText w:val="-"/>
      <w:numFmt w:val="bullet"/>
      <w:start w:val="1"/>
    </w:lvl>
    <w:lvl w:ilvl="1">
      <w:lvlJc w:val="left"/>
      <w:lvlText w:val="%2."/>
      <w:numFmt w:val="decimal"/>
      <w:start w:val="10"/>
    </w:lvl>
  </w:abstractNum>
  <w:abstractNum w:abstractNumId="21">
    <w:nsid w:val="189A769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2">
    <w:nsid w:val="54E49EB4"/>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23">
    <w:nsid w:val="71F32454"/>
    <w:multiLevelType w:val="hybridMultilevel"/>
    <w:lvl w:ilvl="0">
      <w:lvlJc w:val="left"/>
      <w:lvlText w:val="-"/>
      <w:numFmt w:val="bullet"/>
      <w:start w:val="1"/>
    </w:lvl>
    <w:lvl w:ilvl="1">
      <w:lvlJc w:val="left"/>
      <w:lvlText w:val="%2."/>
      <w:numFmt w:val="decimal"/>
      <w:start w:val="9"/>
    </w:lvl>
  </w:abstractNum>
  <w:abstractNum w:abstractNumId="24">
    <w:nsid w:val="2CA88611"/>
    <w:multiLevelType w:val="hybridMultilevel"/>
    <w:lvl w:ilvl="0">
      <w:lvlJc w:val="left"/>
      <w:lvlText w:val="-"/>
      <w:numFmt w:val="bullet"/>
      <w:start w:val="1"/>
    </w:lvl>
    <w:lvl w:ilvl="1">
      <w:lvlJc w:val="left"/>
      <w:lvlText w:val="%2."/>
      <w:numFmt w:val="decimal"/>
      <w:start w:val="10"/>
    </w:lvl>
  </w:abstractNum>
  <w:abstractNum w:abstractNumId="25">
    <w:nsid w:val="836C40E"/>
    <w:multiLevelType w:val="hybridMultilevel"/>
    <w:lvl w:ilvl="0">
      <w:lvlJc w:val="left"/>
      <w:lvlText w:val="(%1)"/>
      <w:numFmt w:val="lowerRoman"/>
      <w:start w:val="1"/>
    </w:lvl>
  </w:abstractNum>
  <w:abstractNum w:abstractNumId="26">
    <w:nsid w:val="2901D82"/>
    <w:multiLevelType w:val="hybridMultilevel"/>
    <w:lvl w:ilvl="0">
      <w:lvlJc w:val="left"/>
      <w:lvlText w:val="(%1)"/>
      <w:numFmt w:val="lowerRoman"/>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3"/>
    </w:lvl>
    <w:lvl w:ilvl="1">
      <w:lvlJc w:val="left"/>
      <w:lvlText w:val="%2"/>
      <w:numFmt w:val="lowerLetter"/>
      <w:start w:val="1"/>
    </w:lvl>
  </w:abstractNum>
  <w:abstractNum w:abstractNumId="29">
    <w:nsid w:val="1E7FF521"/>
    <w:multiLevelType w:val="hybridMultilevel"/>
    <w:lvl w:ilvl="0">
      <w:lvlJc w:val="left"/>
      <w:lvlText w:val="(%1)"/>
      <w:numFmt w:val="lowerRoman"/>
      <w:start w:val="4"/>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2019-12-10T04:20:22Z</dcterms:created>
  <dcterms:modified xsi:type="dcterms:W3CDTF">2019-12-10T04:20:22Z</dcterms:modified>
</cp:coreProperties>
</file>