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37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741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6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Zinsner David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08/16/2021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7"/>
        <w:spacing w:after="0"/>
        <w:rPr>
          <w:sz w:val="20"/>
          <w:szCs w:val="20"/>
          <w:color w:val="auto"/>
        </w:rPr>
      </w:pPr>
      <w:r>
        <w:rPr>
          <w:rFonts w:ascii="Arial" w:cs="Arial" w:eastAsia="Arial" w:hAnsi="Arial"/>
          <w:sz w:val="17"/>
          <w:szCs w:val="17"/>
          <w:color w:val="0000FF"/>
        </w:rPr>
        <w:t>SVP &amp; Chief Financial Officer</w:t>
      </w:r>
    </w:p>
    <w:p>
      <w:pPr>
        <w:spacing w:after="0" w:line="311" w:lineRule="exact"/>
        <w:rPr>
          <w:sz w:val="24"/>
          <w:szCs w:val="24"/>
          <w:color w:val="auto"/>
        </w:rPr>
      </w:pPr>
    </w:p>
    <w:p>
      <w:pPr>
        <w:sectPr>
          <w:pgSz w:w="11900" w:h="16838" w:orient="portrait"/>
          <w:cols w:equalWidth="0" w:num="3">
            <w:col w:w="3200" w:space="720"/>
            <w:col w:w="3280" w:space="543"/>
            <w:col w:w="3337"/>
          </w:cols>
          <w:pgMar w:left="460" w:top="222" w:right="359" w:bottom="66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60" w:type="dxa"/>
            <w:vAlign w:val="bottom"/>
          </w:tcPr>
          <w:p>
            <w:pPr>
              <w:ind w:left="360"/>
              <w:spacing w:after="0"/>
              <w:rPr>
                <w:sz w:val="20"/>
                <w:szCs w:val="20"/>
                <w:color w:val="auto"/>
              </w:rPr>
            </w:pPr>
            <w:r>
              <w:rPr>
                <w:rFonts w:ascii="Arial" w:cs="Arial" w:eastAsia="Arial" w:hAnsi="Arial"/>
                <w:sz w:val="17"/>
                <w:szCs w:val="17"/>
                <w:color w:val="0000FF"/>
              </w:rPr>
              <w:t>ID</w:t>
            </w:r>
          </w:p>
        </w:tc>
        <w:tc>
          <w:tcPr>
            <w:tcW w:w="1620" w:type="dxa"/>
            <w:vAlign w:val="bottom"/>
          </w:tcPr>
          <w:p>
            <w:pPr>
              <w:ind w:left="42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6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08/16/2021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89"/>
              </w:rPr>
              <w:t>3,800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44.21</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121,125</w:t>
            </w:r>
            <w:r>
              <w:rPr>
                <w:rFonts w:ascii="Arial" w:cs="Arial" w:eastAsia="Arial" w:hAnsi="Arial"/>
                <w:sz w:val="21"/>
                <w:szCs w:val="21"/>
                <w:color w:val="008000"/>
                <w:w w:val="86"/>
                <w:vertAlign w:val="superscript"/>
              </w:rPr>
              <w:t>(1)</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08/16/2021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center"/>
              <w:ind w:left="31"/>
              <w:spacing w:after="0"/>
              <w:rPr>
                <w:sz w:val="20"/>
                <w:szCs w:val="20"/>
                <w:color w:val="auto"/>
              </w:rPr>
            </w:pPr>
            <w:r>
              <w:rPr>
                <w:rFonts w:ascii="Arial" w:cs="Arial" w:eastAsia="Arial" w:hAnsi="Arial"/>
                <w:sz w:val="17"/>
                <w:szCs w:val="17"/>
                <w:color w:val="0000FF"/>
                <w:w w:val="89"/>
              </w:rPr>
              <w:t>4,250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ind w:left="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125,375</w:t>
            </w:r>
          </w:p>
        </w:tc>
        <w:tc>
          <w:tcPr>
            <w:tcW w:w="300" w:type="dxa"/>
            <w:vAlign w:val="bottom"/>
          </w:tcPr>
          <w:p>
            <w:pPr>
              <w:spacing w:after="0"/>
              <w:rPr>
                <w:sz w:val="22"/>
                <w:szCs w:val="22"/>
                <w:color w:val="auto"/>
              </w:rPr>
            </w:pPr>
          </w:p>
        </w:tc>
        <w:tc>
          <w:tcPr>
            <w:tcW w:w="540" w:type="dxa"/>
            <w:vAlign w:val="bottom"/>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08/16/2021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(2)</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89"/>
              </w:rPr>
              <w:t>7,350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70.51</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118,025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08/16/2021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(2)</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91"/>
              </w:rPr>
              <w:t>700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71.39</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117,325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40,819</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44.21</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08/16/2021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3,800</w:t>
            </w:r>
          </w:p>
        </w:tc>
        <w:tc>
          <w:tcPr>
            <w:tcW w:w="780" w:type="dxa"/>
            <w:vAlign w:val="bottom"/>
          </w:tcPr>
          <w:p>
            <w:pPr>
              <w:ind w:left="320"/>
              <w:spacing w:after="0"/>
              <w:rPr>
                <w:sz w:val="20"/>
                <w:szCs w:val="20"/>
                <w:color w:val="auto"/>
              </w:rPr>
            </w:pPr>
            <w:r>
              <w:rPr>
                <w:rFonts w:ascii="Arial" w:cs="Arial" w:eastAsia="Arial" w:hAnsi="Arial"/>
                <w:sz w:val="11"/>
                <w:szCs w:val="11"/>
                <w:color w:val="008000"/>
              </w:rPr>
              <w:t>(6)</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02/19/2026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jc w:val="right"/>
              <w:ind w:right="49"/>
              <w:spacing w:after="0" w:line="191" w:lineRule="exact"/>
              <w:rPr>
                <w:sz w:val="20"/>
                <w:szCs w:val="20"/>
                <w:color w:val="auto"/>
              </w:rPr>
            </w:pPr>
            <w:r>
              <w:rPr>
                <w:rFonts w:ascii="Arial" w:cs="Arial" w:eastAsia="Arial" w:hAnsi="Arial"/>
                <w:sz w:val="17"/>
                <w:szCs w:val="17"/>
                <w:color w:val="0000FF"/>
              </w:rPr>
              <w:t>3,800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16,585</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jc w:val="center"/>
              <w:spacing w:after="0" w:line="95" w:lineRule="exact"/>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44.21</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08/16/2021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4,250</w:t>
            </w:r>
          </w:p>
        </w:tc>
        <w:tc>
          <w:tcPr>
            <w:tcW w:w="780" w:type="dxa"/>
            <w:vAlign w:val="bottom"/>
          </w:tcPr>
          <w:p>
            <w:pPr>
              <w:ind w:left="320"/>
              <w:spacing w:after="0"/>
              <w:rPr>
                <w:sz w:val="20"/>
                <w:szCs w:val="20"/>
                <w:color w:val="auto"/>
              </w:rPr>
            </w:pPr>
            <w:r>
              <w:rPr>
                <w:rFonts w:ascii="Arial" w:cs="Arial" w:eastAsia="Arial" w:hAnsi="Arial"/>
                <w:sz w:val="11"/>
                <w:szCs w:val="11"/>
                <w:color w:val="008000"/>
              </w:rPr>
              <w:t>(6)</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02/19/2026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jc w:val="right"/>
              <w:ind w:right="49"/>
              <w:spacing w:after="0" w:line="191" w:lineRule="exact"/>
              <w:rPr>
                <w:sz w:val="20"/>
                <w:szCs w:val="20"/>
                <w:color w:val="auto"/>
              </w:rPr>
            </w:pPr>
            <w:r>
              <w:rPr>
                <w:rFonts w:ascii="Arial" w:cs="Arial" w:eastAsia="Arial" w:hAnsi="Arial"/>
                <w:sz w:val="17"/>
                <w:szCs w:val="17"/>
                <w:color w:val="0000FF"/>
              </w:rPr>
              <w:t>4,250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18,633</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50 shares acquired on July 30, 2021 under the Micron Technology, Inc. Employee Stock Purchase Plan, which acquisition is exempt from reporting under Rule 16a-3(f)(1)(i)(B).</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November 2, 2020.</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$70.03 to $70.99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$71.20 to $71.56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a Trust for the benefit of the reporting person and his family, with the reporting person as a co-trustee with his spouse.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or will vest, as the case may be, in four equal installments on February 19, 2019, 2020, 2021, and 2022.</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00" w:type="dxa"/>
            <w:vAlign w:val="bottom"/>
            <w:gridSpan w:val="2"/>
          </w:tcPr>
          <w:p>
            <w:pPr>
              <w:ind w:left="140"/>
              <w:spacing w:after="0"/>
              <w:rPr>
                <w:sz w:val="20"/>
                <w:szCs w:val="20"/>
                <w:color w:val="auto"/>
              </w:rPr>
            </w:pPr>
            <w:r>
              <w:rPr>
                <w:rFonts w:ascii="Arial" w:cs="Arial" w:eastAsia="Arial" w:hAnsi="Arial"/>
                <w:sz w:val="17"/>
                <w:szCs w:val="17"/>
                <w:color w:val="0000FF"/>
                <w:w w:val="86"/>
              </w:rPr>
              <w:t>08/18/2021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6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0891"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2021-08-18T16:22:35Z</dcterms:created>
  <dcterms:modified xsi:type="dcterms:W3CDTF">2021-08-18T16:22:35Z</dcterms:modified>
</cp:coreProperties>
</file>