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__)</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1779"/>
        <w:spacing w:after="0"/>
        <w:rPr>
          <w:sz w:val="20"/>
          <w:szCs w:val="20"/>
          <w:color w:val="auto"/>
        </w:rPr>
      </w:pPr>
      <w:r>
        <w:rPr>
          <w:rFonts w:ascii="Courier New" w:cs="Courier New" w:eastAsia="Courier New" w:hAnsi="Courier New"/>
          <w:sz w:val="18"/>
          <w:szCs w:val="18"/>
          <w:color w:val="auto"/>
        </w:rPr>
        <w:t>CUSIP Number 595112103</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ind w:left="320" w:hanging="207"/>
        <w:spacing w:after="0"/>
        <w:tabs>
          <w:tab w:leader="none" w:pos="32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595112103</w:t>
      </w:r>
    </w:p>
    <w:p>
      <w:pPr>
        <w:spacing w:after="0" w:line="207" w:lineRule="exact"/>
        <w:rPr>
          <w:sz w:val="24"/>
          <w:szCs w:val="24"/>
          <w:color w:val="auto"/>
        </w:rPr>
      </w:pPr>
    </w:p>
    <w:p>
      <w:pPr>
        <w:ind w:right="67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CAM North America, LLC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 Identification No.: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23,845,680</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power:29,305,242</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29,305,242</w:t>
      </w:r>
    </w:p>
    <w:p>
      <w:pPr>
        <w:spacing w:after="0" w:line="208" w:lineRule="exact"/>
        <w:rPr>
          <w:rFonts w:ascii="Courier New" w:cs="Courier New" w:eastAsia="Courier New" w:hAnsi="Courier New"/>
          <w:sz w:val="18"/>
          <w:szCs w:val="18"/>
          <w:color w:val="auto"/>
        </w:rPr>
      </w:pPr>
    </w:p>
    <w:p>
      <w:pPr>
        <w:ind w:left="860" w:right="25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4.74%</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7" w:lineRule="exact"/>
        <w:rPr>
          <w:sz w:val="24"/>
          <w:szCs w:val="24"/>
          <w:color w:val="auto"/>
        </w:rPr>
      </w:pPr>
    </w:p>
    <w:p>
      <w:pPr>
        <w:ind w:right="6319" w:firstLine="8"/>
        <w:spacing w:after="0" w:line="236"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Salomon Brothers Asset Management Inc Tax Identification No.: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13-3440564</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274,202</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power:274,202</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274,202</w:t>
      </w:r>
    </w:p>
    <w:p>
      <w:pPr>
        <w:sectPr>
          <w:pgSz w:w="11900" w:h="16838" w:orient="portrait"/>
          <w:cols w:equalWidth="0" w:num="1">
            <w:col w:w="10219"/>
          </w:cols>
          <w:pgMar w:left="240" w:top="244" w:right="1440" w:bottom="0" w:gutter="0" w:footer="0" w:header="0"/>
        </w:sectPr>
      </w:pPr>
    </w:p>
    <w:bookmarkStart w:id="1" w:name="page2"/>
    <w:bookmarkEnd w:id="1"/>
    <w:p>
      <w:pPr>
        <w:ind w:left="860" w:right="2519" w:hanging="852"/>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0.04%</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7" w:lineRule="exact"/>
        <w:rPr>
          <w:sz w:val="20"/>
          <w:szCs w:val="20"/>
          <w:color w:val="auto"/>
        </w:rPr>
      </w:pPr>
    </w:p>
    <w:p>
      <w:pPr>
        <w:ind w:right="673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Smith Barney Fund Management LLC Tax Identification No.: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13-2616913</w:t>
      </w:r>
    </w:p>
    <w:p>
      <w:pPr>
        <w:spacing w:after="0" w:line="201"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16,665,618</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power:16,665,618</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16,665,618</w:t>
      </w:r>
    </w:p>
    <w:p>
      <w:pPr>
        <w:spacing w:after="0" w:line="208" w:lineRule="exact"/>
        <w:rPr>
          <w:rFonts w:ascii="Courier New" w:cs="Courier New" w:eastAsia="Courier New" w:hAnsi="Courier New"/>
          <w:sz w:val="18"/>
          <w:szCs w:val="18"/>
          <w:color w:val="auto"/>
        </w:rPr>
      </w:pPr>
    </w:p>
    <w:p>
      <w:pPr>
        <w:ind w:left="2540" w:right="2519" w:hanging="2532"/>
        <w:spacing w:after="0" w:line="235" w:lineRule="auto"/>
        <w:tabs>
          <w:tab w:leader="none" w:pos="85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2.69%</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7" w:lineRule="exact"/>
        <w:rPr>
          <w:sz w:val="20"/>
          <w:szCs w:val="20"/>
          <w:color w:val="auto"/>
        </w:rPr>
      </w:pPr>
    </w:p>
    <w:p>
      <w:pPr>
        <w:ind w:right="673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TIMCO Asset Management Inc.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Identification No.: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06-0840914</w:t>
      </w:r>
    </w:p>
    <w:p>
      <w:pPr>
        <w:spacing w:after="0" w:line="201"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350,910</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power:350,910</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350,910</w:t>
      </w:r>
    </w:p>
    <w:p>
      <w:pPr>
        <w:spacing w:after="0" w:line="208" w:lineRule="exact"/>
        <w:rPr>
          <w:rFonts w:ascii="Courier New" w:cs="Courier New" w:eastAsia="Courier New" w:hAnsi="Courier New"/>
          <w:sz w:val="18"/>
          <w:szCs w:val="18"/>
          <w:color w:val="auto"/>
        </w:rPr>
      </w:pPr>
    </w:p>
    <w:p>
      <w:pPr>
        <w:ind w:left="860" w:right="2519" w:hanging="852"/>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0.06%</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w:t>
      </w:r>
    </w:p>
    <w:p>
      <w:pPr>
        <w:spacing w:after="0" w:line="218"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MICRON TECHNOLOGY INC</w:t>
      </w:r>
    </w:p>
    <w:p>
      <w:pPr>
        <w:sectPr>
          <w:pgSz w:w="11900" w:h="16838" w:orient="portrait"/>
          <w:cols w:equalWidth="0" w:num="1">
            <w:col w:w="10219"/>
          </w:cols>
          <w:pgMar w:left="240" w:top="142"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8000 S. Federal Way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402" w:lineRule="exact"/>
        <w:rPr>
          <w:sz w:val="20"/>
          <w:szCs w:val="20"/>
          <w:color w:val="auto"/>
        </w:rPr>
      </w:pPr>
    </w:p>
    <w:p>
      <w:pPr>
        <w:sectPr>
          <w:pgSz w:w="11900" w:h="16838" w:orient="portrait"/>
          <w:cols w:equalWidth="0" w:num="2">
            <w:col w:w="2000" w:space="540"/>
            <w:col w:w="767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 83716-9632</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CAM North America, LLC</w:t>
      </w: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38" w:lineRule="auto"/>
        <w:rPr>
          <w:sz w:val="20"/>
          <w:szCs w:val="20"/>
          <w:color w:val="auto"/>
        </w:rPr>
      </w:pPr>
      <w:r>
        <w:rPr>
          <w:rFonts w:ascii="Courier New" w:cs="Courier New" w:eastAsia="Courier New" w:hAnsi="Courier New"/>
          <w:sz w:val="18"/>
          <w:szCs w:val="18"/>
          <w:color w:val="auto"/>
        </w:rPr>
        <w:t>TIMCO Asset Management Inc.</w:t>
      </w:r>
    </w:p>
    <w:p>
      <w:pPr>
        <w:sectPr>
          <w:pgSz w:w="11900" w:h="16838" w:orient="portrait"/>
          <w:cols w:equalWidth="0" w:num="1">
            <w:col w:w="10219"/>
          </w:cols>
          <w:pgMar w:left="240" w:top="142"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16"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399</w:t>
            </w:r>
          </w:p>
        </w:tc>
        <w:tc>
          <w:tcPr>
            <w:tcW w:w="12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Park Avenue</w:t>
            </w:r>
          </w:p>
        </w:tc>
        <w:tc>
          <w:tcPr>
            <w:tcW w:w="6700" w:type="dxa"/>
            <w:vAlign w:val="bottom"/>
          </w:tcPr>
          <w:p>
            <w:pPr>
              <w:spacing w:after="0"/>
              <w:rPr>
                <w:sz w:val="17"/>
                <w:szCs w:val="17"/>
                <w:color w:val="auto"/>
              </w:rPr>
            </w:pP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w w:val="97"/>
              </w:rPr>
              <w:t>Item 2c)</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CAM North America, LLC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Delaware Limited Liability Corporation</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w:t>
            </w: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Brothers Asset Management Inc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Delaware Corporation</w:t>
            </w: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Smith Barney Fund Management LLC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Delaware Limited Liability Corporation</w:t>
            </w: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TIMCO Asset Management Inc.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Connecticut Corporation</w:t>
            </w: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w w:val="97"/>
              </w:rPr>
              <w:t>Item 2d)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360" w:type="dxa"/>
            <w:vAlign w:val="bottom"/>
          </w:tcPr>
          <w:p>
            <w:pPr>
              <w:spacing w:after="0"/>
              <w:rPr>
                <w:sz w:val="17"/>
                <w:szCs w:val="17"/>
                <w:color w:val="auto"/>
              </w:rPr>
            </w:pPr>
          </w:p>
        </w:tc>
        <w:tc>
          <w:tcPr>
            <w:tcW w:w="6700" w:type="dxa"/>
            <w:vAlign w:val="bottom"/>
          </w:tcPr>
          <w:p>
            <w:pPr>
              <w:spacing w:after="0"/>
              <w:rPr>
                <w:sz w:val="17"/>
                <w:szCs w:val="17"/>
                <w:color w:val="auto"/>
              </w:rPr>
            </w:pP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w w:val="97"/>
              </w:rPr>
              <w:t>Item 2e)</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Courier New" w:cs="Courier New" w:eastAsia="Courier New" w:hAnsi="Courier New"/>
                <w:sz w:val="18"/>
                <w:szCs w:val="18"/>
                <w:color w:val="auto"/>
              </w:rPr>
              <w:t>CUSIP number:   595112103</w:t>
            </w: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rPr>
              <w:t>Item 3)</w:t>
            </w:r>
          </w:p>
        </w:tc>
        <w:tc>
          <w:tcPr>
            <w:tcW w:w="7480" w:type="dxa"/>
            <w:vAlign w:val="bottom"/>
            <w:gridSpan w:val="3"/>
          </w:tcPr>
          <w:p>
            <w:pPr>
              <w:spacing w:after="0"/>
              <w:rPr>
                <w:sz w:val="20"/>
                <w:szCs w:val="20"/>
                <w:color w:val="auto"/>
              </w:rPr>
            </w:pPr>
            <w:r>
              <w:rPr>
                <w:rFonts w:ascii="Courier New" w:cs="Courier New" w:eastAsia="Courier New" w:hAnsi="Courier New"/>
                <w:sz w:val="18"/>
                <w:szCs w:val="18"/>
                <w:color w:val="auto"/>
              </w:rPr>
              <w:t>If this statement is filed pursuant to Rule 13d-1(b), or 13d 2(b),</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check whether the person filing is a:</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Broker or dealer under Section 15 of the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Insurance Company as defined in Section 3(a)(6) of the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Adviser registered under Section 203 of the</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Advisers Act of 1940.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Employee Benefit Plan, Pension Fund which is subject to</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ERISA of 1974 or Endowment Funds; see 240.13d-1(b)(ii)(F).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Parent holding company, in accordance with 240.13d-1(b)(ii)(G),</w:t>
            </w:r>
          </w:p>
        </w:tc>
      </w:tr>
    </w:tbl>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Group, in accordance with 240.13d-1(b)(1)(ii)(J).</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100" w:type="dxa"/>
            <w:vAlign w:val="bottom"/>
          </w:tcPr>
          <w:p>
            <w:pPr>
              <w:ind w:left="9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w w:val="96"/>
              </w:rPr>
              <w:t>46,595,972</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7.53%</w:t>
            </w:r>
          </w:p>
        </w:tc>
      </w:tr>
    </w:tbl>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860" w:hanging="852"/>
        <w:spacing w:after="0" w:line="238"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160" w:hanging="309"/>
        <w:spacing w:after="0" w:line="238" w:lineRule="auto"/>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860" w:right="4839" w:hanging="852"/>
        <w:spacing w:after="0" w:line="235"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41,136,410</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060" w:hanging="209"/>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860" w:right="3479" w:hanging="852"/>
        <w:spacing w:after="0" w:line="235"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46,595,972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CAM North America, LLC</w:t>
      </w: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38" w:lineRule="auto"/>
        <w:rPr>
          <w:sz w:val="20"/>
          <w:szCs w:val="20"/>
          <w:color w:val="auto"/>
        </w:rPr>
      </w:pPr>
      <w:r>
        <w:rPr>
          <w:rFonts w:ascii="Courier New" w:cs="Courier New" w:eastAsia="Courier New" w:hAnsi="Courier New"/>
          <w:sz w:val="18"/>
          <w:szCs w:val="18"/>
          <w:color w:val="auto"/>
        </w:rPr>
        <w:t>TIMCO Asset Management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21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Date - February 14,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 North America,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C. Mandia</w:t>
      </w:r>
    </w:p>
    <w:p>
      <w:pPr>
        <w:spacing w:after="0" w:line="238" w:lineRule="auto"/>
        <w:rPr>
          <w:sz w:val="20"/>
          <w:szCs w:val="20"/>
          <w:color w:val="auto"/>
        </w:rPr>
      </w:pPr>
      <w:r>
        <w:rPr>
          <w:rFonts w:ascii="Courier New" w:cs="Courier New" w:eastAsia="Courier New" w:hAnsi="Courier New"/>
          <w:sz w:val="18"/>
          <w:szCs w:val="18"/>
          <w:color w:val="auto"/>
        </w:rPr>
        <w:t>Thomas C. Mandia,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TIMCO Asset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p>
      <w:pPr>
        <w:ind w:left="306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Joint Filing Agreement confirms the agreement by and among the undersigned that the Schedule 13G is filed on behalf of (i) each member of the group identified in Item 8 and (ii) the other reporting person(s) identified in Item 6 that may be deemed to beneficially own more than five percent of the issuer's outstanding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 North America,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C. Mandia</w:t>
      </w:r>
    </w:p>
    <w:p>
      <w:pPr>
        <w:spacing w:after="0" w:line="238" w:lineRule="auto"/>
        <w:rPr>
          <w:sz w:val="20"/>
          <w:szCs w:val="20"/>
          <w:color w:val="auto"/>
        </w:rPr>
      </w:pPr>
      <w:r>
        <w:rPr>
          <w:rFonts w:ascii="Courier New" w:cs="Courier New" w:eastAsia="Courier New" w:hAnsi="Courier New"/>
          <w:sz w:val="18"/>
          <w:szCs w:val="18"/>
          <w:color w:val="auto"/>
        </w:rPr>
        <w:t>Thomas C. Mandia,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TIMCO Asset Management Inc.</w:t>
      </w:r>
    </w:p>
    <w:p>
      <w:pPr>
        <w:sectPr>
          <w:pgSz w:w="11900" w:h="16838" w:orient="portrait"/>
          <w:cols w:equalWidth="0" w:num="1">
            <w:col w:w="10219"/>
          </w:cols>
          <w:pgMar w:left="240" w:top="339" w:right="1440" w:bottom="0" w:gutter="0" w:footer="0" w:header="0"/>
        </w:sectPr>
      </w:pPr>
    </w:p>
    <w:bookmarkStart w:id="4" w:name="page5"/>
    <w:bookmarkEnd w:id="4"/>
    <w:p>
      <w:pPr>
        <w:spacing w:after="0"/>
        <w:tabs>
          <w:tab w:leader="none" w:pos="8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George Shively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Shively, Secretary</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1)"/>
      <w:numFmt w:val="decimal"/>
      <w:start w:val="6"/>
    </w:lvl>
  </w:abstractNum>
  <w:abstractNum w:abstractNumId="18">
    <w:nsid w:val="62BBD95A"/>
    <w:multiLevelType w:val="hybridMultilevel"/>
    <w:lvl w:ilvl="0">
      <w:lvlJc w:val="left"/>
      <w:lvlText w:val="(%1)"/>
      <w:numFmt w:val="lowerLetter"/>
      <w:start w:val="8"/>
    </w:lvl>
  </w:abstractNum>
  <w:abstractNum w:abstractNumId="19">
    <w:nsid w:val="436C6125"/>
    <w:multiLevelType w:val="hybridMultilevel"/>
    <w:lvl w:ilvl="0">
      <w:lvlJc w:val="left"/>
      <w:lvlText w:val="(%1)"/>
      <w:numFmt w:val="lowerLetter"/>
      <w:start w:val="3"/>
    </w:lvl>
  </w:abstractNum>
  <w:abstractNum w:abstractNumId="20">
    <w:nsid w:val="628C895D"/>
    <w:multiLevelType w:val="hybridMultilevel"/>
    <w:lvl w:ilvl="0">
      <w:lvlJc w:val="left"/>
      <w:lvlText w:val="(%1)"/>
      <w:numFmt w:val="lowerRoman"/>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2019-12-13T13:07:40Z</dcterms:created>
  <dcterms:modified xsi:type="dcterms:W3CDTF">2019-12-13T13:07:40Z</dcterms:modified>
</cp:coreProperties>
</file>